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/>
      </w:pPr>
      <w:r>
        <w:rPr>
          <w:rFonts w:ascii="DM Sans" w:hAnsi="DM Sans" w:cs="DM Sans"/>
          <w:b/>
          <w:i w:val="0"/>
          <w:color w:val="FF7C0A"/>
          <w:sz w:val="34"/>
          <w:u w:val="none"/>
        </w:rPr>
        <w:t>Riipen Experience: Competency Framework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How we define, develop, and assess professional competencies in project-based experiential learning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Updated February 2026</w:t>
      </w:r>
    </w:p>
    <w:p>
      <w:pPr>
        <w:pBdr>
          <w:bottom w:val="single" w:sz="6" w:space="1" w:color="ACACAC"/>
        </w:pBdr>
        <w:spacing w:before="120" w:after="120"/>
      </w:pPr>
    </w:p>
    <w:p>
      <w:pPr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Overview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The Riipen Experience develops career-ready professional competencies through structured, employer-connected project work. This framework defines what students develop, how we assess it, and why it matters.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We use five competencies from NACE (National Association of Colleges and Employers), the recognized standard for career readiness. By adopting an established framework, Riipen Experience outcomes speak a language institutions and employers already understand.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For each competency, we identify specific subskills that are observable and assessable in the context of project-based work. These aren't abstract aspirations---they're concrete behaviors students demonstrate through their project deliverables, reflections, team collaboration, and professional engagement.</w:t>
      </w:r>
    </w:p>
    <w:p>
      <w:pPr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Professional Competencies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Every Riipen Experience develops and assesses five NACE Career Readiness Competencies. For each competency, we've identified the subskills most relevant to project-based client work---behaviors that are observable in deliverables, team interactions, professional engagement, and reflection.</w:t>
      </w:r>
    </w:p>
    <w:p>
      <w:pPr>
        <w:spacing w:before="240" w:after="80"/>
      </w:pPr>
      <w:r>
        <w:rPr>
          <w:rFonts w:ascii="DM Sans" w:hAnsi="DM Sans" w:cs="DM Sans"/>
          <w:b/>
          <w:i w:val="0"/>
          <w:color w:val="050C2A"/>
          <w:sz w:val="24"/>
          <w:u w:val="none"/>
        </w:rPr>
        <w:t>Communication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Clearly and effectively exchange information, ideas, facts, and perspectives with persons inside and outside of an organization.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498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Subskill</w:t>
            </w:r>
          </w:p>
        </w:tc>
        <w:tc>
          <w:tcPr>
            <w:tcW w:type="dxa" w:w="5862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3498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Written clarity</w:t>
            </w:r>
          </w:p>
        </w:tc>
        <w:tc>
          <w:tcPr>
            <w:tcW w:type="dxa" w:w="5862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Produce clear, organized written work appropriate for the audience and purpose</w:t>
            </w:r>
          </w:p>
        </w:tc>
      </w:tr>
      <w:tr>
        <w:tc>
          <w:tcPr>
            <w:tcW w:type="dxa" w:w="3498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Oral presentation</w:t>
            </w:r>
          </w:p>
        </w:tc>
        <w:tc>
          <w:tcPr>
            <w:tcW w:type="dxa" w:w="5862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Present ideas effectively in meetings and formal presentations</w:t>
            </w:r>
          </w:p>
        </w:tc>
      </w:tr>
      <w:tr>
        <w:tc>
          <w:tcPr>
            <w:tcW w:type="dxa" w:w="3498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Professional correspondence</w:t>
            </w:r>
          </w:p>
        </w:tc>
        <w:tc>
          <w:tcPr>
            <w:tcW w:type="dxa" w:w="5862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Communicate promptly, professionally, and appropriately via email and other channels</w:t>
            </w:r>
          </w:p>
        </w:tc>
      </w:tr>
      <w:tr>
        <w:tc>
          <w:tcPr>
            <w:tcW w:type="dxa" w:w="3498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Active listening</w:t>
            </w:r>
          </w:p>
        </w:tc>
        <w:tc>
          <w:tcPr>
            <w:tcW w:type="dxa" w:w="5862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Listen to understand, ask clarifying questions, confirm understanding before responding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DM Sans" w:hAnsi="DM Sans" w:cs="DM Sans"/>
          <w:b/>
          <w:i w:val="0"/>
          <w:color w:val="050C2A"/>
          <w:sz w:val="24"/>
          <w:u w:val="none"/>
        </w:rPr>
        <w:t>Critical Thinking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Identify and respond to needs based upon an understanding of situational context and logical analysis of relevant information.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387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Subskill</w:t>
            </w:r>
          </w:p>
        </w:tc>
        <w:tc>
          <w:tcPr>
            <w:tcW w:type="dxa" w:w="5973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338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Problem framing</w:t>
            </w:r>
          </w:p>
        </w:tc>
        <w:tc>
          <w:tcPr>
            <w:tcW w:type="dxa" w:w="597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Identify and define problems clearly before jumping to solutions</w:t>
            </w:r>
          </w:p>
        </w:tc>
      </w:tr>
      <w:tr>
        <w:tc>
          <w:tcPr>
            <w:tcW w:type="dxa" w:w="338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Research and analysis</w:t>
            </w:r>
          </w:p>
        </w:tc>
        <w:tc>
          <w:tcPr>
            <w:tcW w:type="dxa" w:w="597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Gather and synthesize information from multiple sources to inform decisions</w:t>
            </w:r>
          </w:p>
        </w:tc>
      </w:tr>
      <w:tr>
        <w:tc>
          <w:tcPr>
            <w:tcW w:type="dxa" w:w="338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Evidence-based reasoning</w:t>
            </w:r>
          </w:p>
        </w:tc>
        <w:tc>
          <w:tcPr>
            <w:tcW w:type="dxa" w:w="597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Support conclusions with evidence; distinguish between supported claims and assumptions</w:t>
            </w:r>
          </w:p>
        </w:tc>
      </w:tr>
      <w:tr>
        <w:tc>
          <w:tcPr>
            <w:tcW w:type="dxa" w:w="338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Prioritization</w:t>
            </w:r>
          </w:p>
        </w:tc>
        <w:tc>
          <w:tcPr>
            <w:tcW w:type="dxa" w:w="597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Identify what matters most when not everything can be done; allocate effort accordingly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DM Sans" w:hAnsi="DM Sans" w:cs="DM Sans"/>
          <w:b/>
          <w:i w:val="0"/>
          <w:color w:val="050C2A"/>
          <w:sz w:val="24"/>
          <w:u w:val="none"/>
        </w:rPr>
        <w:t>Teamwork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Build and maintain collaborative relationships to work effectively toward common goals, while appreciating diverse viewpoints and shared responsibilities.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671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Subskill</w:t>
            </w:r>
          </w:p>
        </w:tc>
        <w:tc>
          <w:tcPr>
            <w:tcW w:type="dxa" w:w="5689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Reliability</w:t>
            </w:r>
          </w:p>
        </w:tc>
        <w:tc>
          <w:tcPr>
            <w:tcW w:type="dxa" w:w="568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Deliver on commitments to teammates; do what you said you would do</w:t>
            </w:r>
          </w:p>
        </w:tc>
      </w:tr>
      <w:tr>
        <w:tc>
          <w:tcPr>
            <w:tcW w:type="dxa" w:w="367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Collaborative contribution</w:t>
            </w:r>
          </w:p>
        </w:tc>
        <w:tc>
          <w:tcPr>
            <w:tcW w:type="dxa" w:w="568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Contribute fair share of work; step up when team needs support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Constructive feedback</w:t>
            </w:r>
          </w:p>
        </w:tc>
        <w:tc>
          <w:tcPr>
            <w:tcW w:type="dxa" w:w="568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Give specific, actionable feedback to peers focused on work, not person</w:t>
            </w:r>
          </w:p>
        </w:tc>
      </w:tr>
      <w:tr>
        <w:tc>
          <w:tcPr>
            <w:tcW w:type="dxa" w:w="367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Shared accountability</w:t>
            </w:r>
          </w:p>
        </w:tc>
        <w:tc>
          <w:tcPr>
            <w:tcW w:type="dxa" w:w="568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Take responsibility for team outcomes, not just individual contributions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DM Sans" w:hAnsi="DM Sans" w:cs="DM Sans"/>
          <w:b/>
          <w:i w:val="0"/>
          <w:color w:val="050C2A"/>
          <w:sz w:val="24"/>
          <w:u w:val="none"/>
        </w:rPr>
        <w:t>Professionalism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Knowing work environments differ greatly, understand and demonstrate effective work habits, and act in the interest of the larger community and workplace.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291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Subskill</w:t>
            </w:r>
          </w:p>
        </w:tc>
        <w:tc>
          <w:tcPr>
            <w:tcW w:type="dxa" w:w="6069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32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Dependability</w:t>
            </w:r>
          </w:p>
        </w:tc>
        <w:tc>
          <w:tcPr>
            <w:tcW w:type="dxa" w:w="606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Meet deadlines consistently; show up prepared for meetings and commitments</w:t>
            </w:r>
          </w:p>
        </w:tc>
      </w:tr>
      <w:tr>
        <w:tc>
          <w:tcPr>
            <w:tcW w:type="dxa" w:w="32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Quality and attention to detail</w:t>
            </w:r>
          </w:p>
        </w:tc>
        <w:tc>
          <w:tcPr>
            <w:tcW w:type="dxa" w:w="606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Review own work before submission; produce polished, error-free deliverables</w:t>
            </w:r>
          </w:p>
        </w:tc>
      </w:tr>
      <w:tr>
        <w:tc>
          <w:tcPr>
            <w:tcW w:type="dxa" w:w="32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Initiative</w:t>
            </w:r>
          </w:p>
        </w:tc>
        <w:tc>
          <w:tcPr>
            <w:tcW w:type="dxa" w:w="606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Identify next steps without waiting for direction; surface problems early rather than hoping they resolve</w:t>
            </w:r>
          </w:p>
        </w:tc>
      </w:tr>
      <w:tr>
        <w:tc>
          <w:tcPr>
            <w:tcW w:type="dxa" w:w="32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Feedback reception</w:t>
            </w:r>
          </w:p>
        </w:tc>
        <w:tc>
          <w:tcPr>
            <w:tcW w:type="dxa" w:w="606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Receive input without defensiveness; ask questions to understand underlying concerns; incorporate feedback thoughtfully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DM Sans" w:hAnsi="DM Sans" w:cs="DM Sans"/>
          <w:b/>
          <w:i w:val="0"/>
          <w:color w:val="050C2A"/>
          <w:sz w:val="24"/>
          <w:u w:val="none"/>
        </w:rPr>
        <w:t>Career &amp; Self-Development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Proactively develop oneself and one's career through continual personal and professional learning, awareness of one's strengths and weaknesses, and navigation of career opportunities.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215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Subskill</w:t>
            </w:r>
          </w:p>
        </w:tc>
        <w:tc>
          <w:tcPr>
            <w:tcW w:type="dxa" w:w="6145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321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Self-awareness</w:t>
            </w:r>
          </w:p>
        </w:tc>
        <w:tc>
          <w:tcPr>
            <w:tcW w:type="dxa" w:w="614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Recognize own strengths, weaknesses, and areas for growth</w:t>
            </w:r>
          </w:p>
        </w:tc>
      </w:tr>
      <w:tr>
        <w:tc>
          <w:tcPr>
            <w:tcW w:type="dxa" w:w="321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Reflection</w:t>
            </w:r>
          </w:p>
        </w:tc>
        <w:tc>
          <w:tcPr>
            <w:tcW w:type="dxa" w:w="614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Examine own decisions and actions critically; extract lessons from experience</w:t>
            </w:r>
          </w:p>
        </w:tc>
      </w:tr>
      <w:tr>
        <w:tc>
          <w:tcPr>
            <w:tcW w:type="dxa" w:w="321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Growth orientation</w:t>
            </w:r>
          </w:p>
        </w:tc>
        <w:tc>
          <w:tcPr>
            <w:tcW w:type="dxa" w:w="614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Approach challenges as learning opportunities; persist through difficulty</w:t>
            </w:r>
          </w:p>
        </w:tc>
      </w:tr>
      <w:tr>
        <w:tc>
          <w:tcPr>
            <w:tcW w:type="dxa" w:w="321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Career articulation</w:t>
            </w:r>
          </w:p>
        </w:tc>
        <w:tc>
          <w:tcPr>
            <w:tcW w:type="dxa" w:w="614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Connect current experience to future goals; articulate growth and learning to others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How Competencies Connect to Assessment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Each competency is assessed through multiple evidence sources. No single deliverable maps to a single competency---rather, rubric dimensions draw on subskills across competencies as appropriate to the work being evaluated.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4680"/>
        <w:gridCol w:w="4680"/>
      </w:tblGrid>
      <w:tr>
        <w:tc>
          <w:tcPr>
            <w:tcW w:type="dxa" w:w="3266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Evidence Type</w:t>
            </w:r>
          </w:p>
        </w:tc>
        <w:tc>
          <w:tcPr>
            <w:tcW w:type="dxa" w:w="6094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Primary Competencies Assessed</w:t>
            </w:r>
          </w:p>
        </w:tc>
      </w:tr>
      <w:tr>
        <w:tc>
          <w:tcPr>
            <w:tcW w:type="dxa" w:w="3266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Project Deliverables</w:t>
            </w:r>
          </w:p>
        </w:tc>
        <w:tc>
          <w:tcPr>
            <w:tcW w:type="dxa" w:w="6094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Communication (written clarity), Critical Thinking (all subskills)</w:t>
            </w:r>
          </w:p>
        </w:tc>
      </w:tr>
      <w:tr>
        <w:tc>
          <w:tcPr>
            <w:tcW w:type="dxa" w:w="3266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Structured Reflections</w:t>
            </w:r>
          </w:p>
        </w:tc>
        <w:tc>
          <w:tcPr>
            <w:tcW w:type="dxa" w:w="6094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Career &amp; Self-Development (all subskills)</w:t>
            </w:r>
          </w:p>
        </w:tc>
      </w:tr>
      <w:tr>
        <w:tc>
          <w:tcPr>
            <w:tcW w:type="dxa" w:w="3266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Professional Engagement</w:t>
            </w:r>
          </w:p>
        </w:tc>
        <w:tc>
          <w:tcPr>
            <w:tcW w:type="dxa" w:w="6094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Professionalism (all subskills), Communication (professional correspondence, active listening)</w:t>
            </w:r>
          </w:p>
        </w:tc>
      </w:tr>
      <w:tr>
        <w:tc>
          <w:tcPr>
            <w:tcW w:type="dxa" w:w="3266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Peer Evaluation</w:t>
            </w:r>
          </w:p>
        </w:tc>
        <w:tc>
          <w:tcPr>
            <w:tcW w:type="dxa" w:w="6094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Teamwork (all subskills), Communication (active listening)</w:t>
            </w:r>
          </w:p>
        </w:tc>
      </w:tr>
      <w:tr>
        <w:tc>
          <w:tcPr>
            <w:tcW w:type="dxa" w:w="3266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/>
                <w:i w:val="0"/>
                <w:color w:val="050C2A"/>
                <w:sz w:val="20"/>
                <w:u w:val="none"/>
              </w:rPr>
              <w:t>Final Presentation</w:t>
            </w:r>
          </w:p>
        </w:tc>
        <w:tc>
          <w:tcPr>
            <w:tcW w:type="dxa" w:w="6094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Communication (oral presentation)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This multi-source approach ensures that claims about competency development are grounded in observable evidence, not self-report alone. Each evidence type contributes to a complete picture of what students can do.</w:t>
      </w:r>
    </w:p>
    <w:p>
      <w:pPr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A Note on Technology and AI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The NACE framework includes a Technology competency. The Riipen Experience addresses technology use — and AI use in particular — seriously and comprehensively, but through course policy and design rather than as a separately assessed competency.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The competency framework only includes competencies with robust, multi-source assessment evidence. AI conduct and technology use are addressed through: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An explicit AI Use Policy covering philosophy, permitted and prohibited uses, and week-by-week guidance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A per-submission AI disclosure requirement on all graded work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The defend-your-work standard enforced at the Final Presentation, where students must explain and respond to questions about their findings and recommendations in real time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Rubric criteria across all assessments that reward specificity, evidence, and judgment — qualities that reflect genuine student thinking regardless of what tools were used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This approach treats AI conduct as a professional norm embedded throughout the course rather than a discrete skill assessed in isolation. It is a more operationally substantive treatment than a competency subskill would provide.</w:t>
      </w:r>
    </w:p>
    <w:p>
      <w:pPr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Why This Framework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Recognized standard.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NACE competencies are the common language of career readiness. Using them means Riipen Experience outcomes connect directly to what employers say they want and what institutions are already tracking.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Assessable, not aspirational.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Every subskill can be observed in student work. We're not claiming to develop vague qualities like "leadership" or "creativity"---we're developing specific, demonstrable behaviors.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Consistent across projects.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Whether a student works on a marketing strategy or a data analysis project, the competency framework is the same. This is what makes diverse projects comparable and enables institutional learning over time.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Design-informed.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The course structure isn't arbitrary---it's built to create conditions where these competencies develop. Employer touchpoints build Communication. Team deliverables build Teamwork. Structured reflections build Career &amp; Self-Development. The framework and the pedagogy reinforce each other.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Framework version: February 2026. Five NACE competencies | 20 subskills.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M Sans" w:hAnsi="DM Sans" w:cs="DM Sans"/>
        <w:b/>
        <w:i w:val="0"/>
        <w:color w:val="FF7C0A"/>
        <w:sz w:val="16"/>
        <w:u w:val="none"/>
      </w:rPr>
      <w:t>Riipen</w:t>
    </w:r>
    <w:r>
      <w:rPr>
        <w:rFonts w:ascii="DM Sans" w:hAnsi="DM Sans" w:cs="DM Sans"/>
        <w:b w:val="0"/>
        <w:i w:val="0"/>
        <w:color w:val="ACACAC"/>
        <w:sz w:val="16"/>
        <w:u w:val="none"/>
      </w:rPr>
      <w:t xml:space="preserve">  |  </w:t>
    </w:r>
    <w:r>
      <w:rPr>
        <w:rFonts w:ascii="DM Sans" w:hAnsi="DM Sans" w:cs="DM Sans"/>
        <w:b w:val="0"/>
        <w:i w:val="0"/>
        <w:color w:val="ACACAC"/>
        <w:sz w:val="16"/>
        <w:u w:val="none"/>
      </w:rPr>
      <w:t>riipen.com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5742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iipe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57424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before="0" w:after="120"/>
    </w:pPr>
    <w:r>
      <w:rPr>
        <w:rFonts w:ascii="DM Sans" w:hAnsi="DM Sans" w:cs="DM Sans"/>
        <w:b w:val="0"/>
        <w:i w:val="0"/>
        <w:color w:val="ACACAC"/>
        <w:sz w:val="18"/>
        <w:u w:val="none"/>
      </w:rPr>
      <w:t>1200-555 West Hastings Street Vancouver, BC, V6B 4N6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cs="DM Sans"/>
      <w:color w:val="050C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