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Riipen Experience: Design Principles</w:t>
      </w:r>
    </w:p>
    <w:p>
      <w:pPr>
        <w:spacing w:before="0" w:after="120" w:line="276" w:lineRule="auto"/>
      </w:pPr>
      <w:r>
        <w:rPr>
          <w:rFonts w:ascii="DM Sans" w:hAnsi="DM Sans" w:cs="DM Sans"/>
          <w:b w:val="0"/>
          <w:i/>
          <w:color w:val="050C2A"/>
          <w:sz w:val="20"/>
          <w:u w:val="none"/>
        </w:rPr>
        <w:t>The pedagogical foundations that shape course structure and student experience</w:t>
      </w:r>
    </w:p>
    <w:p>
      <w:pPr>
        <w:pBdr>
          <w:bottom w:val="single" w:sz="6" w:space="1" w:color="ACACAC"/>
        </w:pBdr>
        <w:spacing w:before="120" w:after="120"/>
      </w:pPr>
    </w:p>
    <w:p>
      <w:pPr>
        <w:spacing w:before="280" w:after="100"/>
      </w:pPr>
      <w:r>
        <w:rPr>
          <w:rFonts w:ascii="DM Sans" w:hAnsi="DM Sans" w:cs="DM Sans"/>
          <w:b/>
          <w:i w:val="0"/>
          <w:color w:val="050C2A"/>
          <w:sz w:val="28"/>
          <w:u w:val="none"/>
        </w:rPr>
        <w:t>Overview</w:t>
      </w:r>
    </w:p>
    <w:p>
      <w:pPr>
        <w:spacing w:before="0" w:after="120" w:line="276" w:lineRule="auto"/>
      </w:pPr>
      <w:r>
        <w:rPr>
          <w:rFonts w:ascii="DM Sans" w:hAnsi="DM Sans" w:cs="DM Sans"/>
          <w:b w:val="0"/>
          <w:i w:val="0"/>
          <w:color w:val="050C2A"/>
          <w:sz w:val="20"/>
          <w:u w:val="none"/>
        </w:rPr>
        <w:t>Experience alone does not reliably produce learning. Students can complete projects, interact with employers, and receive good feedback without extracting lasting insight or developing transferable capabilities. The difference between productive experiential learning and unstructured work experience is intentional pedagogical design.</w:t>
      </w:r>
    </w:p>
    <w:p>
      <w:pPr>
        <w:spacing w:before="0" w:after="120" w:line="276" w:lineRule="auto"/>
      </w:pPr>
      <w:r>
        <w:rPr>
          <w:rFonts w:ascii="DM Sans" w:hAnsi="DM Sans" w:cs="DM Sans"/>
          <w:b w:val="0"/>
          <w:i w:val="0"/>
          <w:color w:val="050C2A"/>
          <w:sz w:val="20"/>
          <w:u w:val="none"/>
        </w:rPr>
        <w:t>This document describes the six design principles that shape the Riipen Experience course. These principles are grounded in learning science research and address the common failure modes that undermine experiential learning: shallow engagement, procrastination, freeloading, getting stuck, passive compliance, and weak evidence of learning.</w:t>
      </w:r>
    </w:p>
    <w:p>
      <w:pPr>
        <w:spacing w:before="0" w:after="120" w:line="276" w:lineRule="auto"/>
      </w:pPr>
      <w:r>
        <w:rPr>
          <w:rFonts w:ascii="DM Sans" w:hAnsi="DM Sans" w:cs="DM Sans"/>
          <w:b w:val="0"/>
          <w:i w:val="0"/>
          <w:color w:val="050C2A"/>
          <w:sz w:val="20"/>
          <w:u w:val="none"/>
        </w:rPr>
        <w:t>Each principle answers a specific design question: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923"/>
            <w:shd w:fill="FF7C0A" w:val="clear"/>
            <w:vAlign w:val="center"/>
          </w:tcPr>
          <w:p>
            <w:pPr>
              <w:jc w:val="left"/>
              <w:spacing w:before="40" w:after="40"/>
            </w:pPr>
            <w:r>
              <w:rPr>
                <w:rFonts w:ascii="DM Sans" w:hAnsi="DM Sans" w:cs="DM Sans"/>
                <w:b/>
                <w:i w:val="0"/>
                <w:color w:val="FFFFFF"/>
                <w:sz w:val="20"/>
                <w:u w:val="none"/>
              </w:rPr>
              <w:t>Principle</w:t>
            </w:r>
          </w:p>
        </w:tc>
        <w:tc>
          <w:tcPr>
            <w:tcW w:type="dxa" w:w="5437"/>
            <w:shd w:fill="FF7C0A" w:val="clear"/>
            <w:vAlign w:val="center"/>
          </w:tcPr>
          <w:p>
            <w:pPr>
              <w:jc w:val="left"/>
              <w:spacing w:before="40" w:after="40"/>
            </w:pPr>
            <w:r>
              <w:rPr>
                <w:rFonts w:ascii="DM Sans" w:hAnsi="DM Sans" w:cs="DM Sans"/>
                <w:b/>
                <w:i w:val="0"/>
                <w:color w:val="FFFFFF"/>
                <w:sz w:val="20"/>
                <w:u w:val="none"/>
              </w:rPr>
              <w:t>Design Question</w:t>
            </w:r>
          </w:p>
        </w:tc>
      </w:tr>
      <w:tr>
        <w:tc>
          <w:tcPr>
            <w:tcW w:type="dxa" w:w="3923"/>
            <w:vAlign w:val="center"/>
          </w:tcPr>
          <w:p>
            <w:pPr>
              <w:spacing w:before="30" w:after="30"/>
            </w:pPr>
            <w:r>
              <w:rPr>
                <w:rFonts w:ascii="DM Sans" w:hAnsi="DM Sans" w:cs="DM Sans"/>
                <w:b w:val="0"/>
                <w:i w:val="0"/>
                <w:color w:val="050C2A"/>
                <w:sz w:val="20"/>
                <w:u w:val="none"/>
              </w:rPr>
              <w:t>Structured Reflection</w:t>
            </w:r>
          </w:p>
        </w:tc>
        <w:tc>
          <w:tcPr>
            <w:tcW w:type="dxa" w:w="5437"/>
            <w:vAlign w:val="center"/>
          </w:tcPr>
          <w:p>
            <w:pPr>
              <w:spacing w:before="30" w:after="30"/>
            </w:pPr>
            <w:r>
              <w:rPr>
                <w:rFonts w:ascii="DM Sans" w:hAnsi="DM Sans" w:cs="DM Sans"/>
                <w:b w:val="0"/>
                <w:i w:val="0"/>
                <w:color w:val="050C2A"/>
                <w:sz w:val="20"/>
                <w:u w:val="none"/>
              </w:rPr>
              <w:t>How does experience become learning?</w:t>
            </w:r>
          </w:p>
        </w:tc>
      </w:tr>
      <w:tr>
        <w:tc>
          <w:tcPr>
            <w:tcW w:type="dxa" w:w="3923"/>
            <w:shd w:fill="F5F5F5" w:val="clear"/>
            <w:vAlign w:val="center"/>
          </w:tcPr>
          <w:p>
            <w:pPr>
              <w:spacing w:before="30" w:after="30"/>
            </w:pPr>
            <w:r>
              <w:rPr>
                <w:rFonts w:ascii="DM Sans" w:hAnsi="DM Sans" w:cs="DM Sans"/>
                <w:b w:val="0"/>
                <w:i w:val="0"/>
                <w:color w:val="050C2A"/>
                <w:sz w:val="20"/>
                <w:u w:val="none"/>
              </w:rPr>
              <w:t>Scaffolded Progression</w:t>
            </w:r>
          </w:p>
        </w:tc>
        <w:tc>
          <w:tcPr>
            <w:tcW w:type="dxa" w:w="5437"/>
            <w:shd w:fill="F5F5F5" w:val="clear"/>
            <w:vAlign w:val="center"/>
          </w:tcPr>
          <w:p>
            <w:pPr>
              <w:spacing w:before="30" w:after="30"/>
            </w:pPr>
            <w:r>
              <w:rPr>
                <w:rFonts w:ascii="DM Sans" w:hAnsi="DM Sans" w:cs="DM Sans"/>
                <w:b w:val="0"/>
                <w:i w:val="0"/>
                <w:color w:val="050C2A"/>
                <w:sz w:val="20"/>
                <w:u w:val="none"/>
              </w:rPr>
              <w:t>How do we prevent overwhelm and procrastination?</w:t>
            </w:r>
          </w:p>
        </w:tc>
      </w:tr>
      <w:tr>
        <w:tc>
          <w:tcPr>
            <w:tcW w:type="dxa" w:w="3923"/>
            <w:vAlign w:val="center"/>
          </w:tcPr>
          <w:p>
            <w:pPr>
              <w:spacing w:before="30" w:after="30"/>
            </w:pPr>
            <w:r>
              <w:rPr>
                <w:rFonts w:ascii="DM Sans" w:hAnsi="DM Sans" w:cs="DM Sans"/>
                <w:b w:val="0"/>
                <w:i w:val="0"/>
                <w:color w:val="050C2A"/>
                <w:sz w:val="20"/>
                <w:u w:val="none"/>
              </w:rPr>
              <w:t>Multiple Evidence Sources</w:t>
            </w:r>
          </w:p>
        </w:tc>
        <w:tc>
          <w:tcPr>
            <w:tcW w:type="dxa" w:w="5437"/>
            <w:vAlign w:val="center"/>
          </w:tcPr>
          <w:p>
            <w:pPr>
              <w:spacing w:before="30" w:after="30"/>
            </w:pPr>
            <w:r>
              <w:rPr>
                <w:rFonts w:ascii="DM Sans" w:hAnsi="DM Sans" w:cs="DM Sans"/>
                <w:b w:val="0"/>
                <w:i w:val="0"/>
                <w:color w:val="050C2A"/>
                <w:sz w:val="20"/>
                <w:u w:val="none"/>
              </w:rPr>
              <w:t>How do we credibly assess learning?</w:t>
            </w:r>
          </w:p>
        </w:tc>
      </w:tr>
      <w:tr>
        <w:tc>
          <w:tcPr>
            <w:tcW w:type="dxa" w:w="3923"/>
            <w:shd w:fill="F5F5F5" w:val="clear"/>
            <w:vAlign w:val="center"/>
          </w:tcPr>
          <w:p>
            <w:pPr>
              <w:spacing w:before="30" w:after="30"/>
            </w:pPr>
            <w:r>
              <w:rPr>
                <w:rFonts w:ascii="DM Sans" w:hAnsi="DM Sans" w:cs="DM Sans"/>
                <w:b w:val="0"/>
                <w:i w:val="0"/>
                <w:color w:val="050C2A"/>
                <w:sz w:val="20"/>
                <w:u w:val="none"/>
              </w:rPr>
              <w:t>Layered Accountability</w:t>
            </w:r>
          </w:p>
        </w:tc>
        <w:tc>
          <w:tcPr>
            <w:tcW w:type="dxa" w:w="5437"/>
            <w:shd w:fill="F5F5F5" w:val="clear"/>
            <w:vAlign w:val="center"/>
          </w:tcPr>
          <w:p>
            <w:pPr>
              <w:spacing w:before="30" w:after="30"/>
            </w:pPr>
            <w:r>
              <w:rPr>
                <w:rFonts w:ascii="DM Sans" w:hAnsi="DM Sans" w:cs="DM Sans"/>
                <w:b w:val="0"/>
                <w:i w:val="0"/>
                <w:color w:val="050C2A"/>
                <w:sz w:val="20"/>
                <w:u w:val="none"/>
              </w:rPr>
              <w:t>How do we ensure meaningful engagement?</w:t>
            </w:r>
          </w:p>
        </w:tc>
      </w:tr>
      <w:tr>
        <w:tc>
          <w:tcPr>
            <w:tcW w:type="dxa" w:w="3923"/>
            <w:vAlign w:val="center"/>
          </w:tcPr>
          <w:p>
            <w:pPr>
              <w:spacing w:before="30" w:after="30"/>
            </w:pPr>
            <w:r>
              <w:rPr>
                <w:rFonts w:ascii="DM Sans" w:hAnsi="DM Sans" w:cs="DM Sans"/>
                <w:b w:val="0"/>
                <w:i w:val="0"/>
                <w:color w:val="050C2A"/>
                <w:sz w:val="20"/>
                <w:u w:val="none"/>
              </w:rPr>
              <w:t>Consistent Framework</w:t>
            </w:r>
          </w:p>
        </w:tc>
        <w:tc>
          <w:tcPr>
            <w:tcW w:type="dxa" w:w="5437"/>
            <w:vAlign w:val="center"/>
          </w:tcPr>
          <w:p>
            <w:pPr>
              <w:spacing w:before="30" w:after="30"/>
            </w:pPr>
            <w:r>
              <w:rPr>
                <w:rFonts w:ascii="DM Sans" w:hAnsi="DM Sans" w:cs="DM Sans"/>
                <w:b w:val="0"/>
                <w:i w:val="0"/>
                <w:color w:val="050C2A"/>
                <w:sz w:val="20"/>
                <w:u w:val="none"/>
              </w:rPr>
              <w:t>How do we enable comparability and scale?</w:t>
            </w:r>
          </w:p>
        </w:tc>
      </w:tr>
      <w:tr>
        <w:tc>
          <w:tcPr>
            <w:tcW w:type="dxa" w:w="3923"/>
            <w:shd w:fill="F5F5F5" w:val="clear"/>
            <w:vAlign w:val="center"/>
          </w:tcPr>
          <w:p>
            <w:pPr>
              <w:spacing w:before="30" w:after="30"/>
            </w:pPr>
            <w:r>
              <w:rPr>
                <w:rFonts w:ascii="DM Sans" w:hAnsi="DM Sans" w:cs="DM Sans"/>
                <w:b w:val="0"/>
                <w:i w:val="0"/>
                <w:color w:val="050C2A"/>
                <w:sz w:val="20"/>
                <w:u w:val="none"/>
              </w:rPr>
              <w:t>Intentional Engagement</w:t>
            </w:r>
          </w:p>
        </w:tc>
        <w:tc>
          <w:tcPr>
            <w:tcW w:type="dxa" w:w="5437"/>
            <w:shd w:fill="F5F5F5" w:val="clear"/>
            <w:vAlign w:val="center"/>
          </w:tcPr>
          <w:p>
            <w:pPr>
              <w:spacing w:before="30" w:after="30"/>
            </w:pPr>
            <w:r>
              <w:rPr>
                <w:rFonts w:ascii="DM Sans" w:hAnsi="DM Sans" w:cs="DM Sans"/>
                <w:b w:val="0"/>
                <w:i w:val="0"/>
                <w:color w:val="050C2A"/>
                <w:sz w:val="20"/>
                <w:u w:val="none"/>
              </w:rPr>
              <w:t>What stance must students bring?</w:t>
            </w:r>
          </w:p>
        </w:tc>
      </w:tr>
    </w:tbl>
    <w:p>
      <w:pPr>
        <w:spacing w:before="0" w:after="120"/>
      </w:pPr>
    </w:p>
    <w:p>
      <w:pPr>
        <w:spacing w:before="0" w:after="120" w:line="276" w:lineRule="auto"/>
      </w:pPr>
      <w:r>
        <w:rPr>
          <w:rFonts w:ascii="DM Sans" w:hAnsi="DM Sans" w:cs="DM Sans"/>
          <w:b w:val="0"/>
          <w:i w:val="0"/>
          <w:color w:val="050C2A"/>
          <w:sz w:val="20"/>
          <w:u w:val="none"/>
        </w:rPr>
        <w:t xml:space="preserve">These principles work together to create a learning experience that is both effective for students and defensible for academic credit. The </w:t>
      </w:r>
      <w:r>
        <w:rPr>
          <w:rFonts w:ascii="DM Sans" w:hAnsi="DM Sans" w:cs="DM Sans"/>
          <w:b w:val="0"/>
          <w:i/>
          <w:color w:val="050C2A"/>
          <w:sz w:val="20"/>
          <w:u w:val="none"/>
        </w:rPr>
        <w:t>Competency Framework</w:t>
      </w:r>
      <w:r>
        <w:rPr>
          <w:rFonts w:ascii="DM Sans" w:hAnsi="DM Sans" w:cs="DM Sans"/>
          <w:b w:val="0"/>
          <w:i w:val="0"/>
          <w:color w:val="050C2A"/>
          <w:sz w:val="20"/>
          <w:u w:val="none"/>
        </w:rPr>
        <w:t xml:space="preserve"> document describes what students develop; the </w:t>
      </w:r>
      <w:r>
        <w:rPr>
          <w:rFonts w:ascii="DM Sans" w:hAnsi="DM Sans" w:cs="DM Sans"/>
          <w:b w:val="0"/>
          <w:i/>
          <w:color w:val="050C2A"/>
          <w:sz w:val="20"/>
          <w:u w:val="none"/>
        </w:rPr>
        <w:t>Course Structure</w:t>
      </w:r>
      <w:r>
        <w:rPr>
          <w:rFonts w:ascii="DM Sans" w:hAnsi="DM Sans" w:cs="DM Sans"/>
          <w:b w:val="0"/>
          <w:i w:val="0"/>
          <w:color w:val="050C2A"/>
          <w:sz w:val="20"/>
          <w:u w:val="none"/>
        </w:rPr>
        <w:t xml:space="preserve"> and </w:t>
      </w:r>
      <w:r>
        <w:rPr>
          <w:rFonts w:ascii="DM Sans" w:hAnsi="DM Sans" w:cs="DM Sans"/>
          <w:b w:val="0"/>
          <w:i/>
          <w:color w:val="050C2A"/>
          <w:sz w:val="20"/>
          <w:u w:val="none"/>
        </w:rPr>
        <w:t>Assessment Strategy</w:t>
      </w:r>
      <w:r>
        <w:rPr>
          <w:rFonts w:ascii="DM Sans" w:hAnsi="DM Sans" w:cs="DM Sans"/>
          <w:b w:val="0"/>
          <w:i w:val="0"/>
          <w:color w:val="050C2A"/>
          <w:sz w:val="20"/>
          <w:u w:val="none"/>
        </w:rPr>
        <w:t xml:space="preserve"> documents describe the specific implementation. This document explains the pedagogical logic that drives those design decisions.</w:t>
      </w:r>
    </w:p>
    <w:p>
      <w:pPr>
        <w:spacing w:before="280" w:after="100"/>
      </w:pPr>
      <w:r>
        <w:rPr>
          <w:rFonts w:ascii="DM Sans" w:hAnsi="DM Sans" w:cs="DM Sans"/>
          <w:b/>
          <w:i w:val="0"/>
          <w:color w:val="050C2A"/>
          <w:sz w:val="28"/>
          <w:u w:val="none"/>
        </w:rPr>
        <w:t>1. Structured Reflection Transforms Experience into Learning</w:t>
      </w:r>
    </w:p>
    <w:p>
      <w:pPr>
        <w:spacing w:before="0" w:after="120" w:line="276" w:lineRule="auto"/>
      </w:pPr>
      <w:r>
        <w:rPr>
          <w:rFonts w:ascii="DM Sans" w:hAnsi="DM Sans" w:cs="DM Sans"/>
          <w:b w:val="0"/>
          <w:i w:val="0"/>
          <w:color w:val="050C2A"/>
          <w:sz w:val="20"/>
          <w:u w:val="none"/>
        </w:rPr>
        <w:t>Students can complete projects successfully without extracting lasting insight. They do the work, get good feedback, and move on — but they don't develop transferable understanding of what they learned or why it matters. Reflection is the mechanism that bridges doing and knowing.</w:t>
      </w:r>
    </w:p>
    <w:p>
      <w:pPr>
        <w:spacing w:before="240" w:after="80"/>
      </w:pPr>
      <w:r>
        <w:rPr>
          <w:rFonts w:ascii="DM Sans" w:hAnsi="DM Sans" w:cs="DM Sans"/>
          <w:b/>
          <w:i w:val="0"/>
          <w:color w:val="050C2A"/>
          <w:sz w:val="24"/>
          <w:u w:val="none"/>
        </w:rPr>
        <w:t>The Problem It Addresses</w:t>
      </w:r>
    </w:p>
    <w:p>
      <w:pPr>
        <w:spacing w:before="0" w:after="120" w:line="276" w:lineRule="auto"/>
      </w:pPr>
      <w:r>
        <w:rPr>
          <w:rFonts w:ascii="DM Sans" w:hAnsi="DM Sans" w:cs="DM Sans"/>
          <w:b/>
          <w:i w:val="0"/>
          <w:color w:val="050C2A"/>
          <w:sz w:val="20"/>
          <w:u w:val="none"/>
        </w:rPr>
        <w:t>Shallow engagement and drift.</w:t>
      </w:r>
      <w:r>
        <w:rPr>
          <w:rFonts w:ascii="DM Sans" w:hAnsi="DM Sans" w:cs="DM Sans"/>
          <w:b w:val="0"/>
          <w:i w:val="0"/>
          <w:color w:val="050C2A"/>
          <w:sz w:val="20"/>
          <w:u w:val="none"/>
        </w:rPr>
        <w:t xml:space="preserve"> Without deliberate reflection, students complete tasks without examining their decisions, connecting to prior knowledge, or articulating what they've learned. The experience happens, but the learning remains tacit and fragile — unable to transfer to new contexts.</w:t>
      </w:r>
    </w:p>
    <w:p>
      <w:pPr>
        <w:spacing w:before="240" w:after="80"/>
      </w:pPr>
      <w:r>
        <w:rPr>
          <w:rFonts w:ascii="DM Sans" w:hAnsi="DM Sans" w:cs="DM Sans"/>
          <w:b/>
          <w:i w:val="0"/>
          <w:color w:val="050C2A"/>
          <w:sz w:val="24"/>
          <w:u w:val="none"/>
        </w:rPr>
        <w:t>The Research Base</w:t>
      </w:r>
    </w:p>
    <w:p>
      <w:pPr>
        <w:spacing w:before="0" w:after="120" w:line="276" w:lineRule="auto"/>
      </w:pPr>
      <w:r>
        <w:rPr>
          <w:rFonts w:ascii="DM Sans" w:hAnsi="DM Sans" w:cs="DM Sans"/>
          <w:b w:val="0"/>
          <w:i w:val="0"/>
          <w:color w:val="050C2A"/>
          <w:sz w:val="20"/>
          <w:u w:val="none"/>
        </w:rPr>
        <w:t>Kolb's experiential learning theory (1984) establishes reflection as the critical bridge between concrete experience and abstract conceptualization. Learning is not automatic; it requires deliberate examination of experience to extract meaning and develop transferable concepts.</w:t>
      </w:r>
    </w:p>
    <w:p>
      <w:pPr>
        <w:spacing w:before="0" w:after="120" w:line="276" w:lineRule="auto"/>
      </w:pPr>
      <w:r>
        <w:rPr>
          <w:rFonts w:ascii="DM Sans" w:hAnsi="DM Sans" w:cs="DM Sans"/>
          <w:b w:val="0"/>
          <w:i w:val="0"/>
          <w:color w:val="050C2A"/>
          <w:sz w:val="20"/>
          <w:u w:val="none"/>
        </w:rPr>
        <w:t>The DEAL model (Ash &amp; Clayton, 2009) operationalizes this through structured prompts that move students from Description (what happened) through Examination (analysis of decisions, assumptions, and alternatives) to Articulation of Learning (identifying transferable insights). This progression prevents the superficial "journal entry" reflection that produces little learning value.</w:t>
      </w:r>
    </w:p>
    <w:p>
      <w:pPr>
        <w:spacing w:before="0" w:after="120" w:line="276" w:lineRule="auto"/>
      </w:pPr>
      <w:r>
        <w:rPr>
          <w:rFonts w:ascii="DM Sans" w:hAnsi="DM Sans" w:cs="DM Sans"/>
          <w:b w:val="0"/>
          <w:i w:val="0"/>
          <w:color w:val="050C2A"/>
          <w:sz w:val="20"/>
          <w:u w:val="none"/>
        </w:rPr>
        <w:t>Research on elaborative interrogation demonstrates that prompts requiring learners to explain "why" and "how" significantly improve understanding and retention (Dunlosky et al., 2013). The examination phase of DEAL specifically targets this deeper processing.</w:t>
      </w:r>
    </w:p>
    <w:p>
      <w:pPr>
        <w:spacing w:before="240" w:after="80"/>
      </w:pPr>
      <w:r>
        <w:rPr>
          <w:rFonts w:ascii="DM Sans" w:hAnsi="DM Sans" w:cs="DM Sans"/>
          <w:b/>
          <w:i w:val="0"/>
          <w:color w:val="050C2A"/>
          <w:sz w:val="24"/>
          <w:u w:val="none"/>
        </w:rPr>
        <w:t>How It Manifests in the Course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Five structured reflections at phase transitions (Weeks 3, 6, 9, 12, and 15), timed so students have enough experience to reflect meaningfully but before they've mentally moved 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DEAL framework (Describe, Examine, Articulate Learning) provides consistent structure across all reflections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Fixed prompts are consistent across all students, ensuring comparability and assessment reliability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Each reflection targets specific learning outcomes: the first examines approach to ambiguity and initiative; the second examines integration of knowledge with practice; the third examines transfer and future application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Reflection is weighted significantly in grading, signaling that learning process matters — not just deliverable quality</w:t>
      </w:r>
    </w:p>
    <w:p>
      <w:pPr>
        <w:spacing w:before="240" w:after="80"/>
      </w:pPr>
      <w:r>
        <w:rPr>
          <w:rFonts w:ascii="DM Sans" w:hAnsi="DM Sans" w:cs="DM Sans"/>
          <w:b/>
          <w:i w:val="0"/>
          <w:color w:val="050C2A"/>
          <w:sz w:val="24"/>
          <w:u w:val="none"/>
        </w:rPr>
        <w:t>Credit-Worthiness</w:t>
      </w:r>
    </w:p>
    <w:p>
      <w:pPr>
        <w:spacing w:before="0" w:after="120" w:line="276" w:lineRule="auto"/>
      </w:pPr>
      <w:r>
        <w:rPr>
          <w:rFonts w:ascii="DM Sans" w:hAnsi="DM Sans" w:cs="DM Sans"/>
          <w:b w:val="0"/>
          <w:i w:val="0"/>
          <w:color w:val="050C2A"/>
          <w:sz w:val="20"/>
          <w:u w:val="none"/>
        </w:rPr>
        <w:t>Structured reflection produces documented evidence of learning, not just evidence of completion. It enables assessment of metacognition, growth, and transfer capacity — competencies that distinguish experiential learning from unstructured work experience.</w:t>
      </w:r>
    </w:p>
    <w:p>
      <w:pPr>
        <w:spacing w:before="280" w:after="100"/>
      </w:pPr>
      <w:r>
        <w:rPr>
          <w:rFonts w:ascii="DM Sans" w:hAnsi="DM Sans" w:cs="DM Sans"/>
          <w:b/>
          <w:i w:val="0"/>
          <w:color w:val="050C2A"/>
          <w:sz w:val="28"/>
          <w:u w:val="none"/>
        </w:rPr>
        <w:t>2. Scaffolded Progression Prevents Overwhelm and Procrastination</w:t>
      </w:r>
    </w:p>
    <w:p>
      <w:pPr>
        <w:spacing w:before="0" w:after="120" w:line="276" w:lineRule="auto"/>
      </w:pPr>
      <w:r>
        <w:rPr>
          <w:rFonts w:ascii="DM Sans" w:hAnsi="DM Sans" w:cs="DM Sans"/>
          <w:b w:val="0"/>
          <w:i w:val="0"/>
          <w:color w:val="050C2A"/>
          <w:sz w:val="20"/>
          <w:u w:val="none"/>
        </w:rPr>
        <w:t>Complex, ambiguous projects overwhelm novices. Distant deadlines enable procrastination. Without intermediate structure, students either freeze (not knowing where to start) or pile work at the end (resulting in poor quality and shallow learning).</w:t>
      </w:r>
    </w:p>
    <w:p>
      <w:pPr>
        <w:spacing w:before="240" w:after="80"/>
      </w:pPr>
      <w:r>
        <w:rPr>
          <w:rFonts w:ascii="DM Sans" w:hAnsi="DM Sans" w:cs="DM Sans"/>
          <w:b/>
          <w:i w:val="0"/>
          <w:color w:val="050C2A"/>
          <w:sz w:val="24"/>
          <w:u w:val="none"/>
        </w:rPr>
        <w:t>The Problems It Addresses</w:t>
      </w:r>
    </w:p>
    <w:p>
      <w:pPr>
        <w:spacing w:before="0" w:after="120" w:line="276" w:lineRule="auto"/>
      </w:pPr>
      <w:r>
        <w:rPr>
          <w:rFonts w:ascii="DM Sans" w:hAnsi="DM Sans" w:cs="DM Sans"/>
          <w:b/>
          <w:i w:val="0"/>
          <w:color w:val="050C2A"/>
          <w:sz w:val="20"/>
          <w:u w:val="none"/>
        </w:rPr>
        <w:t>Getting stuck.</w:t>
      </w:r>
      <w:r>
        <w:rPr>
          <w:rFonts w:ascii="DM Sans" w:hAnsi="DM Sans" w:cs="DM Sans"/>
          <w:b w:val="0"/>
          <w:i w:val="0"/>
          <w:color w:val="050C2A"/>
          <w:sz w:val="20"/>
          <w:u w:val="none"/>
        </w:rPr>
        <w:t xml:space="preserve"> Students face an ill-structured problem and don't know how to begin. Without scaffolding, productive struggle becomes unproductive frustration.</w:t>
      </w:r>
    </w:p>
    <w:p>
      <w:pPr>
        <w:spacing w:before="0" w:after="120" w:line="276" w:lineRule="auto"/>
      </w:pPr>
      <w:r>
        <w:rPr>
          <w:rFonts w:ascii="DM Sans" w:hAnsi="DM Sans" w:cs="DM Sans"/>
          <w:b/>
          <w:i w:val="0"/>
          <w:color w:val="050C2A"/>
          <w:sz w:val="20"/>
          <w:u w:val="none"/>
        </w:rPr>
        <w:t>Procrastination.</w:t>
      </w:r>
      <w:r>
        <w:rPr>
          <w:rFonts w:ascii="DM Sans" w:hAnsi="DM Sans" w:cs="DM Sans"/>
          <w:b w:val="0"/>
          <w:i w:val="0"/>
          <w:color w:val="050C2A"/>
          <w:sz w:val="20"/>
          <w:u w:val="none"/>
        </w:rPr>
        <w:t xml:space="preserve"> With only a final deadline weeks away, students delay starting. Work accumulates, quality suffers, and learning is compressed into a frantic final push.</w:t>
      </w:r>
    </w:p>
    <w:p>
      <w:pPr>
        <w:spacing w:before="0" w:after="120" w:line="276" w:lineRule="auto"/>
      </w:pPr>
      <w:r>
        <w:rPr>
          <w:rFonts w:ascii="DM Sans" w:hAnsi="DM Sans" w:cs="DM Sans"/>
          <w:b/>
          <w:i w:val="0"/>
          <w:color w:val="050C2A"/>
          <w:sz w:val="20"/>
          <w:u w:val="none"/>
        </w:rPr>
        <w:t>Quality collapse.</w:t>
      </w:r>
      <w:r>
        <w:rPr>
          <w:rFonts w:ascii="DM Sans" w:hAnsi="DM Sans" w:cs="DM Sans"/>
          <w:b w:val="0"/>
          <w:i w:val="0"/>
          <w:color w:val="050C2A"/>
          <w:sz w:val="20"/>
          <w:u w:val="none"/>
        </w:rPr>
        <w:t xml:space="preserve"> Without intermediate checkpoints, there's no opportunity for course correction. Problems in approach or understanding compound until the final submission.</w:t>
      </w:r>
    </w:p>
    <w:p>
      <w:pPr>
        <w:spacing w:before="240" w:after="80"/>
      </w:pPr>
      <w:r>
        <w:rPr>
          <w:rFonts w:ascii="DM Sans" w:hAnsi="DM Sans" w:cs="DM Sans"/>
          <w:b/>
          <w:i w:val="0"/>
          <w:color w:val="050C2A"/>
          <w:sz w:val="24"/>
          <w:u w:val="none"/>
        </w:rPr>
        <w:t>The Research Base</w:t>
      </w:r>
    </w:p>
    <w:p>
      <w:pPr>
        <w:spacing w:before="0" w:after="120" w:line="276" w:lineRule="auto"/>
      </w:pPr>
      <w:r>
        <w:rPr>
          <w:rFonts w:ascii="DM Sans" w:hAnsi="DM Sans" w:cs="DM Sans"/>
          <w:b w:val="0"/>
          <w:i w:val="0"/>
          <w:color w:val="050C2A"/>
          <w:sz w:val="20"/>
          <w:u w:val="none"/>
        </w:rPr>
        <w:t>Cognitive load theory (Sweller, 1988) demonstrates that novices lack the mental schemas experts use to organize complex information. Ill-structured tasks impose high cognitive load, making learning less efficient. Breaking complex work into smaller steps with intermediate feedback reduces extraneous load and supports learning.</w:t>
      </w:r>
    </w:p>
    <w:p>
      <w:pPr>
        <w:spacing w:before="0" w:after="120" w:line="276" w:lineRule="auto"/>
      </w:pPr>
      <w:r>
        <w:rPr>
          <w:rFonts w:ascii="DM Sans" w:hAnsi="DM Sans" w:cs="DM Sans"/>
          <w:b w:val="0"/>
          <w:i w:val="0"/>
          <w:color w:val="050C2A"/>
          <w:sz w:val="20"/>
          <w:u w:val="none"/>
        </w:rPr>
        <w:t>Procrastination research (Steel, 2007) identifies distant deadlines and task ambiguity as key predictors of delay. Shorter feedback loops and concrete interim goals counteract procrastination by creating proximate consequences and clarifying next steps.</w:t>
      </w:r>
    </w:p>
    <w:p>
      <w:pPr>
        <w:spacing w:before="0" w:after="120" w:line="276" w:lineRule="auto"/>
      </w:pPr>
      <w:r>
        <w:rPr>
          <w:rFonts w:ascii="DM Sans" w:hAnsi="DM Sans" w:cs="DM Sans"/>
          <w:b w:val="0"/>
          <w:i w:val="0"/>
          <w:color w:val="050C2A"/>
          <w:sz w:val="20"/>
          <w:u w:val="none"/>
        </w:rPr>
        <w:t>Productive failure research (Kapur, 2008) shows that struggle can benefit learning — but only when appropriately scaffolded and followed by consolidation. Unstructured struggle often leads to frustration and disengagement rather than growth.</w:t>
      </w:r>
    </w:p>
    <w:p>
      <w:pPr>
        <w:spacing w:before="240" w:after="80"/>
      </w:pPr>
      <w:r>
        <w:rPr>
          <w:rFonts w:ascii="DM Sans" w:hAnsi="DM Sans" w:cs="DM Sans"/>
          <w:b/>
          <w:i w:val="0"/>
          <w:color w:val="050C2A"/>
          <w:sz w:val="24"/>
          <w:u w:val="none"/>
        </w:rPr>
        <w:t>How It Manifests in the Course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Multiple deliverables across the term, with no gap longer than two weeks between submissions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Deliverables progress from lower to higher complexity (team charter → context analysis → draft deliverables → final package)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Checkpoints provide structure and feedback without over-grading early work; graded deliverables assess quality at appropriate stages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Module content is sequenced to provide just-in-time support aligned with each phase of work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Employer touchpoints create external checkpoints that reinforce the milestone sequence</w:t>
      </w:r>
    </w:p>
    <w:p>
      <w:pPr>
        <w:spacing w:before="240" w:after="80"/>
      </w:pPr>
      <w:r>
        <w:rPr>
          <w:rFonts w:ascii="DM Sans" w:hAnsi="DM Sans" w:cs="DM Sans"/>
          <w:b/>
          <w:i w:val="0"/>
          <w:color w:val="050C2A"/>
          <w:sz w:val="24"/>
          <w:u w:val="none"/>
        </w:rPr>
        <w:t>Credit-Worthiness</w:t>
      </w:r>
    </w:p>
    <w:p>
      <w:pPr>
        <w:spacing w:before="0" w:after="120" w:line="276" w:lineRule="auto"/>
      </w:pPr>
      <w:r>
        <w:rPr>
          <w:rFonts w:ascii="DM Sans" w:hAnsi="DM Sans" w:cs="DM Sans"/>
          <w:b w:val="0"/>
          <w:i w:val="0"/>
          <w:color w:val="050C2A"/>
          <w:sz w:val="20"/>
          <w:u w:val="none"/>
        </w:rPr>
        <w:t>Scaffolded progression demonstrates structured pedagogy — the course is designed to produce learning, not just to assign work. Multiple assessment points reduce reliance on single high-stakes evaluation and provide evidence of development over time.</w:t>
      </w:r>
    </w:p>
    <w:p>
      <w:pPr>
        <w:spacing w:before="280" w:after="100"/>
      </w:pPr>
      <w:r>
        <w:rPr>
          <w:rFonts w:ascii="DM Sans" w:hAnsi="DM Sans" w:cs="DM Sans"/>
          <w:b/>
          <w:i w:val="0"/>
          <w:color w:val="050C2A"/>
          <w:sz w:val="28"/>
          <w:u w:val="none"/>
        </w:rPr>
        <w:t>3. Multiple Evidence Sources Enable Credible Assessment</w:t>
      </w:r>
    </w:p>
    <w:p>
      <w:pPr>
        <w:spacing w:before="0" w:after="120" w:line="276" w:lineRule="auto"/>
      </w:pPr>
      <w:r>
        <w:rPr>
          <w:rFonts w:ascii="DM Sans" w:hAnsi="DM Sans" w:cs="DM Sans"/>
          <w:b w:val="0"/>
          <w:i w:val="0"/>
          <w:color w:val="050C2A"/>
          <w:sz w:val="20"/>
          <w:u w:val="none"/>
        </w:rPr>
        <w:t>Claims about learning require evidence. When assessment relies on a single source — instructor judgment, employer feedback, or deliverable quality alone — reliability suffers and the evidence base is too narrow to support confident conclusions about what students learned.</w:t>
      </w:r>
    </w:p>
    <w:p>
      <w:pPr>
        <w:spacing w:before="240" w:after="80"/>
      </w:pPr>
      <w:r>
        <w:rPr>
          <w:rFonts w:ascii="DM Sans" w:hAnsi="DM Sans" w:cs="DM Sans"/>
          <w:b/>
          <w:i w:val="0"/>
          <w:color w:val="050C2A"/>
          <w:sz w:val="24"/>
          <w:u w:val="none"/>
        </w:rPr>
        <w:t>The Problem It Addresses</w:t>
      </w:r>
    </w:p>
    <w:p>
      <w:pPr>
        <w:spacing w:before="0" w:after="120" w:line="276" w:lineRule="auto"/>
      </w:pPr>
      <w:r>
        <w:rPr>
          <w:rFonts w:ascii="DM Sans" w:hAnsi="DM Sans" w:cs="DM Sans"/>
          <w:b/>
          <w:i w:val="0"/>
          <w:color w:val="050C2A"/>
          <w:sz w:val="20"/>
          <w:u w:val="none"/>
        </w:rPr>
        <w:t>Weak evidence base.</w:t>
      </w:r>
      <w:r>
        <w:rPr>
          <w:rFonts w:ascii="DM Sans" w:hAnsi="DM Sans" w:cs="DM Sans"/>
          <w:b w:val="0"/>
          <w:i w:val="0"/>
          <w:color w:val="050C2A"/>
          <w:sz w:val="20"/>
          <w:u w:val="none"/>
        </w:rPr>
        <w:t xml:space="preserve"> A good deliverable doesn't prove a student learned — they might have had strong prior skills. Employer satisfaction doesn't prove learning — employers see only part of the work and have varying standards. Instructor judgment alone lacks reliability at scale.</w:t>
      </w:r>
    </w:p>
    <w:p>
      <w:pPr>
        <w:spacing w:before="240" w:after="80"/>
      </w:pPr>
      <w:r>
        <w:rPr>
          <w:rFonts w:ascii="DM Sans" w:hAnsi="DM Sans" w:cs="DM Sans"/>
          <w:b/>
          <w:i w:val="0"/>
          <w:color w:val="050C2A"/>
          <w:sz w:val="24"/>
          <w:u w:val="none"/>
        </w:rPr>
        <w:t>The Research Base</w:t>
      </w:r>
    </w:p>
    <w:p>
      <w:pPr>
        <w:spacing w:before="0" w:after="120" w:line="276" w:lineRule="auto"/>
      </w:pPr>
      <w:r>
        <w:rPr>
          <w:rFonts w:ascii="DM Sans" w:hAnsi="DM Sans" w:cs="DM Sans"/>
          <w:b w:val="0"/>
          <w:i w:val="0"/>
          <w:color w:val="050C2A"/>
          <w:sz w:val="20"/>
          <w:u w:val="none"/>
        </w:rPr>
        <w:t>Authentic assessment research (Wiggins, 1998) establishes that meaningful evaluation requires performance tasks that replicate real-world challenges, assessed against explicit criteria. Triangulation principles from research methodology demonstrate that multiple evidence sources increase validity and reduce measurement error.</w:t>
      </w:r>
    </w:p>
    <w:p>
      <w:pPr>
        <w:spacing w:before="0" w:after="120" w:line="276" w:lineRule="auto"/>
      </w:pPr>
      <w:r>
        <w:rPr>
          <w:rFonts w:ascii="DM Sans" w:hAnsi="DM Sans" w:cs="DM Sans"/>
          <w:b w:val="0"/>
          <w:i w:val="0"/>
          <w:color w:val="050C2A"/>
          <w:sz w:val="20"/>
          <w:u w:val="none"/>
        </w:rPr>
        <w:t>Rubric research (Jonsson &amp; Svingby, 2007) shows that analytic rubrics — with separate scores for distinct dimensions — are more reliable and provide better feedback than holistic judgments. Assessment validity research (Messick, 1995) emphasizes that claims about learning require evidence from multiple methods capturing different aspects of competence.</w:t>
      </w:r>
    </w:p>
    <w:p>
      <w:pPr>
        <w:spacing w:before="240" w:after="80"/>
      </w:pPr>
      <w:r>
        <w:rPr>
          <w:rFonts w:ascii="DM Sans" w:hAnsi="DM Sans" w:cs="DM Sans"/>
          <w:b/>
          <w:i w:val="0"/>
          <w:color w:val="050C2A"/>
          <w:sz w:val="24"/>
          <w:u w:val="none"/>
        </w:rPr>
        <w:t>How It Manifests in the Course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Four distinct evidence types, each capturing different aspects of learning: project deliverables (applied skill and work quality), structured reflections (learning process and metacognition), professional engagement (workplace behaviors and reliability), and final presentation (synthesis and communication)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Each evidence type has defined rubrics with explicit criteria</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Project deliverable rubrics use standardized dimensions that enable comparison across projects while remaining relevant to the work students are doing</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Reflection, professionalism, and presentation rubrics are standardized across all projects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Both process and product are assessed — not just final outputs</w:t>
      </w:r>
    </w:p>
    <w:p>
      <w:pPr>
        <w:spacing w:before="240" w:after="80"/>
      </w:pPr>
      <w:r>
        <w:rPr>
          <w:rFonts w:ascii="DM Sans" w:hAnsi="DM Sans" w:cs="DM Sans"/>
          <w:b/>
          <w:i w:val="0"/>
          <w:color w:val="050C2A"/>
          <w:sz w:val="24"/>
          <w:u w:val="none"/>
        </w:rPr>
        <w:t>Credit-Worthiness</w:t>
      </w:r>
    </w:p>
    <w:p>
      <w:pPr>
        <w:spacing w:before="0" w:after="120" w:line="276" w:lineRule="auto"/>
      </w:pPr>
      <w:r>
        <w:rPr>
          <w:rFonts w:ascii="DM Sans" w:hAnsi="DM Sans" w:cs="DM Sans"/>
          <w:b w:val="0"/>
          <w:i w:val="0"/>
          <w:color w:val="050C2A"/>
          <w:sz w:val="20"/>
          <w:u w:val="none"/>
        </w:rPr>
        <w:t>Multiple evidence sources enable defensible claims about what students learned. The triangulated assessment approach captures different aspects of competence and reduces the risk that grades reflect factors other than learning (luck, prior skill, team composition).</w:t>
      </w:r>
    </w:p>
    <w:p>
      <w:pPr>
        <w:spacing w:before="280" w:after="100"/>
      </w:pPr>
      <w:r>
        <w:rPr>
          <w:rFonts w:ascii="DM Sans" w:hAnsi="DM Sans" w:cs="DM Sans"/>
          <w:b/>
          <w:i w:val="0"/>
          <w:color w:val="050C2A"/>
          <w:sz w:val="28"/>
          <w:u w:val="none"/>
        </w:rPr>
        <w:t>4. Layered Accountability Ensures Meaningful Engagement</w:t>
      </w:r>
    </w:p>
    <w:p>
      <w:pPr>
        <w:spacing w:before="0" w:after="120" w:line="276" w:lineRule="auto"/>
      </w:pPr>
      <w:r>
        <w:rPr>
          <w:rFonts w:ascii="DM Sans" w:hAnsi="DM Sans" w:cs="DM Sans"/>
          <w:b w:val="0"/>
          <w:i w:val="0"/>
          <w:color w:val="050C2A"/>
          <w:sz w:val="20"/>
          <w:u w:val="none"/>
        </w:rPr>
        <w:t>Students are accountable at multiple levels: to their teammates, to external stakeholders, and individually. This layered structure addresses both freeloading (the team problem) and low stakes (the authenticity problem). No one can hide.</w:t>
      </w:r>
    </w:p>
    <w:p>
      <w:pPr>
        <w:spacing w:before="240" w:after="80"/>
      </w:pPr>
      <w:r>
        <w:rPr>
          <w:rFonts w:ascii="DM Sans" w:hAnsi="DM Sans" w:cs="DM Sans"/>
          <w:b/>
          <w:i w:val="0"/>
          <w:color w:val="050C2A"/>
          <w:sz w:val="24"/>
          <w:u w:val="none"/>
        </w:rPr>
        <w:t>The Problems It Addresses</w:t>
      </w:r>
    </w:p>
    <w:p>
      <w:pPr>
        <w:spacing w:before="0" w:after="120" w:line="276" w:lineRule="auto"/>
      </w:pPr>
      <w:r>
        <w:rPr>
          <w:rFonts w:ascii="DM Sans" w:hAnsi="DM Sans" w:cs="DM Sans"/>
          <w:b/>
          <w:i w:val="0"/>
          <w:color w:val="050C2A"/>
          <w:sz w:val="20"/>
          <w:u w:val="none"/>
        </w:rPr>
        <w:t>Freeloading.</w:t>
      </w:r>
      <w:r>
        <w:rPr>
          <w:rFonts w:ascii="DM Sans" w:hAnsi="DM Sans" w:cs="DM Sans"/>
          <w:b w:val="0"/>
          <w:i w:val="0"/>
          <w:color w:val="050C2A"/>
          <w:sz w:val="20"/>
          <w:u w:val="none"/>
        </w:rPr>
        <w:t xml:space="preserve"> In group work, some students contribute less while others carry the load. Without individual visibility, freeloading goes undetected and unaddressed.</w:t>
      </w:r>
    </w:p>
    <w:p>
      <w:pPr>
        <w:spacing w:before="0" w:after="120" w:line="276" w:lineRule="auto"/>
      </w:pPr>
      <w:r>
        <w:rPr>
          <w:rFonts w:ascii="DM Sans" w:hAnsi="DM Sans" w:cs="DM Sans"/>
          <w:b/>
          <w:i w:val="0"/>
          <w:color w:val="050C2A"/>
          <w:sz w:val="20"/>
          <w:u w:val="none"/>
        </w:rPr>
        <w:t>Low stakes.</w:t>
      </w:r>
      <w:r>
        <w:rPr>
          <w:rFonts w:ascii="DM Sans" w:hAnsi="DM Sans" w:cs="DM Sans"/>
          <w:b w:val="0"/>
          <w:i w:val="0"/>
          <w:color w:val="050C2A"/>
          <w:sz w:val="20"/>
          <w:u w:val="none"/>
        </w:rPr>
        <w:t xml:space="preserve"> When only the instructor sees the work, students learn to satisfy academic requirements rather than professional expectations. Simulated projects lack the consequential feedback that drives real learning.</w:t>
      </w:r>
    </w:p>
    <w:p>
      <w:pPr>
        <w:spacing w:before="0" w:after="120" w:line="276" w:lineRule="auto"/>
      </w:pPr>
      <w:r>
        <w:rPr>
          <w:rFonts w:ascii="DM Sans" w:hAnsi="DM Sans" w:cs="DM Sans"/>
          <w:b/>
          <w:i w:val="0"/>
          <w:color w:val="050C2A"/>
          <w:sz w:val="20"/>
          <w:u w:val="none"/>
        </w:rPr>
        <w:t>Hidden contributions.</w:t>
      </w:r>
      <w:r>
        <w:rPr>
          <w:rFonts w:ascii="DM Sans" w:hAnsi="DM Sans" w:cs="DM Sans"/>
          <w:b w:val="0"/>
          <w:i w:val="0"/>
          <w:color w:val="050C2A"/>
          <w:sz w:val="20"/>
          <w:u w:val="none"/>
        </w:rPr>
        <w:t xml:space="preserve"> Team deliverables make it difficult to assess individual learning. Without individual evidence, grades may not reflect actual student capability.</w:t>
      </w:r>
    </w:p>
    <w:p>
      <w:pPr>
        <w:spacing w:before="240" w:after="80"/>
      </w:pPr>
      <w:r>
        <w:rPr>
          <w:rFonts w:ascii="DM Sans" w:hAnsi="DM Sans" w:cs="DM Sans"/>
          <w:b/>
          <w:i w:val="0"/>
          <w:color w:val="050C2A"/>
          <w:sz w:val="24"/>
          <w:u w:val="none"/>
        </w:rPr>
        <w:t>The Research Base</w:t>
      </w:r>
    </w:p>
    <w:p>
      <w:pPr>
        <w:spacing w:before="0" w:after="120" w:line="276" w:lineRule="auto"/>
      </w:pPr>
      <w:r>
        <w:rPr>
          <w:rFonts w:ascii="DM Sans" w:hAnsi="DM Sans" w:cs="DM Sans"/>
          <w:b w:val="0"/>
          <w:i w:val="0"/>
          <w:color w:val="050C2A"/>
          <w:sz w:val="20"/>
          <w:u w:val="none"/>
        </w:rPr>
        <w:t>Meta-analysis of social loafing research (Karau &amp; Williams, 1993) identifies key factors that increase freeloading: unidentifiable individual contributions, large group size, perception that others will compensate, and tasks perceived as unimportant. Countermeasures supported by research include small teams, identifiable individual contributions, meaningful tasks, and peer evaluation — even the expectation of peer evaluation reduces loafing.</w:t>
      </w:r>
    </w:p>
    <w:p>
      <w:pPr>
        <w:spacing w:before="0" w:after="120" w:line="276" w:lineRule="auto"/>
      </w:pPr>
      <w:r>
        <w:rPr>
          <w:rFonts w:ascii="DM Sans" w:hAnsi="DM Sans" w:cs="DM Sans"/>
          <w:b w:val="0"/>
          <w:i w:val="0"/>
          <w:color w:val="050C2A"/>
          <w:sz w:val="20"/>
          <w:u w:val="none"/>
        </w:rPr>
        <w:t>Team effectiveness research (Hackman, 2002) consistently shows that accountability structures and early norm-setting improve both process and outcomes. High-Impact Practices research (Kuh, 2008) emphasizes that authentic external accountability — real stakeholders with real needs — creates the conditions for deep engagement.</w:t>
      </w:r>
    </w:p>
    <w:p>
      <w:pPr>
        <w:spacing w:before="240" w:after="80"/>
      </w:pPr>
      <w:r>
        <w:rPr>
          <w:rFonts w:ascii="DM Sans" w:hAnsi="DM Sans" w:cs="DM Sans"/>
          <w:b/>
          <w:i w:val="0"/>
          <w:color w:val="050C2A"/>
          <w:sz w:val="24"/>
          <w:u w:val="none"/>
        </w:rPr>
        <w:t>How It Manifests in the Course</w:t>
      </w:r>
    </w:p>
    <w:p>
      <w:pPr>
        <w:spacing w:before="0" w:after="120" w:line="276" w:lineRule="auto"/>
      </w:pPr>
      <w:r>
        <w:rPr>
          <w:rFonts w:ascii="DM Sans" w:hAnsi="DM Sans" w:cs="DM Sans"/>
          <w:b/>
          <w:i w:val="0"/>
          <w:color w:val="050C2A"/>
          <w:sz w:val="20"/>
          <w:u w:val="none"/>
        </w:rPr>
        <w:t>Team accountability: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Teams of four — small enough that each person's contribution is visible, large enough for genuine collaboration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Team charter establishes working agreements and expectations early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Mid-project peer evaluation enables course correction; final peer evaluation informs assessment</w:t>
      </w:r>
    </w:p>
    <w:p>
      <w:pPr>
        <w:spacing w:before="0" w:after="120" w:line="276" w:lineRule="auto"/>
      </w:pPr>
      <w:r>
        <w:rPr>
          <w:rFonts w:ascii="DM Sans" w:hAnsi="DM Sans" w:cs="DM Sans"/>
          <w:b/>
          <w:i w:val="0"/>
          <w:color w:val="050C2A"/>
          <w:sz w:val="20"/>
          <w:u w:val="none"/>
        </w:rPr>
        <w:t>External accountability: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Real employers with actual needs — they will use the deliverables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Multiple employer touchpoints create ongoing external accountability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Employer feedback contributes to assessment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Final presentation to external audience creates consequential stakes</w:t>
      </w:r>
    </w:p>
    <w:p>
      <w:pPr>
        <w:spacing w:before="0" w:after="120" w:line="276" w:lineRule="auto"/>
      </w:pPr>
      <w:r>
        <w:rPr>
          <w:rFonts w:ascii="DM Sans" w:hAnsi="DM Sans" w:cs="DM Sans"/>
          <w:b/>
          <w:i w:val="0"/>
          <w:color w:val="050C2A"/>
          <w:sz w:val="20"/>
          <w:u w:val="none"/>
        </w:rPr>
        <w:t>Individual accountability: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Individual reflection portfolios — each student produces their own evidence of learning</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Professionalism rubric captures individual engagement behaviors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Individual contributions are visible even within team deliverables</w:t>
      </w:r>
    </w:p>
    <w:p>
      <w:pPr>
        <w:spacing w:before="240" w:after="80"/>
      </w:pPr>
      <w:r>
        <w:rPr>
          <w:rFonts w:ascii="DM Sans" w:hAnsi="DM Sans" w:cs="DM Sans"/>
          <w:b/>
          <w:i w:val="0"/>
          <w:color w:val="050C2A"/>
          <w:sz w:val="24"/>
          <w:u w:val="none"/>
        </w:rPr>
        <w:t>Credit-Worthiness</w:t>
      </w:r>
    </w:p>
    <w:p>
      <w:pPr>
        <w:spacing w:before="0" w:after="120" w:line="276" w:lineRule="auto"/>
      </w:pPr>
      <w:r>
        <w:rPr>
          <w:rFonts w:ascii="DM Sans" w:hAnsi="DM Sans" w:cs="DM Sans"/>
          <w:b w:val="0"/>
          <w:i w:val="0"/>
          <w:color w:val="050C2A"/>
          <w:sz w:val="20"/>
          <w:u w:val="none"/>
        </w:rPr>
        <w:t>Individual grades are defensible because individual evidence exists. External validation from non-academic stakeholders demonstrates professional competency in professional context, not just academic simulation. Collaboration competency is assessed without masking individual performance.</w:t>
      </w:r>
    </w:p>
    <w:p>
      <w:pPr>
        <w:spacing w:before="280" w:after="100"/>
      </w:pPr>
      <w:r>
        <w:rPr>
          <w:rFonts w:ascii="DM Sans" w:hAnsi="DM Sans" w:cs="DM Sans"/>
          <w:b/>
          <w:i w:val="0"/>
          <w:color w:val="050C2A"/>
          <w:sz w:val="28"/>
          <w:u w:val="none"/>
        </w:rPr>
        <w:t>5. Consistent Framework Enables Comparability and Scale</w:t>
      </w:r>
    </w:p>
    <w:p>
      <w:pPr>
        <w:spacing w:before="0" w:after="120" w:line="276" w:lineRule="auto"/>
      </w:pPr>
      <w:r>
        <w:rPr>
          <w:rFonts w:ascii="DM Sans" w:hAnsi="DM Sans" w:cs="DM Sans"/>
          <w:b w:val="0"/>
          <w:i w:val="0"/>
          <w:color w:val="050C2A"/>
          <w:sz w:val="20"/>
          <w:u w:val="none"/>
        </w:rPr>
        <w:t>When every project is designed ad hoc, outcomes cannot be compared, institutional knowledge does not accumulate, and faculty must reinvent the pedagogical wheel for each new project. A consistent framework makes diverse experiences comparable while allowing project content to vary.</w:t>
      </w:r>
    </w:p>
    <w:p>
      <w:pPr>
        <w:spacing w:before="240" w:after="80"/>
      </w:pPr>
      <w:r>
        <w:rPr>
          <w:rFonts w:ascii="DM Sans" w:hAnsi="DM Sans" w:cs="DM Sans"/>
          <w:b/>
          <w:i w:val="0"/>
          <w:color w:val="050C2A"/>
          <w:sz w:val="24"/>
          <w:u w:val="none"/>
        </w:rPr>
        <w:t>The Problems It Addresses</w:t>
      </w:r>
    </w:p>
    <w:p>
      <w:pPr>
        <w:spacing w:before="0" w:after="120" w:line="276" w:lineRule="auto"/>
      </w:pPr>
      <w:r>
        <w:rPr>
          <w:rFonts w:ascii="DM Sans" w:hAnsi="DM Sans" w:cs="DM Sans"/>
          <w:b/>
          <w:i w:val="0"/>
          <w:color w:val="050C2A"/>
          <w:sz w:val="20"/>
          <w:u w:val="none"/>
        </w:rPr>
        <w:t>Ad hoc design.</w:t>
      </w:r>
      <w:r>
        <w:rPr>
          <w:rFonts w:ascii="DM Sans" w:hAnsi="DM Sans" w:cs="DM Sans"/>
          <w:b w:val="0"/>
          <w:i w:val="0"/>
          <w:color w:val="050C2A"/>
          <w:sz w:val="20"/>
          <w:u w:val="none"/>
        </w:rPr>
        <w:t xml:space="preserve"> Without a framework, each project requires custom learning design. This doesn't scale and depends on individual faculty expertise.</w:t>
      </w:r>
    </w:p>
    <w:p>
      <w:pPr>
        <w:spacing w:before="0" w:after="120" w:line="276" w:lineRule="auto"/>
      </w:pPr>
      <w:r>
        <w:rPr>
          <w:rFonts w:ascii="DM Sans" w:hAnsi="DM Sans" w:cs="DM Sans"/>
          <w:b/>
          <w:i w:val="0"/>
          <w:color w:val="050C2A"/>
          <w:sz w:val="20"/>
          <w:u w:val="none"/>
        </w:rPr>
        <w:t>Incomparable outcomes.</w:t>
      </w:r>
      <w:r>
        <w:rPr>
          <w:rFonts w:ascii="DM Sans" w:hAnsi="DM Sans" w:cs="DM Sans"/>
          <w:b w:val="0"/>
          <w:i w:val="0"/>
          <w:color w:val="050C2A"/>
          <w:sz w:val="20"/>
          <w:u w:val="none"/>
        </w:rPr>
        <w:t xml:space="preserve"> If every project uses different structures, rubrics, and competencies, there's no way to compare student outcomes or build institutional knowledge about what works.</w:t>
      </w:r>
    </w:p>
    <w:p>
      <w:pPr>
        <w:spacing w:before="0" w:after="120" w:line="276" w:lineRule="auto"/>
      </w:pPr>
      <w:r>
        <w:rPr>
          <w:rFonts w:ascii="DM Sans" w:hAnsi="DM Sans" w:cs="DM Sans"/>
          <w:b/>
          <w:i w:val="0"/>
          <w:color w:val="050C2A"/>
          <w:sz w:val="20"/>
          <w:u w:val="none"/>
        </w:rPr>
        <w:t>Unsustainable faculty effort.</w:t>
      </w:r>
      <w:r>
        <w:rPr>
          <w:rFonts w:ascii="DM Sans" w:hAnsi="DM Sans" w:cs="DM Sans"/>
          <w:b w:val="0"/>
          <w:i w:val="0"/>
          <w:color w:val="050C2A"/>
          <w:sz w:val="20"/>
          <w:u w:val="none"/>
        </w:rPr>
        <w:t xml:space="preserve"> Custom design for each project creates a bottleneck. Faculty cannot supervise diverse projects simultaneously if each requires deep domain expertise and unique pedagogical structure.</w:t>
      </w:r>
    </w:p>
    <w:p>
      <w:pPr>
        <w:spacing w:before="240" w:after="80"/>
      </w:pPr>
      <w:r>
        <w:rPr>
          <w:rFonts w:ascii="DM Sans" w:hAnsi="DM Sans" w:cs="DM Sans"/>
          <w:b/>
          <w:i w:val="0"/>
          <w:color w:val="050C2A"/>
          <w:sz w:val="24"/>
          <w:u w:val="none"/>
        </w:rPr>
        <w:t>The Research Base</w:t>
      </w:r>
    </w:p>
    <w:p>
      <w:pPr>
        <w:spacing w:before="0" w:after="120" w:line="276" w:lineRule="auto"/>
      </w:pPr>
      <w:r>
        <w:rPr>
          <w:rFonts w:ascii="DM Sans" w:hAnsi="DM Sans" w:cs="DM Sans"/>
          <w:b w:val="0"/>
          <w:i w:val="0"/>
          <w:color w:val="050C2A"/>
          <w:sz w:val="20"/>
          <w:u w:val="none"/>
        </w:rPr>
        <w:t>Constructive alignment research (Biggs, 1996) demonstrates that consistent structure improves assessment reliability and learning outcomes. When the relationship between objectives, activities, and assessment is clear and consistent, students learn more effectively.</w:t>
      </w:r>
    </w:p>
    <w:p>
      <w:pPr>
        <w:spacing w:before="0" w:after="120" w:line="276" w:lineRule="auto"/>
      </w:pPr>
      <w:r>
        <w:rPr>
          <w:rFonts w:ascii="DM Sans" w:hAnsi="DM Sans" w:cs="DM Sans"/>
          <w:b w:val="0"/>
          <w:i w:val="0"/>
          <w:color w:val="050C2A"/>
          <w:sz w:val="20"/>
          <w:u w:val="none"/>
        </w:rPr>
        <w:t>Backward design principles (Wiggins &amp; McTighe, 2005) establish that curriculum should be designed from outcomes backward to activities, not from activities forward to hoped-for outcomes. A fixed framework that starts with defined learning outcomes ensures coherent design across diverse project content.</w:t>
      </w:r>
    </w:p>
    <w:p>
      <w:pPr>
        <w:spacing w:before="240" w:after="80"/>
      </w:pPr>
      <w:r>
        <w:rPr>
          <w:rFonts w:ascii="DM Sans" w:hAnsi="DM Sans" w:cs="DM Sans"/>
          <w:b/>
          <w:i w:val="0"/>
          <w:color w:val="050C2A"/>
          <w:sz w:val="24"/>
          <w:u w:val="none"/>
        </w:rPr>
        <w:t>How It Manifests in the Course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Five-phase structure is constant across all projects (Foundation → Discovery → Development → Refinement → Integration)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Same DEAL reflection model and timing for all students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Same competency framework assessed (as defined in the Competency Framework document)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Same evidence architecture and assessment weighting</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Project-specific elements (objectives, deliverable types, scope) are accommodated within the fixed structure</w:t>
      </w:r>
    </w:p>
    <w:p>
      <w:pPr>
        <w:spacing w:before="240" w:after="80"/>
      </w:pPr>
      <w:r>
        <w:rPr>
          <w:rFonts w:ascii="DM Sans" w:hAnsi="DM Sans" w:cs="DM Sans"/>
          <w:b/>
          <w:i w:val="0"/>
          <w:color w:val="050C2A"/>
          <w:sz w:val="24"/>
          <w:u w:val="none"/>
        </w:rPr>
        <w:t>Credit-Worthiness</w:t>
      </w:r>
    </w:p>
    <w:p>
      <w:pPr>
        <w:spacing w:before="0" w:after="120" w:line="276" w:lineRule="auto"/>
      </w:pPr>
      <w:r>
        <w:rPr>
          <w:rFonts w:ascii="DM Sans" w:hAnsi="DM Sans" w:cs="DM Sans"/>
          <w:b w:val="0"/>
          <w:i w:val="0"/>
          <w:color w:val="050C2A"/>
          <w:sz w:val="20"/>
          <w:u w:val="none"/>
        </w:rPr>
        <w:t>Institutions can approve one course structure that applies to many projects. Assessment standards are consistent regardless of project content. Quality assurance is systematic rather than dependent on individual faculty. This makes experiential learning at scale academically defensible.</w:t>
      </w:r>
    </w:p>
    <w:p>
      <w:pPr>
        <w:spacing w:before="280" w:after="100"/>
      </w:pPr>
      <w:r>
        <w:rPr>
          <w:rFonts w:ascii="DM Sans" w:hAnsi="DM Sans" w:cs="DM Sans"/>
          <w:b/>
          <w:i w:val="0"/>
          <w:color w:val="050C2A"/>
          <w:sz w:val="28"/>
          <w:u w:val="none"/>
        </w:rPr>
        <w:t>6. Intentional Engagement Is Expected, Not Optional</w:t>
      </w:r>
    </w:p>
    <w:p>
      <w:pPr>
        <w:spacing w:before="0" w:after="120" w:line="276" w:lineRule="auto"/>
      </w:pPr>
      <w:r>
        <w:rPr>
          <w:rFonts w:ascii="DM Sans" w:hAnsi="DM Sans" w:cs="DM Sans"/>
          <w:b w:val="0"/>
          <w:i w:val="0"/>
          <w:color w:val="050C2A"/>
          <w:sz w:val="20"/>
          <w:u w:val="none"/>
        </w:rPr>
        <w:t>Students sometimes approach experiential learning passively — waiting for direction, doing the minimum, treating it like any other course assignment. The design must create conditions where passive compliance does not succeed and intentional engagement is both expected and recognized.</w:t>
      </w:r>
    </w:p>
    <w:p>
      <w:pPr>
        <w:spacing w:before="240" w:after="80"/>
      </w:pPr>
      <w:r>
        <w:rPr>
          <w:rFonts w:ascii="DM Sans" w:hAnsi="DM Sans" w:cs="DM Sans"/>
          <w:b/>
          <w:i w:val="0"/>
          <w:color w:val="050C2A"/>
          <w:sz w:val="24"/>
          <w:u w:val="none"/>
        </w:rPr>
        <w:t>The Problems It Addresses</w:t>
      </w:r>
    </w:p>
    <w:p>
      <w:pPr>
        <w:spacing w:before="0" w:after="120" w:line="276" w:lineRule="auto"/>
      </w:pPr>
      <w:r>
        <w:rPr>
          <w:rFonts w:ascii="DM Sans" w:hAnsi="DM Sans" w:cs="DM Sans"/>
          <w:b/>
          <w:i w:val="0"/>
          <w:color w:val="050C2A"/>
          <w:sz w:val="20"/>
          <w:u w:val="none"/>
        </w:rPr>
        <w:t>Waiting for direction.</w:t>
      </w:r>
      <w:r>
        <w:rPr>
          <w:rFonts w:ascii="DM Sans" w:hAnsi="DM Sans" w:cs="DM Sans"/>
          <w:b w:val="0"/>
          <w:i w:val="0"/>
          <w:color w:val="050C2A"/>
          <w:sz w:val="20"/>
          <w:u w:val="none"/>
        </w:rPr>
        <w:t xml:space="preserve"> Students expect to be told exactly what to do. In professional contexts, this stance limits their contribution and learning.</w:t>
      </w:r>
    </w:p>
    <w:p>
      <w:pPr>
        <w:spacing w:before="0" w:after="120" w:line="276" w:lineRule="auto"/>
      </w:pPr>
      <w:r>
        <w:rPr>
          <w:rFonts w:ascii="DM Sans" w:hAnsi="DM Sans" w:cs="DM Sans"/>
          <w:b/>
          <w:i w:val="0"/>
          <w:color w:val="050C2A"/>
          <w:sz w:val="20"/>
          <w:u w:val="none"/>
        </w:rPr>
        <w:t>Passive compliance.</w:t>
      </w:r>
      <w:r>
        <w:rPr>
          <w:rFonts w:ascii="DM Sans" w:hAnsi="DM Sans" w:cs="DM Sans"/>
          <w:b w:val="0"/>
          <w:i w:val="0"/>
          <w:color w:val="050C2A"/>
          <w:sz w:val="20"/>
          <w:u w:val="none"/>
        </w:rPr>
        <w:t xml:space="preserve"> Students complete required tasks without genuine engagement. They satisfy requirements but don't develop the ownership mindset that professional work demands.</w:t>
      </w:r>
    </w:p>
    <w:p>
      <w:pPr>
        <w:spacing w:before="0" w:after="120" w:line="276" w:lineRule="auto"/>
      </w:pPr>
      <w:r>
        <w:rPr>
          <w:rFonts w:ascii="DM Sans" w:hAnsi="DM Sans" w:cs="DM Sans"/>
          <w:b/>
          <w:i w:val="0"/>
          <w:color w:val="050C2A"/>
          <w:sz w:val="20"/>
          <w:u w:val="none"/>
        </w:rPr>
        <w:t>Minimal effort.</w:t>
      </w:r>
      <w:r>
        <w:rPr>
          <w:rFonts w:ascii="DM Sans" w:hAnsi="DM Sans" w:cs="DM Sans"/>
          <w:b w:val="0"/>
          <w:i w:val="0"/>
          <w:color w:val="050C2A"/>
          <w:sz w:val="20"/>
          <w:u w:val="none"/>
        </w:rPr>
        <w:t xml:space="preserve"> Without explicit expectations around initiative, students may do only what's required rather than pursuing the learning opportunity fully.</w:t>
      </w:r>
    </w:p>
    <w:p>
      <w:pPr>
        <w:spacing w:before="240" w:after="80"/>
      </w:pPr>
      <w:r>
        <w:rPr>
          <w:rFonts w:ascii="DM Sans" w:hAnsi="DM Sans" w:cs="DM Sans"/>
          <w:b/>
          <w:i w:val="0"/>
          <w:color w:val="050C2A"/>
          <w:sz w:val="24"/>
          <w:u w:val="none"/>
        </w:rPr>
        <w:t>The Research Base</w:t>
      </w:r>
    </w:p>
    <w:p>
      <w:pPr>
        <w:spacing w:before="0" w:after="120" w:line="276" w:lineRule="auto"/>
      </w:pPr>
      <w:r>
        <w:rPr>
          <w:rFonts w:ascii="DM Sans" w:hAnsi="DM Sans" w:cs="DM Sans"/>
          <w:b w:val="0"/>
          <w:i w:val="0"/>
          <w:color w:val="050C2A"/>
          <w:sz w:val="20"/>
          <w:u w:val="none"/>
        </w:rPr>
        <w:t>Self-determination theory (Ryan &amp; Deci, 2000) identifies three basic psychological needs for intrinsic motivation: autonomy (sense of choice and ownership), competence (feeling effective), and relatedness (connection to others). Environments that support these needs foster self-motivation; those that thwart them produce compliance at best.</w:t>
      </w:r>
    </w:p>
    <w:p>
      <w:pPr>
        <w:spacing w:before="0" w:after="120" w:line="276" w:lineRule="auto"/>
      </w:pPr>
      <w:r>
        <w:rPr>
          <w:rFonts w:ascii="DM Sans" w:hAnsi="DM Sans" w:cs="DM Sans"/>
          <w:b w:val="0"/>
          <w:i w:val="0"/>
          <w:color w:val="050C2A"/>
          <w:sz w:val="20"/>
          <w:u w:val="none"/>
        </w:rPr>
        <w:t>Goal-setting research (Locke &amp; Latham, 2002) demonstrates that specific, challenging goals significantly outperform vague "do your best" goals, with effect sizes ranging from d = 0.42 to 0.80. When students articulate personal goals and connect them to their project work, engagement deepens.</w:t>
      </w:r>
    </w:p>
    <w:p>
      <w:pPr>
        <w:spacing w:before="240" w:after="80"/>
      </w:pPr>
      <w:r>
        <w:rPr>
          <w:rFonts w:ascii="DM Sans" w:hAnsi="DM Sans" w:cs="DM Sans"/>
          <w:b/>
          <w:i w:val="0"/>
          <w:color w:val="050C2A"/>
          <w:sz w:val="24"/>
          <w:u w:val="none"/>
        </w:rPr>
        <w:t>How It Manifests in the Course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Student intake establishes personal learning goals at the outset — students articulate what they want to gain, not just what they're assigned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Module content normalizes productive struggle and positions ambiguity as inherent to professional work, not a failure of instruction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Professionalism rubric explicitly includes initiative and proactivity as assessed dimensions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Reflection prompts ask students to examine their approach to ambiguity, ownership, and self-direction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Employer feedback captures initiative and proactivity, reinforcing that these behaviors are valued outside the academic context</w:t>
      </w:r>
    </w:p>
    <w:p>
      <w:pPr>
        <w:spacing w:before="240" w:after="80"/>
      </w:pPr>
      <w:r>
        <w:rPr>
          <w:rFonts w:ascii="DM Sans" w:hAnsi="DM Sans" w:cs="DM Sans"/>
          <w:b/>
          <w:i w:val="0"/>
          <w:color w:val="050C2A"/>
          <w:sz w:val="24"/>
          <w:u w:val="none"/>
        </w:rPr>
        <w:t>Credit-Worthiness</w:t>
      </w:r>
    </w:p>
    <w:p>
      <w:pPr>
        <w:spacing w:before="0" w:after="120" w:line="276" w:lineRule="auto"/>
      </w:pPr>
      <w:r>
        <w:rPr>
          <w:rFonts w:ascii="DM Sans" w:hAnsi="DM Sans" w:cs="DM Sans"/>
          <w:b w:val="0"/>
          <w:i w:val="0"/>
          <w:color w:val="050C2A"/>
          <w:sz w:val="20"/>
          <w:u w:val="none"/>
        </w:rPr>
        <w:t>Students cannot succeed through passive compliance. Evidence of engagement is part of the assessment. This distinguishes structured experiential learning from unstructured work placement and ensures that credit reflects active learning, not mere participation.</w:t>
      </w:r>
    </w:p>
    <w:p>
      <w:pPr>
        <w:spacing w:before="280" w:after="100"/>
      </w:pPr>
      <w:r>
        <w:rPr>
          <w:rFonts w:ascii="DM Sans" w:hAnsi="DM Sans" w:cs="DM Sans"/>
          <w:b/>
          <w:i w:val="0"/>
          <w:color w:val="050C2A"/>
          <w:sz w:val="28"/>
          <w:u w:val="none"/>
        </w:rPr>
        <w:t>How the Principles Work Together</w:t>
      </w:r>
    </w:p>
    <w:p>
      <w:pPr>
        <w:spacing w:before="0" w:after="120" w:line="276" w:lineRule="auto"/>
      </w:pPr>
      <w:r>
        <w:rPr>
          <w:rFonts w:ascii="DM Sans" w:hAnsi="DM Sans" w:cs="DM Sans"/>
          <w:b w:val="0"/>
          <w:i w:val="0"/>
          <w:color w:val="050C2A"/>
          <w:sz w:val="20"/>
          <w:u w:val="none"/>
        </w:rPr>
        <w:t>These six principles are not independent design choices — they form an integrated system where each principle reinforces the others.</w:t>
      </w:r>
    </w:p>
    <w:p>
      <w:pPr>
        <w:spacing w:before="0" w:after="120" w:line="276" w:lineRule="auto"/>
      </w:pPr>
      <w:r>
        <w:rPr>
          <w:rFonts w:ascii="DM Sans" w:hAnsi="DM Sans" w:cs="DM Sans"/>
          <w:b/>
          <w:i w:val="0"/>
          <w:color w:val="050C2A"/>
          <w:sz w:val="20"/>
          <w:u w:val="none"/>
        </w:rPr>
        <w:t>Structured Reflection</w:t>
      </w:r>
      <w:r>
        <w:rPr>
          <w:rFonts w:ascii="DM Sans" w:hAnsi="DM Sans" w:cs="DM Sans"/>
          <w:b w:val="0"/>
          <w:i w:val="0"/>
          <w:color w:val="050C2A"/>
          <w:sz w:val="20"/>
          <w:u w:val="none"/>
        </w:rPr>
        <w:t xml:space="preserve"> is the core learning mechanism, but it requires </w:t>
      </w:r>
      <w:r>
        <w:rPr>
          <w:rFonts w:ascii="DM Sans" w:hAnsi="DM Sans" w:cs="DM Sans"/>
          <w:b/>
          <w:i w:val="0"/>
          <w:color w:val="050C2A"/>
          <w:sz w:val="20"/>
          <w:u w:val="none"/>
        </w:rPr>
        <w:t>Intentional Engagement</w:t>
      </w:r>
      <w:r>
        <w:rPr>
          <w:rFonts w:ascii="DM Sans" w:hAnsi="DM Sans" w:cs="DM Sans"/>
          <w:b w:val="0"/>
          <w:i w:val="0"/>
          <w:color w:val="050C2A"/>
          <w:sz w:val="20"/>
          <w:u w:val="none"/>
        </w:rPr>
        <w:t xml:space="preserve"> to produce meaningful material to reflect on. Students who approach the work passively have little to examine; students who engage intentionally generate rich experience that reflection can transform into insight.</w:t>
      </w:r>
    </w:p>
    <w:p>
      <w:pPr>
        <w:spacing w:before="0" w:after="120" w:line="276" w:lineRule="auto"/>
      </w:pPr>
      <w:r>
        <w:rPr>
          <w:rFonts w:ascii="DM Sans" w:hAnsi="DM Sans" w:cs="DM Sans"/>
          <w:b/>
          <w:i w:val="0"/>
          <w:color w:val="050C2A"/>
          <w:sz w:val="20"/>
          <w:u w:val="none"/>
        </w:rPr>
        <w:t>Scaffolded Progression</w:t>
      </w:r>
      <w:r>
        <w:rPr>
          <w:rFonts w:ascii="DM Sans" w:hAnsi="DM Sans" w:cs="DM Sans"/>
          <w:b w:val="0"/>
          <w:i w:val="0"/>
          <w:color w:val="050C2A"/>
          <w:sz w:val="20"/>
          <w:u w:val="none"/>
        </w:rPr>
        <w:t xml:space="preserve"> creates the conditions for both engagement and reflection. By breaking complex work into manageable steps, it prevents the overwhelm that leads to disengagement. By creating regular checkpoints, it provides natural moments for reflection and course correction.</w:t>
      </w:r>
    </w:p>
    <w:p>
      <w:pPr>
        <w:spacing w:before="0" w:after="120" w:line="276" w:lineRule="auto"/>
      </w:pPr>
      <w:r>
        <w:rPr>
          <w:rFonts w:ascii="DM Sans" w:hAnsi="DM Sans" w:cs="DM Sans"/>
          <w:b/>
          <w:i w:val="0"/>
          <w:color w:val="050C2A"/>
          <w:sz w:val="20"/>
          <w:u w:val="none"/>
        </w:rPr>
        <w:t>Layered Accountability</w:t>
      </w:r>
      <w:r>
        <w:rPr>
          <w:rFonts w:ascii="DM Sans" w:hAnsi="DM Sans" w:cs="DM Sans"/>
          <w:b w:val="0"/>
          <w:i w:val="0"/>
          <w:color w:val="050C2A"/>
          <w:sz w:val="20"/>
          <w:u w:val="none"/>
        </w:rPr>
        <w:t xml:space="preserve"> ensures that engagement is not optional. Team accountability prevents hiding; external accountability creates real stakes; individual accountability ensures that each student's learning is visible regardless of team dynamics.</w:t>
      </w:r>
    </w:p>
    <w:p>
      <w:pPr>
        <w:spacing w:before="0" w:after="120" w:line="276" w:lineRule="auto"/>
      </w:pPr>
      <w:r>
        <w:rPr>
          <w:rFonts w:ascii="DM Sans" w:hAnsi="DM Sans" w:cs="DM Sans"/>
          <w:b/>
          <w:i w:val="0"/>
          <w:color w:val="050C2A"/>
          <w:sz w:val="20"/>
          <w:u w:val="none"/>
        </w:rPr>
        <w:t>Multiple Evidence Sources</w:t>
      </w:r>
      <w:r>
        <w:rPr>
          <w:rFonts w:ascii="DM Sans" w:hAnsi="DM Sans" w:cs="DM Sans"/>
          <w:b w:val="0"/>
          <w:i w:val="0"/>
          <w:color w:val="050C2A"/>
          <w:sz w:val="20"/>
          <w:u w:val="none"/>
        </w:rPr>
        <w:t xml:space="preserve"> captures the results of this integrated system. Deliverables show applied skill; reflections show learning process; professional engagement shows workplace behaviors; presentations show synthesis. Together, they create a credible, defensible picture of what students learned.</w:t>
      </w:r>
    </w:p>
    <w:p>
      <w:pPr>
        <w:spacing w:before="0" w:after="120" w:line="276" w:lineRule="auto"/>
      </w:pPr>
      <w:r>
        <w:rPr>
          <w:rFonts w:ascii="DM Sans" w:hAnsi="DM Sans" w:cs="DM Sans"/>
          <w:b/>
          <w:i w:val="0"/>
          <w:color w:val="050C2A"/>
          <w:sz w:val="20"/>
          <w:u w:val="none"/>
        </w:rPr>
        <w:t>Consistent Framework</w:t>
      </w:r>
      <w:r>
        <w:rPr>
          <w:rFonts w:ascii="DM Sans" w:hAnsi="DM Sans" w:cs="DM Sans"/>
          <w:b w:val="0"/>
          <w:i w:val="0"/>
          <w:color w:val="050C2A"/>
          <w:sz w:val="20"/>
          <w:u w:val="none"/>
        </w:rPr>
        <w:t xml:space="preserve"> makes all of this scalable. Without a fixed structure, every project would require custom design — undermining the ability to offer diverse experiences while maintaining quality and comparability. The framework carries the learning; the project provides the context.</w:t>
      </w:r>
    </w:p>
    <w:p>
      <w:pPr>
        <w:spacing w:before="0" w:after="120" w:line="276" w:lineRule="auto"/>
      </w:pPr>
      <w:r>
        <w:rPr>
          <w:rFonts w:ascii="DM Sans" w:hAnsi="DM Sans" w:cs="DM Sans"/>
          <w:b w:val="0"/>
          <w:i w:val="0"/>
          <w:color w:val="050C2A"/>
          <w:sz w:val="20"/>
          <w:u w:val="none"/>
        </w:rPr>
        <w:t>The result is a learning experience that is effective for students (they actually learn transferable capabilities), efficient for institutions (one course structure serves many projects), and defensible for credit (multiple evidence sources support claims about learning outcomes).</w:t>
      </w:r>
    </w:p>
    <w:p>
      <w:pPr>
        <w:spacing w:before="280" w:after="100"/>
      </w:pPr>
      <w:r>
        <w:rPr>
          <w:rFonts w:ascii="DM Sans" w:hAnsi="DM Sans" w:cs="DM Sans"/>
          <w:b/>
          <w:i w:val="0"/>
          <w:color w:val="050C2A"/>
          <w:sz w:val="28"/>
          <w:u w:val="none"/>
        </w:rPr>
        <w:t>References</w:t>
      </w:r>
    </w:p>
    <w:p>
      <w:pPr>
        <w:spacing w:before="0" w:after="120" w:line="276" w:lineRule="auto"/>
      </w:pPr>
      <w:r>
        <w:rPr>
          <w:rFonts w:ascii="DM Sans" w:hAnsi="DM Sans" w:cs="DM Sans"/>
          <w:b w:val="0"/>
          <w:i w:val="0"/>
          <w:color w:val="050C2A"/>
          <w:sz w:val="20"/>
          <w:u w:val="none"/>
        </w:rPr>
        <w:t xml:space="preserve">Ash, S. L., &amp; Clayton, P. H. (2009). Generating, deepening, and documenting learning: The power of critical reflection in applied learning. </w:t>
      </w:r>
      <w:r>
        <w:rPr>
          <w:rFonts w:ascii="DM Sans" w:hAnsi="DM Sans" w:cs="DM Sans"/>
          <w:b w:val="0"/>
          <w:i/>
          <w:color w:val="050C2A"/>
          <w:sz w:val="20"/>
          <w:u w:val="none"/>
        </w:rPr>
        <w:t>Journal of Applied Learning in Higher Education, 1</w:t>
      </w:r>
      <w:r>
        <w:rPr>
          <w:rFonts w:ascii="DM Sans" w:hAnsi="DM Sans" w:cs="DM Sans"/>
          <w:b w:val="0"/>
          <w:i w:val="0"/>
          <w:color w:val="050C2A"/>
          <w:sz w:val="20"/>
          <w:u w:val="none"/>
        </w:rPr>
        <w:t>(1), 25–48.</w:t>
      </w:r>
    </w:p>
    <w:p>
      <w:pPr>
        <w:spacing w:before="0" w:after="120" w:line="276" w:lineRule="auto"/>
      </w:pPr>
      <w:r>
        <w:rPr>
          <w:rFonts w:ascii="DM Sans" w:hAnsi="DM Sans" w:cs="DM Sans"/>
          <w:b w:val="0"/>
          <w:i w:val="0"/>
          <w:color w:val="050C2A"/>
          <w:sz w:val="20"/>
          <w:u w:val="none"/>
        </w:rPr>
        <w:t xml:space="preserve">Biggs, J. (1996). Enhancing teaching through constructive alignment. </w:t>
      </w:r>
      <w:r>
        <w:rPr>
          <w:rFonts w:ascii="DM Sans" w:hAnsi="DM Sans" w:cs="DM Sans"/>
          <w:b w:val="0"/>
          <w:i/>
          <w:color w:val="050C2A"/>
          <w:sz w:val="20"/>
          <w:u w:val="none"/>
        </w:rPr>
        <w:t>Higher Education, 32</w:t>
      </w:r>
      <w:r>
        <w:rPr>
          <w:rFonts w:ascii="DM Sans" w:hAnsi="DM Sans" w:cs="DM Sans"/>
          <w:b w:val="0"/>
          <w:i w:val="0"/>
          <w:color w:val="050C2A"/>
          <w:sz w:val="20"/>
          <w:u w:val="none"/>
        </w:rPr>
        <w:t>(3), 347–364.</w:t>
      </w:r>
    </w:p>
    <w:p>
      <w:pPr>
        <w:spacing w:before="0" w:after="120" w:line="276" w:lineRule="auto"/>
      </w:pPr>
      <w:r>
        <w:rPr>
          <w:rFonts w:ascii="DM Sans" w:hAnsi="DM Sans" w:cs="DM Sans"/>
          <w:b w:val="0"/>
          <w:i w:val="0"/>
          <w:color w:val="050C2A"/>
          <w:sz w:val="20"/>
          <w:u w:val="none"/>
        </w:rPr>
        <w:t xml:space="preserve">Dunlosky, J., Rawson, K. A., Marsh, E. J., Nathan, M. J., &amp; Willingham, D. T. (2013). Improving students' learning with effective learning techniques: Promising directions from cognitive and educational psychology. </w:t>
      </w:r>
      <w:r>
        <w:rPr>
          <w:rFonts w:ascii="DM Sans" w:hAnsi="DM Sans" w:cs="DM Sans"/>
          <w:b w:val="0"/>
          <w:i/>
          <w:color w:val="050C2A"/>
          <w:sz w:val="20"/>
          <w:u w:val="none"/>
        </w:rPr>
        <w:t>Psychological Science in the Public Interest, 14</w:t>
      </w:r>
      <w:r>
        <w:rPr>
          <w:rFonts w:ascii="DM Sans" w:hAnsi="DM Sans" w:cs="DM Sans"/>
          <w:b w:val="0"/>
          <w:i w:val="0"/>
          <w:color w:val="050C2A"/>
          <w:sz w:val="20"/>
          <w:u w:val="none"/>
        </w:rPr>
        <w:t>(1), 4–58.</w:t>
      </w:r>
    </w:p>
    <w:p>
      <w:pPr>
        <w:spacing w:before="0" w:after="120" w:line="276" w:lineRule="auto"/>
      </w:pPr>
      <w:r>
        <w:rPr>
          <w:rFonts w:ascii="DM Sans" w:hAnsi="DM Sans" w:cs="DM Sans"/>
          <w:b w:val="0"/>
          <w:i w:val="0"/>
          <w:color w:val="050C2A"/>
          <w:sz w:val="20"/>
          <w:u w:val="none"/>
        </w:rPr>
        <w:t xml:space="preserve">Hackman, J. R. (2002). </w:t>
      </w:r>
      <w:r>
        <w:rPr>
          <w:rFonts w:ascii="DM Sans" w:hAnsi="DM Sans" w:cs="DM Sans"/>
          <w:b w:val="0"/>
          <w:i/>
          <w:color w:val="050C2A"/>
          <w:sz w:val="20"/>
          <w:u w:val="none"/>
        </w:rPr>
        <w:t>Leading teams: Setting the stage for great performances.</w:t>
      </w:r>
      <w:r>
        <w:rPr>
          <w:rFonts w:ascii="DM Sans" w:hAnsi="DM Sans" w:cs="DM Sans"/>
          <w:b w:val="0"/>
          <w:i w:val="0"/>
          <w:color w:val="050C2A"/>
          <w:sz w:val="20"/>
          <w:u w:val="none"/>
        </w:rPr>
        <w:t xml:space="preserve"> Harvard Business Press.</w:t>
      </w:r>
    </w:p>
    <w:p>
      <w:pPr>
        <w:spacing w:before="0" w:after="120" w:line="276" w:lineRule="auto"/>
      </w:pPr>
      <w:r>
        <w:rPr>
          <w:rFonts w:ascii="DM Sans" w:hAnsi="DM Sans" w:cs="DM Sans"/>
          <w:b w:val="0"/>
          <w:i w:val="0"/>
          <w:color w:val="050C2A"/>
          <w:sz w:val="20"/>
          <w:u w:val="none"/>
        </w:rPr>
        <w:t xml:space="preserve">Jonsson, A., &amp; Svingby, G. (2007). The use of scoring rubrics: Reliability, validity and educational consequences. </w:t>
      </w:r>
      <w:r>
        <w:rPr>
          <w:rFonts w:ascii="DM Sans" w:hAnsi="DM Sans" w:cs="DM Sans"/>
          <w:b w:val="0"/>
          <w:i/>
          <w:color w:val="050C2A"/>
          <w:sz w:val="20"/>
          <w:u w:val="none"/>
        </w:rPr>
        <w:t>Educational Research Review, 2</w:t>
      </w:r>
      <w:r>
        <w:rPr>
          <w:rFonts w:ascii="DM Sans" w:hAnsi="DM Sans" w:cs="DM Sans"/>
          <w:b w:val="0"/>
          <w:i w:val="0"/>
          <w:color w:val="050C2A"/>
          <w:sz w:val="20"/>
          <w:u w:val="none"/>
        </w:rPr>
        <w:t>(2), 130–144.</w:t>
      </w:r>
    </w:p>
    <w:p>
      <w:pPr>
        <w:spacing w:before="0" w:after="120" w:line="276" w:lineRule="auto"/>
      </w:pPr>
      <w:r>
        <w:rPr>
          <w:rFonts w:ascii="DM Sans" w:hAnsi="DM Sans" w:cs="DM Sans"/>
          <w:b w:val="0"/>
          <w:i w:val="0"/>
          <w:color w:val="050C2A"/>
          <w:sz w:val="20"/>
          <w:u w:val="none"/>
        </w:rPr>
        <w:t xml:space="preserve">Kapur, M. (2008). Productive failure. </w:t>
      </w:r>
      <w:r>
        <w:rPr>
          <w:rFonts w:ascii="DM Sans" w:hAnsi="DM Sans" w:cs="DM Sans"/>
          <w:b w:val="0"/>
          <w:i/>
          <w:color w:val="050C2A"/>
          <w:sz w:val="20"/>
          <w:u w:val="none"/>
        </w:rPr>
        <w:t>Cognition and Instruction, 26</w:t>
      </w:r>
      <w:r>
        <w:rPr>
          <w:rFonts w:ascii="DM Sans" w:hAnsi="DM Sans" w:cs="DM Sans"/>
          <w:b w:val="0"/>
          <w:i w:val="0"/>
          <w:color w:val="050C2A"/>
          <w:sz w:val="20"/>
          <w:u w:val="none"/>
        </w:rPr>
        <w:t>(3), 379–424.</w:t>
      </w:r>
    </w:p>
    <w:p>
      <w:pPr>
        <w:spacing w:before="0" w:after="120" w:line="276" w:lineRule="auto"/>
      </w:pPr>
      <w:r>
        <w:rPr>
          <w:rFonts w:ascii="DM Sans" w:hAnsi="DM Sans" w:cs="DM Sans"/>
          <w:b w:val="0"/>
          <w:i w:val="0"/>
          <w:color w:val="050C2A"/>
          <w:sz w:val="20"/>
          <w:u w:val="none"/>
        </w:rPr>
        <w:t xml:space="preserve">Karau, S. J., &amp; Williams, K. D. (1993). Social loafing: A meta-analytic review and theoretical integration. </w:t>
      </w:r>
      <w:r>
        <w:rPr>
          <w:rFonts w:ascii="DM Sans" w:hAnsi="DM Sans" w:cs="DM Sans"/>
          <w:b w:val="0"/>
          <w:i/>
          <w:color w:val="050C2A"/>
          <w:sz w:val="20"/>
          <w:u w:val="none"/>
        </w:rPr>
        <w:t>Journal of Personality and Social Psychology, 65</w:t>
      </w:r>
      <w:r>
        <w:rPr>
          <w:rFonts w:ascii="DM Sans" w:hAnsi="DM Sans" w:cs="DM Sans"/>
          <w:b w:val="0"/>
          <w:i w:val="0"/>
          <w:color w:val="050C2A"/>
          <w:sz w:val="20"/>
          <w:u w:val="none"/>
        </w:rPr>
        <w:t>(4), 681–706.</w:t>
      </w:r>
    </w:p>
    <w:p>
      <w:pPr>
        <w:spacing w:before="0" w:after="120" w:line="276" w:lineRule="auto"/>
      </w:pPr>
      <w:r>
        <w:rPr>
          <w:rFonts w:ascii="DM Sans" w:hAnsi="DM Sans" w:cs="DM Sans"/>
          <w:b w:val="0"/>
          <w:i w:val="0"/>
          <w:color w:val="050C2A"/>
          <w:sz w:val="20"/>
          <w:u w:val="none"/>
        </w:rPr>
        <w:t xml:space="preserve">Kolb, D. A. (1984). </w:t>
      </w:r>
      <w:r>
        <w:rPr>
          <w:rFonts w:ascii="DM Sans" w:hAnsi="DM Sans" w:cs="DM Sans"/>
          <w:b w:val="0"/>
          <w:i/>
          <w:color w:val="050C2A"/>
          <w:sz w:val="20"/>
          <w:u w:val="none"/>
        </w:rPr>
        <w:t>Experiential learning: Experience as the source of learning and development.</w:t>
      </w:r>
      <w:r>
        <w:rPr>
          <w:rFonts w:ascii="DM Sans" w:hAnsi="DM Sans" w:cs="DM Sans"/>
          <w:b w:val="0"/>
          <w:i w:val="0"/>
          <w:color w:val="050C2A"/>
          <w:sz w:val="20"/>
          <w:u w:val="none"/>
        </w:rPr>
        <w:t xml:space="preserve"> Prentice-Hall.</w:t>
      </w:r>
    </w:p>
    <w:p>
      <w:pPr>
        <w:spacing w:before="0" w:after="120" w:line="276" w:lineRule="auto"/>
      </w:pPr>
      <w:r>
        <w:rPr>
          <w:rFonts w:ascii="DM Sans" w:hAnsi="DM Sans" w:cs="DM Sans"/>
          <w:b w:val="0"/>
          <w:i w:val="0"/>
          <w:color w:val="050C2A"/>
          <w:sz w:val="20"/>
          <w:u w:val="none"/>
        </w:rPr>
        <w:t xml:space="preserve">Kuh, G. D. (2008). </w:t>
      </w:r>
      <w:r>
        <w:rPr>
          <w:rFonts w:ascii="DM Sans" w:hAnsi="DM Sans" w:cs="DM Sans"/>
          <w:b w:val="0"/>
          <w:i/>
          <w:color w:val="050C2A"/>
          <w:sz w:val="20"/>
          <w:u w:val="none"/>
        </w:rPr>
        <w:t>High-impact educational practices: What they are, who has access to them, and why they matter.</w:t>
      </w:r>
      <w:r>
        <w:rPr>
          <w:rFonts w:ascii="DM Sans" w:hAnsi="DM Sans" w:cs="DM Sans"/>
          <w:b w:val="0"/>
          <w:i w:val="0"/>
          <w:color w:val="050C2A"/>
          <w:sz w:val="20"/>
          <w:u w:val="none"/>
        </w:rPr>
        <w:t xml:space="preserve"> Association of American Colleges and Universities.</w:t>
      </w:r>
    </w:p>
    <w:p>
      <w:pPr>
        <w:spacing w:before="0" w:after="120" w:line="276" w:lineRule="auto"/>
      </w:pPr>
      <w:r>
        <w:rPr>
          <w:rFonts w:ascii="DM Sans" w:hAnsi="DM Sans" w:cs="DM Sans"/>
          <w:b w:val="0"/>
          <w:i w:val="0"/>
          <w:color w:val="050C2A"/>
          <w:sz w:val="20"/>
          <w:u w:val="none"/>
        </w:rPr>
        <w:t xml:space="preserve">Locke, E. A., &amp; Latham, G. P. (2002). Building a practically useful theory of goal setting and task motivation: A 35-year odyssey. </w:t>
      </w:r>
      <w:r>
        <w:rPr>
          <w:rFonts w:ascii="DM Sans" w:hAnsi="DM Sans" w:cs="DM Sans"/>
          <w:b w:val="0"/>
          <w:i/>
          <w:color w:val="050C2A"/>
          <w:sz w:val="20"/>
          <w:u w:val="none"/>
        </w:rPr>
        <w:t>American Psychologist, 57</w:t>
      </w:r>
      <w:r>
        <w:rPr>
          <w:rFonts w:ascii="DM Sans" w:hAnsi="DM Sans" w:cs="DM Sans"/>
          <w:b w:val="0"/>
          <w:i w:val="0"/>
          <w:color w:val="050C2A"/>
          <w:sz w:val="20"/>
          <w:u w:val="none"/>
        </w:rPr>
        <w:t>(9), 705–717.</w:t>
      </w:r>
    </w:p>
    <w:p>
      <w:pPr>
        <w:spacing w:before="0" w:after="120" w:line="276" w:lineRule="auto"/>
      </w:pPr>
      <w:r>
        <w:rPr>
          <w:rFonts w:ascii="DM Sans" w:hAnsi="DM Sans" w:cs="DM Sans"/>
          <w:b w:val="0"/>
          <w:i w:val="0"/>
          <w:color w:val="050C2A"/>
          <w:sz w:val="20"/>
          <w:u w:val="none"/>
        </w:rPr>
        <w:t xml:space="preserve">Messick, S. (1995). Validity of psychological assessment: Validation of inferences from persons' responses and performances as scientific inquiry into score meaning. </w:t>
      </w:r>
      <w:r>
        <w:rPr>
          <w:rFonts w:ascii="DM Sans" w:hAnsi="DM Sans" w:cs="DM Sans"/>
          <w:b w:val="0"/>
          <w:i/>
          <w:color w:val="050C2A"/>
          <w:sz w:val="20"/>
          <w:u w:val="none"/>
        </w:rPr>
        <w:t>American Psychologist, 50</w:t>
      </w:r>
      <w:r>
        <w:rPr>
          <w:rFonts w:ascii="DM Sans" w:hAnsi="DM Sans" w:cs="DM Sans"/>
          <w:b w:val="0"/>
          <w:i w:val="0"/>
          <w:color w:val="050C2A"/>
          <w:sz w:val="20"/>
          <w:u w:val="none"/>
        </w:rPr>
        <w:t>(9), 741–749.</w:t>
      </w:r>
    </w:p>
    <w:p>
      <w:pPr>
        <w:spacing w:before="0" w:after="120" w:line="276" w:lineRule="auto"/>
      </w:pPr>
      <w:r>
        <w:rPr>
          <w:rFonts w:ascii="DM Sans" w:hAnsi="DM Sans" w:cs="DM Sans"/>
          <w:b w:val="0"/>
          <w:i w:val="0"/>
          <w:color w:val="050C2A"/>
          <w:sz w:val="20"/>
          <w:u w:val="none"/>
        </w:rPr>
        <w:t xml:space="preserve">Ryan, R. M., &amp; Deci, E. L. (2000). Self-determination theory and the facilitation of intrinsic motivation, social development, and well-being. </w:t>
      </w:r>
      <w:r>
        <w:rPr>
          <w:rFonts w:ascii="DM Sans" w:hAnsi="DM Sans" w:cs="DM Sans"/>
          <w:b w:val="0"/>
          <w:i/>
          <w:color w:val="050C2A"/>
          <w:sz w:val="20"/>
          <w:u w:val="none"/>
        </w:rPr>
        <w:t>American Psychologist, 55</w:t>
      </w:r>
      <w:r>
        <w:rPr>
          <w:rFonts w:ascii="DM Sans" w:hAnsi="DM Sans" w:cs="DM Sans"/>
          <w:b w:val="0"/>
          <w:i w:val="0"/>
          <w:color w:val="050C2A"/>
          <w:sz w:val="20"/>
          <w:u w:val="none"/>
        </w:rPr>
        <w:t>(1), 68–78.</w:t>
      </w:r>
    </w:p>
    <w:p>
      <w:pPr>
        <w:spacing w:before="0" w:after="120" w:line="276" w:lineRule="auto"/>
      </w:pPr>
      <w:r>
        <w:rPr>
          <w:rFonts w:ascii="DM Sans" w:hAnsi="DM Sans" w:cs="DM Sans"/>
          <w:b w:val="0"/>
          <w:i w:val="0"/>
          <w:color w:val="050C2A"/>
          <w:sz w:val="20"/>
          <w:u w:val="none"/>
        </w:rPr>
        <w:t xml:space="preserve">Steel, P. (2007). The nature of procrastination: A meta-analytic and theoretical review of quintessential self-regulatory failure. </w:t>
      </w:r>
      <w:r>
        <w:rPr>
          <w:rFonts w:ascii="DM Sans" w:hAnsi="DM Sans" w:cs="DM Sans"/>
          <w:b w:val="0"/>
          <w:i/>
          <w:color w:val="050C2A"/>
          <w:sz w:val="20"/>
          <w:u w:val="none"/>
        </w:rPr>
        <w:t>Psychological Bulletin, 133</w:t>
      </w:r>
      <w:r>
        <w:rPr>
          <w:rFonts w:ascii="DM Sans" w:hAnsi="DM Sans" w:cs="DM Sans"/>
          <w:b w:val="0"/>
          <w:i w:val="0"/>
          <w:color w:val="050C2A"/>
          <w:sz w:val="20"/>
          <w:u w:val="none"/>
        </w:rPr>
        <w:t>(1), 65–94.</w:t>
      </w:r>
    </w:p>
    <w:p>
      <w:pPr>
        <w:spacing w:before="0" w:after="120" w:line="276" w:lineRule="auto"/>
      </w:pPr>
      <w:r>
        <w:rPr>
          <w:rFonts w:ascii="DM Sans" w:hAnsi="DM Sans" w:cs="DM Sans"/>
          <w:b w:val="0"/>
          <w:i w:val="0"/>
          <w:color w:val="050C2A"/>
          <w:sz w:val="20"/>
          <w:u w:val="none"/>
        </w:rPr>
        <w:t xml:space="preserve">Sweller, J. (1988). Cognitive load during problem solving: Effects on learning. </w:t>
      </w:r>
      <w:r>
        <w:rPr>
          <w:rFonts w:ascii="DM Sans" w:hAnsi="DM Sans" w:cs="DM Sans"/>
          <w:b w:val="0"/>
          <w:i/>
          <w:color w:val="050C2A"/>
          <w:sz w:val="20"/>
          <w:u w:val="none"/>
        </w:rPr>
        <w:t>Cognitive Science, 12</w:t>
      </w:r>
      <w:r>
        <w:rPr>
          <w:rFonts w:ascii="DM Sans" w:hAnsi="DM Sans" w:cs="DM Sans"/>
          <w:b w:val="0"/>
          <w:i w:val="0"/>
          <w:color w:val="050C2A"/>
          <w:sz w:val="20"/>
          <w:u w:val="none"/>
        </w:rPr>
        <w:t>(2), 257–285.</w:t>
      </w:r>
    </w:p>
    <w:p>
      <w:pPr>
        <w:spacing w:before="0" w:after="120" w:line="276" w:lineRule="auto"/>
      </w:pPr>
      <w:r>
        <w:rPr>
          <w:rFonts w:ascii="DM Sans" w:hAnsi="DM Sans" w:cs="DM Sans"/>
          <w:b w:val="0"/>
          <w:i w:val="0"/>
          <w:color w:val="050C2A"/>
          <w:sz w:val="20"/>
          <w:u w:val="none"/>
        </w:rPr>
        <w:t xml:space="preserve">Wiggins, G. (1998). </w:t>
      </w:r>
      <w:r>
        <w:rPr>
          <w:rFonts w:ascii="DM Sans" w:hAnsi="DM Sans" w:cs="DM Sans"/>
          <w:b w:val="0"/>
          <w:i/>
          <w:color w:val="050C2A"/>
          <w:sz w:val="20"/>
          <w:u w:val="none"/>
        </w:rPr>
        <w:t>Educative assessment: Designing assessments to inform and improve student performance.</w:t>
      </w:r>
      <w:r>
        <w:rPr>
          <w:rFonts w:ascii="DM Sans" w:hAnsi="DM Sans" w:cs="DM Sans"/>
          <w:b w:val="0"/>
          <w:i w:val="0"/>
          <w:color w:val="050C2A"/>
          <w:sz w:val="20"/>
          <w:u w:val="none"/>
        </w:rPr>
        <w:t xml:space="preserve"> Jossey-Bass.</w:t>
      </w:r>
    </w:p>
    <w:p>
      <w:pPr>
        <w:spacing w:before="0" w:after="120" w:line="276" w:lineRule="auto"/>
      </w:pPr>
      <w:r>
        <w:rPr>
          <w:rFonts w:ascii="DM Sans" w:hAnsi="DM Sans" w:cs="DM Sans"/>
          <w:b w:val="0"/>
          <w:i w:val="0"/>
          <w:color w:val="050C2A"/>
          <w:sz w:val="20"/>
          <w:u w:val="none"/>
        </w:rPr>
        <w:t xml:space="preserve">Wiggins, G., &amp; McTighe, J. (2005). </w:t>
      </w:r>
      <w:r>
        <w:rPr>
          <w:rFonts w:ascii="DM Sans" w:hAnsi="DM Sans" w:cs="DM Sans"/>
          <w:b w:val="0"/>
          <w:i/>
          <w:color w:val="050C2A"/>
          <w:sz w:val="20"/>
          <w:u w:val="none"/>
        </w:rPr>
        <w:t>Understanding by design</w:t>
      </w:r>
      <w:r>
        <w:rPr>
          <w:rFonts w:ascii="DM Sans" w:hAnsi="DM Sans" w:cs="DM Sans"/>
          <w:b w:val="0"/>
          <w:i w:val="0"/>
          <w:color w:val="050C2A"/>
          <w:sz w:val="20"/>
          <w:u w:val="none"/>
        </w:rPr>
        <w:t xml:space="preserve"> (2nd ed.). Association for Supervision and Curriculum Development.</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