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Context Analysis &amp; Project Plan Rubric — Design Decisions Log</w:t>
      </w:r>
    </w:p>
    <w:p>
      <w:pPr>
        <w:spacing w:before="0" w:after="120" w:line="276" w:lineRule="auto"/>
      </w:pPr>
      <w:r>
        <w:rPr>
          <w:rFonts w:ascii="DM Sans" w:hAnsi="DM Sans" w:cs="DM Sans"/>
          <w:b w:val="0"/>
          <w:i/>
          <w:color w:val="050C2A"/>
          <w:sz w:val="20"/>
          <w:u w:val="none"/>
        </w:rPr>
        <w:t>Working document | Riipen Experience Phase 3</w:t>
      </w:r>
    </w:p>
    <w:p>
      <w:pPr>
        <w:pBdr>
          <w:bottom w:val="single" w:sz="6" w:space="1" w:color="ACACAC"/>
        </w:pBdr>
        <w:spacing w:before="120" w:after="120"/>
      </w:pPr>
    </w:p>
    <w:p>
      <w:pPr>
        <w:spacing w:before="280" w:after="100"/>
      </w:pPr>
      <w:r>
        <w:rPr>
          <w:rFonts w:ascii="DM Sans" w:hAnsi="DM Sans" w:cs="DM Sans"/>
          <w:b/>
          <w:i w:val="0"/>
          <w:color w:val="050C2A"/>
          <w:sz w:val="28"/>
          <w:u w:val="none"/>
        </w:rPr>
        <w:t>Framing Decisions</w:t>
      </w:r>
    </w:p>
    <w:p>
      <w:pPr>
        <w:spacing w:before="0" w:after="120" w:line="276" w:lineRule="auto"/>
      </w:pPr>
      <w:r>
        <w:rPr>
          <w:rFonts w:ascii="DM Sans" w:hAnsi="DM Sans" w:cs="DM Sans"/>
          <w:b/>
          <w:i w:val="0"/>
          <w:color w:val="050C2A"/>
          <w:sz w:val="20"/>
          <w:u w:val="none"/>
        </w:rPr>
        <w:t>Single shared rubric for students and instructors</w:t>
      </w:r>
      <w:r>
        <w:rPr>
          <w:rFonts w:ascii="DM Sans" w:hAnsi="DM Sans" w:cs="DM Sans"/>
          <w:b w:val="0"/>
          <w:i w:val="0"/>
          <w:color w:val="050C2A"/>
          <w:sz w:val="20"/>
          <w:u w:val="none"/>
        </w:rPr>
        <w:t xml:space="preserve"> Students receive the same rubric as the instructor. No separate simplified version. Transparency is a feature — students should know exactly what they're being assessed on.</w:t>
      </w:r>
    </w:p>
    <w:p>
      <w:pPr>
        <w:spacing w:before="0" w:after="120" w:line="276" w:lineRule="auto"/>
      </w:pPr>
      <w:r>
        <w:rPr>
          <w:rFonts w:ascii="DM Sans" w:hAnsi="DM Sans" w:cs="DM Sans"/>
          <w:b/>
          <w:i w:val="0"/>
          <w:color w:val="050C2A"/>
          <w:sz w:val="20"/>
          <w:u w:val="none"/>
        </w:rPr>
        <w:t>No personalized/generated dimensions on this rubric</w:t>
      </w:r>
      <w:r>
        <w:rPr>
          <w:rFonts w:ascii="DM Sans" w:hAnsi="DM Sans" w:cs="DM Sans"/>
          <w:b w:val="0"/>
          <w:i w:val="0"/>
          <w:color w:val="050C2A"/>
          <w:sz w:val="20"/>
          <w:u w:val="none"/>
        </w:rPr>
        <w:t xml:space="preserve"> The Context Analysis &amp; Project Plan rubric is entirely fixed dimensions. All projects are assessed against the same criteria. (Personalization applies to the Final Deliverables rubric only.)</w:t>
      </w:r>
    </w:p>
    <w:p>
      <w:pPr>
        <w:spacing w:before="0" w:after="120" w:line="276" w:lineRule="auto"/>
      </w:pPr>
      <w:r>
        <w:rPr>
          <w:rFonts w:ascii="DM Sans" w:hAnsi="DM Sans" w:cs="DM Sans"/>
          <w:b/>
          <w:i w:val="0"/>
          <w:color w:val="050C2A"/>
          <w:sz w:val="20"/>
          <w:u w:val="none"/>
        </w:rPr>
        <w:t>5-point scale across all course rubrics</w:t>
      </w:r>
      <w:r>
        <w:rPr>
          <w:rFonts w:ascii="DM Sans" w:hAnsi="DM Sans" w:cs="DM Sans"/>
          <w:b w:val="0"/>
          <w:i w:val="0"/>
          <w:color w:val="050C2A"/>
          <w:sz w:val="20"/>
          <w:u w:val="none"/>
        </w:rPr>
        <w:t xml:space="preserve"> Exemplary (4) / Proficient (3) / Developing (2) / Emerging (1) / Not Acceptable (0) The 0 anchor is meaningful in a WIL context — it captures submitted work that makes no real attempt, which is distinct from weak work. Consistent scale across all five rubrics enables competency-level reporting and cross-rubric comparability.</w:t>
      </w:r>
    </w:p>
    <w:p>
      <w:pPr>
        <w:spacing w:before="280" w:after="100"/>
      </w:pPr>
      <w:r>
        <w:rPr>
          <w:rFonts w:ascii="DM Sans" w:hAnsi="DM Sans" w:cs="DM Sans"/>
          <w:b/>
          <w:i w:val="0"/>
          <w:color w:val="050C2A"/>
          <w:sz w:val="28"/>
          <w:u w:val="none"/>
        </w:rPr>
        <w:t>Dimension Architecture</w:t>
      </w:r>
    </w:p>
    <w:p>
      <w:pPr>
        <w:spacing w:before="0" w:after="120" w:line="276" w:lineRule="auto"/>
      </w:pPr>
      <w:r>
        <w:rPr>
          <w:rFonts w:ascii="DM Sans" w:hAnsi="DM Sans" w:cs="DM Sans"/>
          <w:b/>
          <w:i w:val="0"/>
          <w:color w:val="050C2A"/>
          <w:sz w:val="20"/>
          <w:u w:val="none"/>
        </w:rPr>
        <w:t>Five fixed dimensions, equally weighted at 20% each</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3279"/>
            <w:shd w:fill="FF7C0A" w:val="clear"/>
            <w:vAlign w:val="center"/>
          </w:tcPr>
          <w:p>
            <w:pPr>
              <w:jc w:val="left"/>
              <w:spacing w:before="40" w:after="40"/>
            </w:pPr>
            <w:r>
              <w:rPr>
                <w:rFonts w:ascii="DM Sans" w:hAnsi="DM Sans" w:cs="DM Sans"/>
                <w:b/>
                <w:i w:val="0"/>
                <w:color w:val="FFFFFF"/>
                <w:sz w:val="20"/>
                <w:u w:val="none"/>
              </w:rPr>
              <w:t>Dimension</w:t>
            </w:r>
          </w:p>
        </w:tc>
        <w:tc>
          <w:tcPr>
            <w:tcW w:type="dxa" w:w="1639"/>
            <w:shd w:fill="FF7C0A" w:val="clear"/>
            <w:vAlign w:val="center"/>
          </w:tcPr>
          <w:p>
            <w:pPr>
              <w:jc w:val="left"/>
              <w:spacing w:before="40" w:after="40"/>
            </w:pPr>
            <w:r>
              <w:rPr>
                <w:rFonts w:ascii="DM Sans" w:hAnsi="DM Sans" w:cs="DM Sans"/>
                <w:b/>
                <w:i w:val="0"/>
                <w:color w:val="FFFFFF"/>
                <w:sz w:val="20"/>
                <w:u w:val="none"/>
              </w:rPr>
              <w:t>Weight</w:t>
            </w:r>
          </w:p>
        </w:tc>
        <w:tc>
          <w:tcPr>
            <w:tcW w:type="dxa" w:w="4442"/>
            <w:shd w:fill="FF7C0A" w:val="clear"/>
            <w:vAlign w:val="center"/>
          </w:tcPr>
          <w:p>
            <w:pPr>
              <w:jc w:val="left"/>
              <w:spacing w:before="40" w:after="40"/>
            </w:pPr>
            <w:r>
              <w:rPr>
                <w:rFonts w:ascii="DM Sans" w:hAnsi="DM Sans" w:cs="DM Sans"/>
                <w:b/>
                <w:i w:val="0"/>
                <w:color w:val="FFFFFF"/>
                <w:sz w:val="20"/>
                <w:u w:val="none"/>
              </w:rPr>
              <w:t>Competency → Subskill</w:t>
            </w:r>
          </w:p>
        </w:tc>
      </w:tr>
      <w:tr>
        <w:tc>
          <w:tcPr>
            <w:tcW w:type="dxa" w:w="3279"/>
            <w:vAlign w:val="center"/>
          </w:tcPr>
          <w:p>
            <w:pPr>
              <w:spacing w:before="30" w:after="30"/>
            </w:pPr>
            <w:r>
              <w:rPr>
                <w:rFonts w:ascii="DM Sans" w:hAnsi="DM Sans" w:cs="DM Sans"/>
                <w:b w:val="0"/>
                <w:i w:val="0"/>
                <w:color w:val="050C2A"/>
                <w:sz w:val="20"/>
                <w:u w:val="none"/>
              </w:rPr>
              <w:t>Research Quality</w:t>
            </w:r>
          </w:p>
        </w:tc>
        <w:tc>
          <w:tcPr>
            <w:tcW w:type="dxa" w:w="1639"/>
            <w:vAlign w:val="center"/>
          </w:tcPr>
          <w:p>
            <w:pPr>
              <w:spacing w:before="30" w:after="30"/>
            </w:pPr>
            <w:r>
              <w:rPr>
                <w:rFonts w:ascii="DM Sans" w:hAnsi="DM Sans" w:cs="DM Sans"/>
                <w:b w:val="0"/>
                <w:i w:val="0"/>
                <w:color w:val="050C2A"/>
                <w:sz w:val="20"/>
                <w:u w:val="none"/>
              </w:rPr>
              <w:t>20%</w:t>
            </w:r>
          </w:p>
        </w:tc>
        <w:tc>
          <w:tcPr>
            <w:tcW w:type="dxa" w:w="4442"/>
            <w:vAlign w:val="center"/>
          </w:tcPr>
          <w:p>
            <w:pPr>
              <w:spacing w:before="30" w:after="30"/>
            </w:pPr>
            <w:r>
              <w:rPr>
                <w:rFonts w:ascii="DM Sans" w:hAnsi="DM Sans" w:cs="DM Sans"/>
                <w:b w:val="0"/>
                <w:i w:val="0"/>
                <w:color w:val="050C2A"/>
                <w:sz w:val="20"/>
                <w:u w:val="none"/>
              </w:rPr>
              <w:t>Critical Thinking → Research &amp; Analysis</w:t>
            </w:r>
          </w:p>
        </w:tc>
      </w:tr>
      <w:tr>
        <w:tc>
          <w:tcPr>
            <w:tcW w:type="dxa" w:w="3279"/>
            <w:shd w:fill="F5F5F5" w:val="clear"/>
            <w:vAlign w:val="center"/>
          </w:tcPr>
          <w:p>
            <w:pPr>
              <w:spacing w:before="30" w:after="30"/>
            </w:pPr>
            <w:r>
              <w:rPr>
                <w:rFonts w:ascii="DM Sans" w:hAnsi="DM Sans" w:cs="DM Sans"/>
                <w:b w:val="0"/>
                <w:i w:val="0"/>
                <w:color w:val="050C2A"/>
                <w:sz w:val="20"/>
                <w:u w:val="none"/>
              </w:rPr>
              <w:t>Evidence-Based Reasoning</w:t>
            </w:r>
          </w:p>
        </w:tc>
        <w:tc>
          <w:tcPr>
            <w:tcW w:type="dxa" w:w="1639"/>
            <w:shd w:fill="F5F5F5" w:val="clear"/>
            <w:vAlign w:val="center"/>
          </w:tcPr>
          <w:p>
            <w:pPr>
              <w:spacing w:before="30" w:after="30"/>
            </w:pPr>
            <w:r>
              <w:rPr>
                <w:rFonts w:ascii="DM Sans" w:hAnsi="DM Sans" w:cs="DM Sans"/>
                <w:b w:val="0"/>
                <w:i w:val="0"/>
                <w:color w:val="050C2A"/>
                <w:sz w:val="20"/>
                <w:u w:val="none"/>
              </w:rPr>
              <w:t>20%</w:t>
            </w:r>
          </w:p>
        </w:tc>
        <w:tc>
          <w:tcPr>
            <w:tcW w:type="dxa" w:w="4442"/>
            <w:shd w:fill="F5F5F5" w:val="clear"/>
            <w:vAlign w:val="center"/>
          </w:tcPr>
          <w:p>
            <w:pPr>
              <w:spacing w:before="30" w:after="30"/>
            </w:pPr>
            <w:r>
              <w:rPr>
                <w:rFonts w:ascii="DM Sans" w:hAnsi="DM Sans" w:cs="DM Sans"/>
                <w:b w:val="0"/>
                <w:i w:val="0"/>
                <w:color w:val="050C2A"/>
                <w:sz w:val="20"/>
                <w:u w:val="none"/>
              </w:rPr>
              <w:t>Critical Thinking → Evidence-Based Reasoning</w:t>
            </w:r>
          </w:p>
        </w:tc>
      </w:tr>
      <w:tr>
        <w:tc>
          <w:tcPr>
            <w:tcW w:type="dxa" w:w="3279"/>
            <w:vAlign w:val="center"/>
          </w:tcPr>
          <w:p>
            <w:pPr>
              <w:spacing w:before="30" w:after="30"/>
            </w:pPr>
            <w:r>
              <w:rPr>
                <w:rFonts w:ascii="DM Sans" w:hAnsi="DM Sans" w:cs="DM Sans"/>
                <w:b w:val="0"/>
                <w:i w:val="0"/>
                <w:color w:val="050C2A"/>
                <w:sz w:val="20"/>
                <w:u w:val="none"/>
              </w:rPr>
              <w:t>Strategic Implications</w:t>
            </w:r>
          </w:p>
        </w:tc>
        <w:tc>
          <w:tcPr>
            <w:tcW w:type="dxa" w:w="1639"/>
            <w:vAlign w:val="center"/>
          </w:tcPr>
          <w:p>
            <w:pPr>
              <w:spacing w:before="30" w:after="30"/>
            </w:pPr>
            <w:r>
              <w:rPr>
                <w:rFonts w:ascii="DM Sans" w:hAnsi="DM Sans" w:cs="DM Sans"/>
                <w:b w:val="0"/>
                <w:i w:val="0"/>
                <w:color w:val="050C2A"/>
                <w:sz w:val="20"/>
                <w:u w:val="none"/>
              </w:rPr>
              <w:t>20%</w:t>
            </w:r>
          </w:p>
        </w:tc>
        <w:tc>
          <w:tcPr>
            <w:tcW w:type="dxa" w:w="4442"/>
            <w:vAlign w:val="center"/>
          </w:tcPr>
          <w:p>
            <w:pPr>
              <w:spacing w:before="30" w:after="30"/>
            </w:pPr>
            <w:r>
              <w:rPr>
                <w:rFonts w:ascii="DM Sans" w:hAnsi="DM Sans" w:cs="DM Sans"/>
                <w:b w:val="0"/>
                <w:i w:val="0"/>
                <w:color w:val="050C2A"/>
                <w:sz w:val="20"/>
                <w:u w:val="none"/>
              </w:rPr>
              <w:t>Critical Thinking → Problem Framing</w:t>
            </w:r>
          </w:p>
        </w:tc>
      </w:tr>
      <w:tr>
        <w:tc>
          <w:tcPr>
            <w:tcW w:type="dxa" w:w="3279"/>
            <w:shd w:fill="F5F5F5" w:val="clear"/>
            <w:vAlign w:val="center"/>
          </w:tcPr>
          <w:p>
            <w:pPr>
              <w:spacing w:before="30" w:after="30"/>
            </w:pPr>
            <w:r>
              <w:rPr>
                <w:rFonts w:ascii="DM Sans" w:hAnsi="DM Sans" w:cs="DM Sans"/>
                <w:b w:val="0"/>
                <w:i w:val="0"/>
                <w:color w:val="050C2A"/>
                <w:sz w:val="20"/>
                <w:u w:val="none"/>
              </w:rPr>
              <w:t>Planning Quality</w:t>
            </w:r>
          </w:p>
        </w:tc>
        <w:tc>
          <w:tcPr>
            <w:tcW w:type="dxa" w:w="1639"/>
            <w:shd w:fill="F5F5F5" w:val="clear"/>
            <w:vAlign w:val="center"/>
          </w:tcPr>
          <w:p>
            <w:pPr>
              <w:spacing w:before="30" w:after="30"/>
            </w:pPr>
            <w:r>
              <w:rPr>
                <w:rFonts w:ascii="DM Sans" w:hAnsi="DM Sans" w:cs="DM Sans"/>
                <w:b w:val="0"/>
                <w:i w:val="0"/>
                <w:color w:val="050C2A"/>
                <w:sz w:val="20"/>
                <w:u w:val="none"/>
              </w:rPr>
              <w:t>20%</w:t>
            </w:r>
          </w:p>
        </w:tc>
        <w:tc>
          <w:tcPr>
            <w:tcW w:type="dxa" w:w="4442"/>
            <w:shd w:fill="F5F5F5" w:val="clear"/>
            <w:vAlign w:val="center"/>
          </w:tcPr>
          <w:p>
            <w:pPr>
              <w:spacing w:before="30" w:after="30"/>
            </w:pPr>
            <w:r>
              <w:rPr>
                <w:rFonts w:ascii="DM Sans" w:hAnsi="DM Sans" w:cs="DM Sans"/>
                <w:b w:val="0"/>
                <w:i w:val="0"/>
                <w:color w:val="050C2A"/>
                <w:sz w:val="20"/>
                <w:u w:val="none"/>
              </w:rPr>
              <w:t>Critical Thinking → Prioritization</w:t>
            </w:r>
          </w:p>
        </w:tc>
      </w:tr>
      <w:tr>
        <w:tc>
          <w:tcPr>
            <w:tcW w:type="dxa" w:w="3279"/>
            <w:vAlign w:val="center"/>
          </w:tcPr>
          <w:p>
            <w:pPr>
              <w:spacing w:before="30" w:after="30"/>
            </w:pPr>
            <w:r>
              <w:rPr>
                <w:rFonts w:ascii="DM Sans" w:hAnsi="DM Sans" w:cs="DM Sans"/>
                <w:b w:val="0"/>
                <w:i w:val="0"/>
                <w:color w:val="050C2A"/>
                <w:sz w:val="20"/>
                <w:u w:val="none"/>
              </w:rPr>
              <w:t>Document Quality</w:t>
            </w:r>
          </w:p>
        </w:tc>
        <w:tc>
          <w:tcPr>
            <w:tcW w:type="dxa" w:w="1639"/>
            <w:vAlign w:val="center"/>
          </w:tcPr>
          <w:p>
            <w:pPr>
              <w:spacing w:before="30" w:after="30"/>
            </w:pPr>
            <w:r>
              <w:rPr>
                <w:rFonts w:ascii="DM Sans" w:hAnsi="DM Sans" w:cs="DM Sans"/>
                <w:b w:val="0"/>
                <w:i w:val="0"/>
                <w:color w:val="050C2A"/>
                <w:sz w:val="20"/>
                <w:u w:val="none"/>
              </w:rPr>
              <w:t>20%</w:t>
            </w:r>
          </w:p>
        </w:tc>
        <w:tc>
          <w:tcPr>
            <w:tcW w:type="dxa" w:w="4442"/>
            <w:vAlign w:val="center"/>
          </w:tcPr>
          <w:p>
            <w:pPr>
              <w:spacing w:before="30" w:after="30"/>
            </w:pPr>
            <w:r>
              <w:rPr>
                <w:rFonts w:ascii="DM Sans" w:hAnsi="DM Sans" w:cs="DM Sans"/>
                <w:b w:val="0"/>
                <w:i w:val="0"/>
                <w:color w:val="050C2A"/>
                <w:sz w:val="20"/>
                <w:u w:val="none"/>
              </w:rPr>
              <w:t>Communication → Written Clarity</w:t>
            </w:r>
          </w:p>
        </w:tc>
      </w:tr>
    </w:tbl>
    <w:p>
      <w:pPr>
        <w:spacing w:before="0" w:after="120"/>
      </w:pPr>
    </w:p>
    <w:p>
      <w:pPr>
        <w:spacing w:before="0" w:after="120" w:line="276" w:lineRule="auto"/>
      </w:pPr>
      <w:r>
        <w:rPr>
          <w:rFonts w:ascii="DM Sans" w:hAnsi="DM Sans" w:cs="DM Sans"/>
          <w:b/>
          <w:i w:val="0"/>
          <w:color w:val="050C2A"/>
          <w:sz w:val="20"/>
          <w:u w:val="none"/>
        </w:rPr>
        <w:t>Why equal weighting:</w:t>
      </w:r>
      <w:r>
        <w:rPr>
          <w:rFonts w:ascii="DM Sans" w:hAnsi="DM Sans" w:cs="DM Sans"/>
          <w:b w:val="0"/>
          <w:i w:val="0"/>
          <w:color w:val="050C2A"/>
          <w:sz w:val="20"/>
          <w:u w:val="none"/>
        </w:rPr>
        <w:t xml:space="preserve"> Every dimension represents a genuine and distinct intellectual demand of the deliverable. Equal weighting avoids false hierarchies and is transparent to students. If a dimension isn't worth 20%, it shouldn't be a dimension.</w:t>
      </w:r>
    </w:p>
    <w:p>
      <w:pPr>
        <w:spacing w:before="0" w:after="120" w:line="276" w:lineRule="auto"/>
      </w:pPr>
      <w:r>
        <w:rPr>
          <w:rFonts w:ascii="DM Sans" w:hAnsi="DM Sans" w:cs="DM Sans"/>
          <w:b/>
          <w:i w:val="0"/>
          <w:color w:val="050C2A"/>
          <w:sz w:val="20"/>
          <w:u w:val="none"/>
        </w:rPr>
        <w:t>Why no Professionalism dimension:</w:t>
      </w:r>
      <w:r>
        <w:rPr>
          <w:rFonts w:ascii="DM Sans" w:hAnsi="DM Sans" w:cs="DM Sans"/>
          <w:b w:val="0"/>
          <w:i w:val="0"/>
          <w:color w:val="050C2A"/>
          <w:sz w:val="20"/>
          <w:u w:val="none"/>
        </w:rPr>
        <w:t xml:space="preserve"> Professionalism subskills (dependability, initiative, feedback reception) are not visible in a Week 4 document submission. The only Professionalism subskill assessable from a written deliverable is quality and attention to detail — which is captured by Document Quality. Professionalism is primarily assessed through Professional Engagement (employer feedback, checkpoint behavior), which is the appropriate evidence source.</w:t>
      </w:r>
    </w:p>
    <w:p>
      <w:pPr>
        <w:spacing w:before="0" w:after="120" w:line="276" w:lineRule="auto"/>
      </w:pPr>
      <w:r>
        <w:rPr>
          <w:rFonts w:ascii="DM Sans" w:hAnsi="DM Sans" w:cs="DM Sans"/>
          <w:b/>
          <w:i w:val="0"/>
          <w:color w:val="050C2A"/>
          <w:sz w:val="20"/>
          <w:u w:val="none"/>
        </w:rPr>
        <w:t>Why Analytical Thinking was split into two dimensions:</w:t>
      </w:r>
      <w:r>
        <w:rPr>
          <w:rFonts w:ascii="DM Sans" w:hAnsi="DM Sans" w:cs="DM Sans"/>
          <w:b w:val="0"/>
          <w:i w:val="0"/>
          <w:color w:val="050C2A"/>
          <w:sz w:val="20"/>
          <w:u w:val="none"/>
        </w:rPr>
        <w:t xml:space="preserve"> Evidence-Based Reasoning (how you use your research) and Problem Framing (what you conclude from it) are genuinely distinct cognitive tasks. The deliverable separates them structurally — Part 2 is where Evidence-Based Reasoning lives, Part 3 is where Problem Framing lives. Splitting enables cleaner competency reporting and more useful diagnostic feedback.</w:t>
      </w:r>
    </w:p>
    <w:p>
      <w:pPr>
        <w:spacing w:before="0" w:after="120" w:line="276" w:lineRule="auto"/>
      </w:pPr>
      <w:r>
        <w:rPr>
          <w:rFonts w:ascii="DM Sans" w:hAnsi="DM Sans" w:cs="DM Sans"/>
          <w:b/>
          <w:i w:val="0"/>
          <w:color w:val="050C2A"/>
          <w:sz w:val="20"/>
          <w:u w:val="none"/>
        </w:rPr>
        <w:t>Why Planning Quality is included despite course calendar providing milestones:</w:t>
      </w:r>
      <w:r>
        <w:rPr>
          <w:rFonts w:ascii="DM Sans" w:hAnsi="DM Sans" w:cs="DM Sans"/>
          <w:b w:val="0"/>
          <w:i w:val="0"/>
          <w:color w:val="050C2A"/>
          <w:sz w:val="20"/>
          <w:u w:val="none"/>
        </w:rPr>
        <w:t xml:space="preserve"> The milestone dates are provided, but team roles, risk identification, scoping decisions, and open questions for the Direction Check are genuinely the students' work. Risk identification in particular requires judgment under uncertainty — likelihood vs. impact thinking, realistic mitigation — which is authentic Prioritization work.</w:t>
      </w:r>
    </w:p>
    <w:p>
      <w:pPr>
        <w:spacing w:before="280" w:after="100"/>
      </w:pPr>
      <w:r>
        <w:rPr>
          <w:rFonts w:ascii="DM Sans" w:hAnsi="DM Sans" w:cs="DM Sans"/>
          <w:b/>
          <w:i w:val="0"/>
          <w:color w:val="050C2A"/>
          <w:sz w:val="28"/>
          <w:u w:val="none"/>
        </w:rPr>
        <w:t>Descriptor Design Principles</w:t>
      </w:r>
    </w:p>
    <w:p>
      <w:pPr>
        <w:spacing w:before="0" w:after="120" w:line="276" w:lineRule="auto"/>
      </w:pPr>
      <w:r>
        <w:rPr>
          <w:rFonts w:ascii="DM Sans" w:hAnsi="DM Sans" w:cs="DM Sans"/>
          <w:b/>
          <w:i w:val="0"/>
          <w:color w:val="050C2A"/>
          <w:sz w:val="20"/>
          <w:u w:val="none"/>
        </w:rPr>
        <w:t>Write Proficient first.</w:t>
      </w:r>
      <w:r>
        <w:rPr>
          <w:rFonts w:ascii="DM Sans" w:hAnsi="DM Sans" w:cs="DM Sans"/>
          <w:b w:val="0"/>
          <w:i w:val="0"/>
          <w:color w:val="050C2A"/>
          <w:sz w:val="20"/>
          <w:u w:val="none"/>
        </w:rPr>
        <w:t xml:space="preserve"> Proficient is the anchor — everything else calibrates off it. Proficient describes work a reasonable instructor would accept without hesitation but wouldn't single out as exceptional.</w:t>
      </w:r>
    </w:p>
    <w:p>
      <w:pPr>
        <w:spacing w:before="0" w:after="120" w:line="276" w:lineRule="auto"/>
      </w:pPr>
      <w:r>
        <w:rPr>
          <w:rFonts w:ascii="DM Sans" w:hAnsi="DM Sans" w:cs="DM Sans"/>
          <w:b/>
          <w:i w:val="0"/>
          <w:color w:val="050C2A"/>
          <w:sz w:val="20"/>
          <w:u w:val="none"/>
        </w:rPr>
        <w:t>Every phrase must be observable from the document.</w:t>
      </w:r>
      <w:r>
        <w:rPr>
          <w:rFonts w:ascii="DM Sans" w:hAnsi="DM Sans" w:cs="DM Sans"/>
          <w:b w:val="0"/>
          <w:i w:val="0"/>
          <w:color w:val="050C2A"/>
          <w:sz w:val="20"/>
          <w:u w:val="none"/>
        </w:rPr>
        <w:t xml:space="preserve"> Evaluators should not need to cross-reference other documents (e.g., the Kickoff Summary) to apply the rubric. If a descriptor requires comparison to another source, reframe it around what's visible on the page.</w:t>
      </w:r>
    </w:p>
    <w:p>
      <w:pPr>
        <w:spacing w:before="0" w:after="120" w:line="276" w:lineRule="auto"/>
      </w:pPr>
      <w:r>
        <w:rPr>
          <w:rFonts w:ascii="DM Sans" w:hAnsi="DM Sans" w:cs="DM Sans"/>
          <w:b/>
          <w:i w:val="0"/>
          <w:color w:val="050C2A"/>
          <w:sz w:val="20"/>
          <w:u w:val="none"/>
        </w:rPr>
        <w:t>Rubric descriptors are tight; grading guide carries examples.</w:t>
      </w:r>
      <w:r>
        <w:rPr>
          <w:rFonts w:ascii="DM Sans" w:hAnsi="DM Sans" w:cs="DM Sans"/>
          <w:b w:val="0"/>
          <w:i w:val="0"/>
          <w:color w:val="050C2A"/>
          <w:sz w:val="20"/>
          <w:u w:val="none"/>
        </w:rPr>
        <w:t xml:space="preserve"> The rubric should be precise but not exhaustive. Concrete illustrations of what descriptors look like in practice belong in the grading guide, not the rubric itself. This keeps the rubric usable for both students and evaluators.</w:t>
      </w:r>
    </w:p>
    <w:p>
      <w:pPr>
        <w:spacing w:before="0" w:after="120" w:line="276" w:lineRule="auto"/>
      </w:pPr>
      <w:r>
        <w:rPr>
          <w:rFonts w:ascii="DM Sans" w:hAnsi="DM Sans" w:cs="DM Sans"/>
          <w:b/>
          <w:i w:val="0"/>
          <w:color w:val="050C2A"/>
          <w:sz w:val="20"/>
          <w:u w:val="none"/>
        </w:rPr>
        <w:t>Avoid vague intensifiers.</w:t>
      </w:r>
      <w:r>
        <w:rPr>
          <w:rFonts w:ascii="DM Sans" w:hAnsi="DM Sans" w:cs="DM Sans"/>
          <w:b w:val="0"/>
          <w:i w:val="0"/>
          <w:color w:val="050C2A"/>
          <w:sz w:val="20"/>
          <w:u w:val="none"/>
        </w:rPr>
        <w:t xml:space="preserve"> "Some synthesis" is not gradeable. "Makes connections between findings" is. Every phrase should describe something an evaluator can see, not a quality they have to interpret.</w:t>
      </w:r>
    </w:p>
    <w:p>
      <w:pPr>
        <w:spacing w:before="280" w:after="100"/>
      </w:pPr>
      <w:r>
        <w:rPr>
          <w:rFonts w:ascii="DM Sans" w:hAnsi="DM Sans" w:cs="DM Sans"/>
          <w:b/>
          <w:i w:val="0"/>
          <w:color w:val="050C2A"/>
          <w:sz w:val="28"/>
          <w:u w:val="none"/>
        </w:rPr>
        <w:t>Dimension 1: Research Quality — LOCKED</w:t>
      </w:r>
    </w:p>
    <w:p>
      <w:pPr>
        <w:spacing w:before="0" w:after="120" w:line="276" w:lineRule="auto"/>
      </w:pPr>
      <w:r>
        <w:rPr>
          <w:rFonts w:ascii="DM Sans" w:hAnsi="DM Sans" w:cs="DM Sans"/>
          <w:b w:val="0"/>
          <w:i/>
          <w:color w:val="050C2A"/>
          <w:sz w:val="20"/>
          <w:u w:val="none"/>
        </w:rPr>
        <w:t>Critical Thinking → Research &amp; Analysis</w:t>
      </w:r>
      <w:r>
        <w:rPr>
          <w:rFonts w:ascii="DM Sans" w:hAnsi="DM Sans" w:cs="DM Sans"/>
          <w:b w:val="0"/>
          <w:i w:val="0"/>
          <w:color w:val="050C2A"/>
          <w:sz w:val="20"/>
          <w:u w:val="none"/>
        </w:rPr>
        <w:t xml:space="preserve"> </w:t>
      </w:r>
      <w:r>
        <w:rPr>
          <w:rFonts w:ascii="DM Sans" w:hAnsi="DM Sans" w:cs="DM Sans"/>
          <w:b w:val="0"/>
          <w:i/>
          <w:color w:val="050C2A"/>
          <w:sz w:val="20"/>
          <w:u w:val="none"/>
        </w:rPr>
        <w:t>Evaluates Part 2: Research Findings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309"/>
            <w:shd w:fill="FF7C0A" w:val="clear"/>
            <w:vAlign w:val="center"/>
          </w:tcPr>
          <w:p>
            <w:pPr>
              <w:jc w:val="left"/>
              <w:spacing w:before="40" w:after="40"/>
            </w:pPr>
            <w:r>
              <w:rPr>
                <w:rFonts w:ascii="DM Sans" w:hAnsi="DM Sans" w:cs="DM Sans"/>
                <w:b/>
                <w:i w:val="0"/>
                <w:color w:val="FFFFFF"/>
                <w:sz w:val="20"/>
                <w:u w:val="none"/>
              </w:rPr>
              <w:t>Level</w:t>
            </w:r>
          </w:p>
        </w:tc>
        <w:tc>
          <w:tcPr>
            <w:tcW w:type="dxa" w:w="7051"/>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309"/>
            <w:vAlign w:val="center"/>
          </w:tcPr>
          <w:p>
            <w:pPr>
              <w:spacing w:before="30" w:after="30"/>
            </w:pPr>
            <w:r>
              <w:rPr>
                <w:rFonts w:ascii="DM Sans" w:hAnsi="DM Sans" w:cs="DM Sans"/>
                <w:b/>
                <w:i w:val="0"/>
                <w:color w:val="050C2A"/>
                <w:sz w:val="20"/>
                <w:u w:val="none"/>
              </w:rPr>
              <w:t>Exemplary (4)</w:t>
            </w:r>
          </w:p>
        </w:tc>
        <w:tc>
          <w:tcPr>
            <w:tcW w:type="dxa" w:w="7051"/>
            <w:vAlign w:val="center"/>
          </w:tcPr>
          <w:p>
            <w:pPr>
              <w:spacing w:before="30" w:after="30"/>
            </w:pPr>
            <w:r>
              <w:rPr>
                <w:rFonts w:ascii="DM Sans" w:hAnsi="DM Sans" w:cs="DM Sans"/>
                <w:b w:val="0"/>
                <w:i w:val="0"/>
                <w:color w:val="050C2A"/>
                <w:sz w:val="20"/>
                <w:u w:val="none"/>
              </w:rPr>
              <w:t>Findings are specific to this project context, grounded in cited sources, and presented with enough detail to be useful. Gaps in what the team doesn't yet know are named and given meaningful consideration.</w:t>
            </w:r>
          </w:p>
        </w:tc>
      </w:tr>
      <w:tr>
        <w:tc>
          <w:tcPr>
            <w:tcW w:type="dxa" w:w="2309"/>
            <w:shd w:fill="F5F5F5" w:val="clear"/>
            <w:vAlign w:val="center"/>
          </w:tcPr>
          <w:p>
            <w:pPr>
              <w:spacing w:before="30" w:after="30"/>
            </w:pPr>
            <w:r>
              <w:rPr>
                <w:rFonts w:ascii="DM Sans" w:hAnsi="DM Sans" w:cs="DM Sans"/>
                <w:b/>
                <w:i w:val="0"/>
                <w:color w:val="050C2A"/>
                <w:sz w:val="20"/>
                <w:u w:val="none"/>
              </w:rPr>
              <w:t>Proficient (3)</w:t>
            </w:r>
          </w:p>
        </w:tc>
        <w:tc>
          <w:tcPr>
            <w:tcW w:type="dxa" w:w="7051"/>
            <w:shd w:fill="F5F5F5" w:val="clear"/>
            <w:vAlign w:val="center"/>
          </w:tcPr>
          <w:p>
            <w:pPr>
              <w:spacing w:before="30" w:after="30"/>
            </w:pPr>
            <w:r>
              <w:rPr>
                <w:rFonts w:ascii="DM Sans" w:hAnsi="DM Sans" w:cs="DM Sans"/>
                <w:b w:val="0"/>
                <w:i w:val="0"/>
                <w:color w:val="050C2A"/>
                <w:sz w:val="20"/>
                <w:u w:val="none"/>
              </w:rPr>
              <w:t>Findings are broadly relevant and supported by cited sources. Gaps are acknowledged.</w:t>
            </w:r>
          </w:p>
        </w:tc>
      </w:tr>
      <w:tr>
        <w:tc>
          <w:tcPr>
            <w:tcW w:type="dxa" w:w="2309"/>
            <w:vAlign w:val="center"/>
          </w:tcPr>
          <w:p>
            <w:pPr>
              <w:spacing w:before="30" w:after="30"/>
            </w:pPr>
            <w:r>
              <w:rPr>
                <w:rFonts w:ascii="DM Sans" w:hAnsi="DM Sans" w:cs="DM Sans"/>
                <w:b/>
                <w:i w:val="0"/>
                <w:color w:val="050C2A"/>
                <w:sz w:val="20"/>
                <w:u w:val="none"/>
              </w:rPr>
              <w:t>Developing (2)</w:t>
            </w:r>
          </w:p>
        </w:tc>
        <w:tc>
          <w:tcPr>
            <w:tcW w:type="dxa" w:w="7051"/>
            <w:vAlign w:val="center"/>
          </w:tcPr>
          <w:p>
            <w:pPr>
              <w:spacing w:before="30" w:after="30"/>
            </w:pPr>
            <w:r>
              <w:rPr>
                <w:rFonts w:ascii="DM Sans" w:hAnsi="DM Sans" w:cs="DM Sans"/>
                <w:b w:val="0"/>
                <w:i w:val="0"/>
                <w:color w:val="050C2A"/>
                <w:sz w:val="20"/>
                <w:u w:val="none"/>
              </w:rPr>
              <w:t>Findings are present but generic — applicable to almost any project in this space. Sources are thin or uncited. Gaps are not acknowledged.</w:t>
            </w:r>
          </w:p>
        </w:tc>
      </w:tr>
      <w:tr>
        <w:tc>
          <w:tcPr>
            <w:tcW w:type="dxa" w:w="2309"/>
            <w:shd w:fill="F5F5F5" w:val="clear"/>
            <w:vAlign w:val="center"/>
          </w:tcPr>
          <w:p>
            <w:pPr>
              <w:spacing w:before="30" w:after="30"/>
            </w:pPr>
            <w:r>
              <w:rPr>
                <w:rFonts w:ascii="DM Sans" w:hAnsi="DM Sans" w:cs="DM Sans"/>
                <w:b/>
                <w:i w:val="0"/>
                <w:color w:val="050C2A"/>
                <w:sz w:val="20"/>
                <w:u w:val="none"/>
              </w:rPr>
              <w:t>Emerging (1)</w:t>
            </w:r>
          </w:p>
        </w:tc>
        <w:tc>
          <w:tcPr>
            <w:tcW w:type="dxa" w:w="7051"/>
            <w:shd w:fill="F5F5F5" w:val="clear"/>
            <w:vAlign w:val="center"/>
          </w:tcPr>
          <w:p>
            <w:pPr>
              <w:spacing w:before="30" w:after="30"/>
            </w:pPr>
            <w:r>
              <w:rPr>
                <w:rFonts w:ascii="DM Sans" w:hAnsi="DM Sans" w:cs="DM Sans"/>
                <w:b w:val="0"/>
                <w:i w:val="0"/>
                <w:color w:val="050C2A"/>
                <w:sz w:val="20"/>
                <w:u w:val="none"/>
              </w:rPr>
              <w:t>Findings are vague or largely restate what would be known without investigation. Sources are absent or insufficient to support the findings presented.</w:t>
            </w:r>
          </w:p>
        </w:tc>
      </w:tr>
      <w:tr>
        <w:tc>
          <w:tcPr>
            <w:tcW w:type="dxa" w:w="2309"/>
            <w:vAlign w:val="center"/>
          </w:tcPr>
          <w:p>
            <w:pPr>
              <w:spacing w:before="30" w:after="30"/>
            </w:pPr>
            <w:r>
              <w:rPr>
                <w:rFonts w:ascii="DM Sans" w:hAnsi="DM Sans" w:cs="DM Sans"/>
                <w:b/>
                <w:i w:val="0"/>
                <w:color w:val="050C2A"/>
                <w:sz w:val="20"/>
                <w:u w:val="none"/>
              </w:rPr>
              <w:t>Not Acceptable (0)</w:t>
            </w:r>
          </w:p>
        </w:tc>
        <w:tc>
          <w:tcPr>
            <w:tcW w:type="dxa" w:w="7051"/>
            <w:vAlign w:val="center"/>
          </w:tcPr>
          <w:p>
            <w:pPr>
              <w:spacing w:before="30" w:after="30"/>
            </w:pPr>
            <w:r>
              <w:rPr>
                <w:rFonts w:ascii="DM Sans" w:hAnsi="DM Sans" w:cs="DM Sans"/>
                <w:b w:val="0"/>
                <w:i w:val="0"/>
                <w:color w:val="050C2A"/>
                <w:sz w:val="20"/>
                <w:u w:val="none"/>
              </w:rPr>
              <w:t>No meaningful research is present. The section is missing or contains only information requiring no independent investigation.</w:t>
            </w:r>
          </w:p>
        </w:tc>
      </w:tr>
    </w:tbl>
    <w:p>
      <w:pPr>
        <w:spacing w:before="0" w:after="120"/>
      </w:pPr>
    </w:p>
    <w:p>
      <w:pPr>
        <w:spacing w:before="0" w:after="120" w:line="276" w:lineRule="auto"/>
      </w:pPr>
      <w:r>
        <w:rPr>
          <w:rFonts w:ascii="DM Sans" w:hAnsi="DM Sans" w:cs="DM Sans"/>
          <w:b/>
          <w:i w:val="0"/>
          <w:color w:val="050C2A"/>
          <w:sz w:val="20"/>
          <w:u w:val="none"/>
        </w:rPr>
        <w:t>Key design notes: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"Cited sources" (plural) sets expectation of multiple sources without prescribing a number</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"Specific to this project context" vs. "broadly relevant" is the primary Exemplary/Proficient differentiator</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"Presented with enough detail to be useful" is a pure research quality signal — it replaced "connected into points the team is making" which was doing Evidence-Based Reasoning work</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"Generic — applicable to almost any project in this space" is the Developing marker — evaluators can judge this from the document alone without comparing to kickoff notes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"Makes connections between findings" was removed from Proficient for the same boundary reason — connecting findings is reasoning work, not research quality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Evaluators do NOT need to cross-reference the Kickoff Summary — specificity and citation are visible in the document itself</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Grading guide will provide concrete examples (e.g., Maple &amp; Main scenario) illustrating Exemplary vs. Proficient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Boundary principle:</w:t>
      </w:r>
      <w:r>
        <w:rPr>
          <w:rFonts w:ascii="DM Sans" w:hAnsi="DM Sans" w:cs="DM Sans"/>
          <w:b w:val="0"/>
          <w:i w:val="0"/>
          <w:color w:val="050C2A"/>
          <w:sz w:val="20"/>
          <w:u w:val="none"/>
        </w:rPr>
        <w:t xml:space="preserve"> Research Quality is silent on what students do with their findings. That is Evidence-Based Reasoning's job. This dimension asks only: did you find relevant, specific, cited things, and did you acknowledge what you don't know.</w:t>
      </w:r>
    </w:p>
    <w:p>
      <w:pPr>
        <w:spacing w:before="280" w:after="100"/>
      </w:pPr>
      <w:r>
        <w:rPr>
          <w:rFonts w:ascii="DM Sans" w:hAnsi="DM Sans" w:cs="DM Sans"/>
          <w:b/>
          <w:i w:val="0"/>
          <w:color w:val="050C2A"/>
          <w:sz w:val="28"/>
          <w:u w:val="none"/>
        </w:rPr>
        <w:t>Dimension 2: Evidence-Based Reasoning — LOCKED</w:t>
      </w:r>
    </w:p>
    <w:p>
      <w:pPr>
        <w:spacing w:before="0" w:after="120" w:line="276" w:lineRule="auto"/>
      </w:pPr>
      <w:r>
        <w:rPr>
          <w:rFonts w:ascii="DM Sans" w:hAnsi="DM Sans" w:cs="DM Sans"/>
          <w:b w:val="0"/>
          <w:i/>
          <w:color w:val="050C2A"/>
          <w:sz w:val="20"/>
          <w:u w:val="none"/>
        </w:rPr>
        <w:t>Critical Thinking → Evidence-Based Reasoning</w:t>
      </w:r>
      <w:r>
        <w:rPr>
          <w:rFonts w:ascii="DM Sans" w:hAnsi="DM Sans" w:cs="DM Sans"/>
          <w:b w:val="0"/>
          <w:i w:val="0"/>
          <w:color w:val="050C2A"/>
          <w:sz w:val="20"/>
          <w:u w:val="none"/>
        </w:rPr>
        <w:t xml:space="preserve"> </w:t>
      </w:r>
      <w:r>
        <w:rPr>
          <w:rFonts w:ascii="DM Sans" w:hAnsi="DM Sans" w:cs="DM Sans"/>
          <w:b w:val="0"/>
          <w:i/>
          <w:color w:val="050C2A"/>
          <w:sz w:val="20"/>
          <w:u w:val="none"/>
        </w:rPr>
        <w:t>Evaluates Part 2: Research Findings — whether claims follow from evidence rather than assertion.</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233"/>
            <w:shd w:fill="FF7C0A" w:val="clear"/>
            <w:vAlign w:val="center"/>
          </w:tcPr>
          <w:p>
            <w:pPr>
              <w:jc w:val="left"/>
              <w:spacing w:before="40" w:after="40"/>
            </w:pPr>
            <w:r>
              <w:rPr>
                <w:rFonts w:ascii="DM Sans" w:hAnsi="DM Sans" w:cs="DM Sans"/>
                <w:b/>
                <w:i w:val="0"/>
                <w:color w:val="FFFFFF"/>
                <w:sz w:val="20"/>
                <w:u w:val="none"/>
              </w:rPr>
              <w:t>Level</w:t>
            </w:r>
          </w:p>
        </w:tc>
        <w:tc>
          <w:tcPr>
            <w:tcW w:type="dxa" w:w="7127"/>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233"/>
            <w:vAlign w:val="center"/>
          </w:tcPr>
          <w:p>
            <w:pPr>
              <w:spacing w:before="30" w:after="30"/>
            </w:pPr>
            <w:r>
              <w:rPr>
                <w:rFonts w:ascii="DM Sans" w:hAnsi="DM Sans" w:cs="DM Sans"/>
                <w:b/>
                <w:i w:val="0"/>
                <w:color w:val="050C2A"/>
                <w:sz w:val="20"/>
                <w:u w:val="none"/>
              </w:rPr>
              <w:t>Exemplary (4)</w:t>
            </w:r>
          </w:p>
        </w:tc>
        <w:tc>
          <w:tcPr>
            <w:tcW w:type="dxa" w:w="7127"/>
            <w:vAlign w:val="center"/>
          </w:tcPr>
          <w:p>
            <w:pPr>
              <w:spacing w:before="30" w:after="30"/>
            </w:pPr>
            <w:r>
              <w:rPr>
                <w:rFonts w:ascii="DM Sans" w:hAnsi="DM Sans" w:cs="DM Sans"/>
                <w:b w:val="0"/>
                <w:i w:val="0"/>
                <w:color w:val="050C2A"/>
                <w:sz w:val="20"/>
                <w:u w:val="none"/>
              </w:rPr>
              <w:t>Claims are consistently grounded in the research. The team distinguishes clearly between what the evidence shows and what they are inferring from it. Where evidence runs out, assumptions and uncertainty are named explicitly.</w:t>
            </w:r>
          </w:p>
        </w:tc>
      </w:tr>
      <w:tr>
        <w:tc>
          <w:tcPr>
            <w:tcW w:type="dxa" w:w="2233"/>
            <w:shd w:fill="F5F5F5" w:val="clear"/>
            <w:vAlign w:val="center"/>
          </w:tcPr>
          <w:p>
            <w:pPr>
              <w:spacing w:before="30" w:after="30"/>
            </w:pPr>
            <w:r>
              <w:rPr>
                <w:rFonts w:ascii="DM Sans" w:hAnsi="DM Sans" w:cs="DM Sans"/>
                <w:b/>
                <w:i w:val="0"/>
                <w:color w:val="050C2A"/>
                <w:sz w:val="20"/>
                <w:u w:val="none"/>
              </w:rPr>
              <w:t>Proficient (3)</w:t>
            </w:r>
          </w:p>
        </w:tc>
        <w:tc>
          <w:tcPr>
            <w:tcW w:type="dxa" w:w="7127"/>
            <w:shd w:fill="F5F5F5" w:val="clear"/>
            <w:vAlign w:val="center"/>
          </w:tcPr>
          <w:p>
            <w:pPr>
              <w:spacing w:before="30" w:after="30"/>
            </w:pPr>
            <w:r>
              <w:rPr>
                <w:rFonts w:ascii="DM Sans" w:hAnsi="DM Sans" w:cs="DM Sans"/>
                <w:b w:val="0"/>
                <w:i w:val="0"/>
                <w:color w:val="050C2A"/>
                <w:sz w:val="20"/>
                <w:u w:val="none"/>
              </w:rPr>
              <w:t>Most claims are grounded in the research. The team generally distinguishes between findings and inferences, even if not always explicitly. Some uncertainty is acknowledged.</w:t>
            </w:r>
          </w:p>
        </w:tc>
      </w:tr>
      <w:tr>
        <w:tc>
          <w:tcPr>
            <w:tcW w:type="dxa" w:w="2233"/>
            <w:vAlign w:val="center"/>
          </w:tcPr>
          <w:p>
            <w:pPr>
              <w:spacing w:before="30" w:after="30"/>
            </w:pPr>
            <w:r>
              <w:rPr>
                <w:rFonts w:ascii="DM Sans" w:hAnsi="DM Sans" w:cs="DM Sans"/>
                <w:b/>
                <w:i w:val="0"/>
                <w:color w:val="050C2A"/>
                <w:sz w:val="20"/>
                <w:u w:val="none"/>
              </w:rPr>
              <w:t>Developing (2)</w:t>
            </w:r>
          </w:p>
        </w:tc>
        <w:tc>
          <w:tcPr>
            <w:tcW w:type="dxa" w:w="7127"/>
            <w:vAlign w:val="center"/>
          </w:tcPr>
          <w:p>
            <w:pPr>
              <w:spacing w:before="30" w:after="30"/>
            </w:pPr>
            <w:r>
              <w:rPr>
                <w:rFonts w:ascii="DM Sans" w:hAnsi="DM Sans" w:cs="DM Sans"/>
                <w:b w:val="0"/>
                <w:i w:val="0"/>
                <w:color w:val="050C2A"/>
                <w:sz w:val="20"/>
                <w:u w:val="none"/>
              </w:rPr>
              <w:t>Claims are frequently asserted without grounding in the research. The team does not distinguish between what they found and what they're concluding. Uncertainty is not acknowledged.</w:t>
            </w:r>
          </w:p>
        </w:tc>
      </w:tr>
      <w:tr>
        <w:tc>
          <w:tcPr>
            <w:tcW w:type="dxa" w:w="2233"/>
            <w:shd w:fill="F5F5F5" w:val="clear"/>
            <w:vAlign w:val="center"/>
          </w:tcPr>
          <w:p>
            <w:pPr>
              <w:spacing w:before="30" w:after="30"/>
            </w:pPr>
            <w:r>
              <w:rPr>
                <w:rFonts w:ascii="DM Sans" w:hAnsi="DM Sans" w:cs="DM Sans"/>
                <w:b/>
                <w:i w:val="0"/>
                <w:color w:val="050C2A"/>
                <w:sz w:val="20"/>
                <w:u w:val="none"/>
              </w:rPr>
              <w:t>Emerging (1)</w:t>
            </w:r>
          </w:p>
        </w:tc>
        <w:tc>
          <w:tcPr>
            <w:tcW w:type="dxa" w:w="7127"/>
            <w:shd w:fill="F5F5F5" w:val="clear"/>
            <w:vAlign w:val="center"/>
          </w:tcPr>
          <w:p>
            <w:pPr>
              <w:spacing w:before="30" w:after="30"/>
            </w:pPr>
            <w:r>
              <w:rPr>
                <w:rFonts w:ascii="DM Sans" w:hAnsi="DM Sans" w:cs="DM Sans"/>
                <w:b w:val="0"/>
                <w:i w:val="0"/>
                <w:color w:val="050C2A"/>
                <w:sz w:val="20"/>
                <w:u w:val="none"/>
              </w:rPr>
              <w:t>Claims are largely unsupported assertions. There is little evidence that conclusions follow from any research base.</w:t>
            </w:r>
          </w:p>
        </w:tc>
      </w:tr>
      <w:tr>
        <w:tc>
          <w:tcPr>
            <w:tcW w:type="dxa" w:w="2233"/>
            <w:vAlign w:val="center"/>
          </w:tcPr>
          <w:p>
            <w:pPr>
              <w:spacing w:before="30" w:after="30"/>
            </w:pPr>
            <w:r>
              <w:rPr>
                <w:rFonts w:ascii="DM Sans" w:hAnsi="DM Sans" w:cs="DM Sans"/>
                <w:b/>
                <w:i w:val="0"/>
                <w:color w:val="050C2A"/>
                <w:sz w:val="20"/>
                <w:u w:val="none"/>
              </w:rPr>
              <w:t>Not Acceptable (0)</w:t>
            </w:r>
          </w:p>
        </w:tc>
        <w:tc>
          <w:tcPr>
            <w:tcW w:type="dxa" w:w="7127"/>
            <w:vAlign w:val="center"/>
          </w:tcPr>
          <w:p>
            <w:pPr>
              <w:spacing w:before="30" w:after="30"/>
            </w:pPr>
            <w:r>
              <w:rPr>
                <w:rFonts w:ascii="DM Sans" w:hAnsi="DM Sans" w:cs="DM Sans"/>
                <w:b w:val="0"/>
                <w:i w:val="0"/>
                <w:color w:val="050C2A"/>
                <w:sz w:val="20"/>
                <w:u w:val="none"/>
              </w:rPr>
              <w:t>No meaningful attempt to ground claims in evidence.</w:t>
            </w:r>
          </w:p>
        </w:tc>
      </w:tr>
    </w:tbl>
    <w:p>
      <w:pPr>
        <w:spacing w:before="0" w:after="120"/>
      </w:pPr>
    </w:p>
    <w:p>
      <w:pPr>
        <w:spacing w:before="0" w:after="120" w:line="276" w:lineRule="auto"/>
      </w:pPr>
      <w:r>
        <w:rPr>
          <w:rFonts w:ascii="DM Sans" w:hAnsi="DM Sans" w:cs="DM Sans"/>
          <w:b/>
          <w:i w:val="0"/>
          <w:color w:val="050C2A"/>
          <w:sz w:val="20"/>
          <w:u w:val="none"/>
        </w:rPr>
        <w:t>Key design notes: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core observable distinction across levels is "grounded vs. asserted" — an evaluator can spot this in a document without reference to anything else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relationship with Research Quality is asymmetric: strong research is a prerequisite for strong evidence-based reasoning (you can't reason well from evidence you don't have), but having good evidence doesn't guarantee you'll use it well. A team can score high on Research Quality and low here, but the reverse is unlikely.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This asymmetry justifies keeping the dimensions separate — they measure genuinely different skills. A team that finds good sources but asserts conclusions without grounding them needs different feedback than a team that reasons carefully from thin research.</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Boundary principle:</w:t>
      </w:r>
      <w:r>
        <w:rPr>
          <w:rFonts w:ascii="DM Sans" w:hAnsi="DM Sans" w:cs="DM Sans"/>
          <w:b w:val="0"/>
          <w:i w:val="0"/>
          <w:color w:val="050C2A"/>
          <w:sz w:val="20"/>
          <w:u w:val="none"/>
        </w:rPr>
        <w:t xml:space="preserve"> Evidence-Based Reasoning is silent on the quality of sources themselves — that is already handled by Research Quality. This dimension asks only: do claims follow from evidence, and does the team know the difference between what they found and what they're concluding?</w:t>
      </w:r>
    </w:p>
    <w:p>
      <w:pPr>
        <w:spacing w:before="280" w:after="100"/>
      </w:pPr>
      <w:r>
        <w:rPr>
          <w:rFonts w:ascii="DM Sans" w:hAnsi="DM Sans" w:cs="DM Sans"/>
          <w:b/>
          <w:i w:val="0"/>
          <w:color w:val="050C2A"/>
          <w:sz w:val="28"/>
          <w:u w:val="none"/>
        </w:rPr>
        <w:t>Dimension 3: Strategic Implications — LOCKED</w:t>
      </w:r>
    </w:p>
    <w:p>
      <w:pPr>
        <w:spacing w:before="0" w:after="120" w:line="276" w:lineRule="auto"/>
      </w:pPr>
      <w:r>
        <w:rPr>
          <w:rFonts w:ascii="DM Sans" w:hAnsi="DM Sans" w:cs="DM Sans"/>
          <w:b w:val="0"/>
          <w:i/>
          <w:color w:val="050C2A"/>
          <w:sz w:val="20"/>
          <w:u w:val="none"/>
        </w:rPr>
        <w:t>Critical Thinking → Problem Framing</w:t>
      </w:r>
      <w:r>
        <w:rPr>
          <w:rFonts w:ascii="DM Sans" w:hAnsi="DM Sans" w:cs="DM Sans"/>
          <w:b w:val="0"/>
          <w:i w:val="0"/>
          <w:color w:val="050C2A"/>
          <w:sz w:val="20"/>
          <w:u w:val="none"/>
        </w:rPr>
        <w:t xml:space="preserve"> </w:t>
      </w:r>
      <w:r>
        <w:rPr>
          <w:rFonts w:ascii="DM Sans" w:hAnsi="DM Sans" w:cs="DM Sans"/>
          <w:b w:val="0"/>
          <w:i/>
          <w:color w:val="050C2A"/>
          <w:sz w:val="20"/>
          <w:u w:val="none"/>
        </w:rPr>
        <w:t>Evaluates Part 3: Strategic Implications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264"/>
            <w:shd w:fill="FF7C0A" w:val="clear"/>
            <w:vAlign w:val="center"/>
          </w:tcPr>
          <w:p>
            <w:pPr>
              <w:jc w:val="left"/>
              <w:spacing w:before="40" w:after="40"/>
            </w:pPr>
            <w:r>
              <w:rPr>
                <w:rFonts w:ascii="DM Sans" w:hAnsi="DM Sans" w:cs="DM Sans"/>
                <w:b/>
                <w:i w:val="0"/>
                <w:color w:val="FFFFFF"/>
                <w:sz w:val="20"/>
                <w:u w:val="none"/>
              </w:rPr>
              <w:t>Level</w:t>
            </w:r>
          </w:p>
        </w:tc>
        <w:tc>
          <w:tcPr>
            <w:tcW w:type="dxa" w:w="7096"/>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264"/>
            <w:vAlign w:val="center"/>
          </w:tcPr>
          <w:p>
            <w:pPr>
              <w:spacing w:before="30" w:after="30"/>
            </w:pPr>
            <w:r>
              <w:rPr>
                <w:rFonts w:ascii="DM Sans" w:hAnsi="DM Sans" w:cs="DM Sans"/>
                <w:b/>
                <w:i w:val="0"/>
                <w:color w:val="050C2A"/>
                <w:sz w:val="20"/>
                <w:u w:val="none"/>
              </w:rPr>
              <w:t>Exemplary (4)</w:t>
            </w:r>
          </w:p>
        </w:tc>
        <w:tc>
          <w:tcPr>
            <w:tcW w:type="dxa" w:w="7096"/>
            <w:vAlign w:val="center"/>
          </w:tcPr>
          <w:p>
            <w:pPr>
              <w:spacing w:before="30" w:after="30"/>
            </w:pPr>
            <w:r>
              <w:rPr>
                <w:rFonts w:ascii="DM Sans" w:hAnsi="DM Sans" w:cs="DM Sans"/>
                <w:b w:val="0"/>
                <w:i w:val="0"/>
                <w:color w:val="050C2A"/>
                <w:sz w:val="20"/>
                <w:u w:val="none"/>
              </w:rPr>
              <w:t>Implications are clearly derived from the research and meaningfully shape the direction of the project. They are specific to this context and identify tradeoffs, tensions, or strategic choices the team must navigate.</w:t>
            </w:r>
          </w:p>
        </w:tc>
      </w:tr>
      <w:tr>
        <w:tc>
          <w:tcPr>
            <w:tcW w:type="dxa" w:w="2264"/>
            <w:shd w:fill="F5F5F5" w:val="clear"/>
            <w:vAlign w:val="center"/>
          </w:tcPr>
          <w:p>
            <w:pPr>
              <w:spacing w:before="30" w:after="30"/>
            </w:pPr>
            <w:r>
              <w:rPr>
                <w:rFonts w:ascii="DM Sans" w:hAnsi="DM Sans" w:cs="DM Sans"/>
                <w:b/>
                <w:i w:val="0"/>
                <w:color w:val="050C2A"/>
                <w:sz w:val="20"/>
                <w:u w:val="none"/>
              </w:rPr>
              <w:t>Proficient (3)</w:t>
            </w:r>
          </w:p>
        </w:tc>
        <w:tc>
          <w:tcPr>
            <w:tcW w:type="dxa" w:w="7096"/>
            <w:shd w:fill="F5F5F5" w:val="clear"/>
            <w:vAlign w:val="center"/>
          </w:tcPr>
          <w:p>
            <w:pPr>
              <w:spacing w:before="30" w:after="30"/>
            </w:pPr>
            <w:r>
              <w:rPr>
                <w:rFonts w:ascii="DM Sans" w:hAnsi="DM Sans" w:cs="DM Sans"/>
                <w:b w:val="0"/>
                <w:i w:val="0"/>
                <w:color w:val="050C2A"/>
                <w:sz w:val="20"/>
                <w:u w:val="none"/>
              </w:rPr>
              <w:t>Implications follow logically from the research and are relevant to this project context. They identify clear priorities or considerations that should shape the team's approach.</w:t>
            </w:r>
          </w:p>
        </w:tc>
      </w:tr>
      <w:tr>
        <w:tc>
          <w:tcPr>
            <w:tcW w:type="dxa" w:w="2264"/>
            <w:vAlign w:val="center"/>
          </w:tcPr>
          <w:p>
            <w:pPr>
              <w:spacing w:before="30" w:after="30"/>
            </w:pPr>
            <w:r>
              <w:rPr>
                <w:rFonts w:ascii="DM Sans" w:hAnsi="DM Sans" w:cs="DM Sans"/>
                <w:b/>
                <w:i w:val="0"/>
                <w:color w:val="050C2A"/>
                <w:sz w:val="20"/>
                <w:u w:val="none"/>
              </w:rPr>
              <w:t>Developing (2)</w:t>
            </w:r>
          </w:p>
        </w:tc>
        <w:tc>
          <w:tcPr>
            <w:tcW w:type="dxa" w:w="7096"/>
            <w:vAlign w:val="center"/>
          </w:tcPr>
          <w:p>
            <w:pPr>
              <w:spacing w:before="30" w:after="30"/>
            </w:pPr>
            <w:r>
              <w:rPr>
                <w:rFonts w:ascii="DM Sans" w:hAnsi="DM Sans" w:cs="DM Sans"/>
                <w:b w:val="0"/>
                <w:i w:val="0"/>
                <w:color w:val="050C2A"/>
                <w:sz w:val="20"/>
                <w:u w:val="none"/>
              </w:rPr>
              <w:t>Implications are present but remain general or loosely connected to the research. They resemble broad observations rather than project-specific direction.</w:t>
            </w:r>
          </w:p>
        </w:tc>
      </w:tr>
      <w:tr>
        <w:tc>
          <w:tcPr>
            <w:tcW w:type="dxa" w:w="2264"/>
            <w:shd w:fill="F5F5F5" w:val="clear"/>
            <w:vAlign w:val="center"/>
          </w:tcPr>
          <w:p>
            <w:pPr>
              <w:spacing w:before="30" w:after="30"/>
            </w:pPr>
            <w:r>
              <w:rPr>
                <w:rFonts w:ascii="DM Sans" w:hAnsi="DM Sans" w:cs="DM Sans"/>
                <w:b/>
                <w:i w:val="0"/>
                <w:color w:val="050C2A"/>
                <w:sz w:val="20"/>
                <w:u w:val="none"/>
              </w:rPr>
              <w:t>Emerging (1)</w:t>
            </w:r>
          </w:p>
        </w:tc>
        <w:tc>
          <w:tcPr>
            <w:tcW w:type="dxa" w:w="7096"/>
            <w:shd w:fill="F5F5F5" w:val="clear"/>
            <w:vAlign w:val="center"/>
          </w:tcPr>
          <w:p>
            <w:pPr>
              <w:spacing w:before="30" w:after="30"/>
            </w:pPr>
            <w:r>
              <w:rPr>
                <w:rFonts w:ascii="DM Sans" w:hAnsi="DM Sans" w:cs="DM Sans"/>
                <w:b w:val="0"/>
                <w:i w:val="0"/>
                <w:color w:val="050C2A"/>
                <w:sz w:val="20"/>
                <w:u w:val="none"/>
              </w:rPr>
              <w:t>Implications are vague, generic, or disconnected from the research findings. They do not meaningfully inform project direction.</w:t>
            </w:r>
          </w:p>
        </w:tc>
      </w:tr>
      <w:tr>
        <w:tc>
          <w:tcPr>
            <w:tcW w:type="dxa" w:w="2264"/>
            <w:vAlign w:val="center"/>
          </w:tcPr>
          <w:p>
            <w:pPr>
              <w:spacing w:before="30" w:after="30"/>
            </w:pPr>
            <w:r>
              <w:rPr>
                <w:rFonts w:ascii="DM Sans" w:hAnsi="DM Sans" w:cs="DM Sans"/>
                <w:b/>
                <w:i w:val="0"/>
                <w:color w:val="050C2A"/>
                <w:sz w:val="20"/>
                <w:u w:val="none"/>
              </w:rPr>
              <w:t>Not Acceptable (0)</w:t>
            </w:r>
          </w:p>
        </w:tc>
        <w:tc>
          <w:tcPr>
            <w:tcW w:type="dxa" w:w="7096"/>
            <w:vAlign w:val="center"/>
          </w:tcPr>
          <w:p>
            <w:pPr>
              <w:spacing w:before="30" w:after="30"/>
            </w:pPr>
            <w:r>
              <w:rPr>
                <w:rFonts w:ascii="DM Sans" w:hAnsi="DM Sans" w:cs="DM Sans"/>
                <w:b w:val="0"/>
                <w:i w:val="0"/>
                <w:color w:val="050C2A"/>
                <w:sz w:val="20"/>
                <w:u w:val="none"/>
              </w:rPr>
              <w:t>No meaningful strategic implications are articulated.</w:t>
            </w:r>
          </w:p>
        </w:tc>
      </w:tr>
    </w:tbl>
    <w:p>
      <w:pPr>
        <w:spacing w:before="0" w:after="120"/>
      </w:pPr>
    </w:p>
    <w:p>
      <w:pPr>
        <w:spacing w:before="0" w:after="120" w:line="276" w:lineRule="auto"/>
      </w:pPr>
      <w:r>
        <w:rPr>
          <w:rFonts w:ascii="DM Sans" w:hAnsi="DM Sans" w:cs="DM Sans"/>
          <w:b/>
          <w:i w:val="0"/>
          <w:color w:val="050C2A"/>
          <w:sz w:val="20"/>
          <w:u w:val="none"/>
        </w:rPr>
        <w:t>Key design notes: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This dimension completes the Part 2 → Part 3 reasoning chain: Research Quality measures the inputs, Evidence-Based Reasoning measures whether claims follow from those inputs, and Strategic Implications measures whether the team translates that reasoning into a point of view about how to approach the project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"Tradeoffs, tensions, or strategic choices" is the Exemplary differentiator — it signals that exceptional work recognizes implications create decisions, not just direction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"Relevant to this project context" vs. "general or loosely connected" is the Proficient/Developing boundary, mirroring the specificity gradient in Research Quality for internal rubric consistency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"Broad observations" replaced "broad recommendations" to avoid confusion — the deliverable asks for implications that shape approach, not recommendations per se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"Shape the team's approach" replaced "guide the team's next steps" to keep this in the strategic framing lane rather than drifting into Planning Quality territory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Boundary principle:</w:t>
      </w:r>
      <w:r>
        <w:rPr>
          <w:rFonts w:ascii="DM Sans" w:hAnsi="DM Sans" w:cs="DM Sans"/>
          <w:b w:val="0"/>
          <w:i w:val="0"/>
          <w:color w:val="050C2A"/>
          <w:sz w:val="20"/>
          <w:u w:val="none"/>
        </w:rPr>
        <w:t xml:space="preserve"> Strategic Implications is silent on the quality of sources (Research Quality), on whether claims are properly grounded (Evidence-Based Reasoning), and on the plan itself (Planning Quality). It asks only: does the team move from "here's what we found" to "here's what it means for how we approach this project"?</w:t>
      </w:r>
    </w:p>
    <w:p>
      <w:pPr>
        <w:spacing w:before="280" w:after="100"/>
      </w:pPr>
      <w:r>
        <w:rPr>
          <w:rFonts w:ascii="DM Sans" w:hAnsi="DM Sans" w:cs="DM Sans"/>
          <w:b/>
          <w:i w:val="0"/>
          <w:color w:val="050C2A"/>
          <w:sz w:val="28"/>
          <w:u w:val="none"/>
        </w:rPr>
        <w:t>Dimension 4: Planning Quality — LOCKED</w:t>
      </w:r>
    </w:p>
    <w:p>
      <w:pPr>
        <w:spacing w:before="0" w:after="120" w:line="276" w:lineRule="auto"/>
      </w:pPr>
      <w:r>
        <w:rPr>
          <w:rFonts w:ascii="DM Sans" w:hAnsi="DM Sans" w:cs="DM Sans"/>
          <w:b w:val="0"/>
          <w:i/>
          <w:color w:val="050C2A"/>
          <w:sz w:val="20"/>
          <w:u w:val="none"/>
        </w:rPr>
        <w:t>Critical Thinking → Prioritization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Part 4: Project Plan</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121"/>
            <w:shd w:fill="FF7C0A" w:val="clear"/>
            <w:vAlign w:val="center"/>
          </w:tcPr>
          <w:p>
            <w:pPr>
              <w:jc w:val="left"/>
              <w:spacing w:before="40" w:after="40"/>
            </w:pPr>
            <w:r>
              <w:rPr>
                <w:rFonts w:ascii="DM Sans" w:hAnsi="DM Sans" w:cs="DM Sans"/>
                <w:b/>
                <w:i w:val="0"/>
                <w:color w:val="FFFFFF"/>
                <w:sz w:val="20"/>
                <w:u w:val="none"/>
              </w:rPr>
              <w:t>Level</w:t>
            </w:r>
          </w:p>
        </w:tc>
        <w:tc>
          <w:tcPr>
            <w:tcW w:type="dxa" w:w="7239"/>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121"/>
            <w:vAlign w:val="center"/>
          </w:tcPr>
          <w:p>
            <w:pPr>
              <w:spacing w:before="30" w:after="30"/>
            </w:pPr>
            <w:r>
              <w:rPr>
                <w:rFonts w:ascii="DM Sans" w:hAnsi="DM Sans" w:cs="DM Sans"/>
                <w:b/>
                <w:i w:val="0"/>
                <w:color w:val="050C2A"/>
                <w:sz w:val="20"/>
                <w:u w:val="none"/>
              </w:rPr>
              <w:t>Exemplary (4)</w:t>
            </w:r>
          </w:p>
        </w:tc>
        <w:tc>
          <w:tcPr>
            <w:tcW w:type="dxa" w:w="7239"/>
            <w:vAlign w:val="center"/>
          </w:tcPr>
          <w:p>
            <w:pPr>
              <w:spacing w:before="30" w:after="30"/>
            </w:pPr>
            <w:r>
              <w:rPr>
                <w:rFonts w:ascii="DM Sans" w:hAnsi="DM Sans" w:cs="DM Sans"/>
                <w:b w:val="0"/>
                <w:i w:val="0"/>
                <w:color w:val="050C2A"/>
                <w:sz w:val="20"/>
                <w:u w:val="none"/>
              </w:rPr>
              <w:t>The plan is realistic, clearly structured, and aligned with the project's strategic direction. Roles are clearly defined. Risks are thoughtfully identified with plausible mitigation strategies. Scope reflects intentional prioritization rather than breadth.</w:t>
            </w:r>
          </w:p>
        </w:tc>
      </w:tr>
      <w:tr>
        <w:tc>
          <w:tcPr>
            <w:tcW w:type="dxa" w:w="2121"/>
            <w:shd w:fill="F5F5F5" w:val="clear"/>
            <w:vAlign w:val="center"/>
          </w:tcPr>
          <w:p>
            <w:pPr>
              <w:spacing w:before="30" w:after="30"/>
            </w:pPr>
            <w:r>
              <w:rPr>
                <w:rFonts w:ascii="DM Sans" w:hAnsi="DM Sans" w:cs="DM Sans"/>
                <w:b/>
                <w:i w:val="0"/>
                <w:color w:val="050C2A"/>
                <w:sz w:val="20"/>
                <w:u w:val="none"/>
              </w:rPr>
              <w:t>Proficient (3)</w:t>
            </w:r>
          </w:p>
        </w:tc>
        <w:tc>
          <w:tcPr>
            <w:tcW w:type="dxa" w:w="7239"/>
            <w:shd w:fill="F5F5F5" w:val="clear"/>
            <w:vAlign w:val="center"/>
          </w:tcPr>
          <w:p>
            <w:pPr>
              <w:spacing w:before="30" w:after="30"/>
            </w:pPr>
            <w:r>
              <w:rPr>
                <w:rFonts w:ascii="DM Sans" w:hAnsi="DM Sans" w:cs="DM Sans"/>
                <w:b w:val="0"/>
                <w:i w:val="0"/>
                <w:color w:val="050C2A"/>
                <w:sz w:val="20"/>
                <w:u w:val="none"/>
              </w:rPr>
              <w:t>The plan is coherent and generally aligned with the project direction. Roles are defined. Risks are identified. Scope is reasonable, though tradeoffs or scoping decisions are not made explicit.</w:t>
            </w:r>
          </w:p>
        </w:tc>
      </w:tr>
      <w:tr>
        <w:tc>
          <w:tcPr>
            <w:tcW w:type="dxa" w:w="2121"/>
            <w:vAlign w:val="center"/>
          </w:tcPr>
          <w:p>
            <w:pPr>
              <w:spacing w:before="30" w:after="30"/>
            </w:pPr>
            <w:r>
              <w:rPr>
                <w:rFonts w:ascii="DM Sans" w:hAnsi="DM Sans" w:cs="DM Sans"/>
                <w:b/>
                <w:i w:val="0"/>
                <w:color w:val="050C2A"/>
                <w:sz w:val="20"/>
                <w:u w:val="none"/>
              </w:rPr>
              <w:t>Developing (2)</w:t>
            </w:r>
          </w:p>
        </w:tc>
        <w:tc>
          <w:tcPr>
            <w:tcW w:type="dxa" w:w="7239"/>
            <w:vAlign w:val="center"/>
          </w:tcPr>
          <w:p>
            <w:pPr>
              <w:spacing w:before="30" w:after="30"/>
            </w:pPr>
            <w:r>
              <w:rPr>
                <w:rFonts w:ascii="DM Sans" w:hAnsi="DM Sans" w:cs="DM Sans"/>
                <w:b w:val="0"/>
                <w:i w:val="0"/>
                <w:color w:val="050C2A"/>
                <w:sz w:val="20"/>
                <w:u w:val="none"/>
              </w:rPr>
              <w:t>The plan is present but lacks clarity, alignment, or realism. Roles may be unevenly defined. Risks are listed but not meaningfully considered. Scope may appear overly broad or underdeveloped.</w:t>
            </w:r>
          </w:p>
        </w:tc>
      </w:tr>
      <w:tr>
        <w:tc>
          <w:tcPr>
            <w:tcW w:type="dxa" w:w="2121"/>
            <w:shd w:fill="F5F5F5" w:val="clear"/>
            <w:vAlign w:val="center"/>
          </w:tcPr>
          <w:p>
            <w:pPr>
              <w:spacing w:before="30" w:after="30"/>
            </w:pPr>
            <w:r>
              <w:rPr>
                <w:rFonts w:ascii="DM Sans" w:hAnsi="DM Sans" w:cs="DM Sans"/>
                <w:b/>
                <w:i w:val="0"/>
                <w:color w:val="050C2A"/>
                <w:sz w:val="20"/>
                <w:u w:val="none"/>
              </w:rPr>
              <w:t>Emerging (1)</w:t>
            </w:r>
          </w:p>
        </w:tc>
        <w:tc>
          <w:tcPr>
            <w:tcW w:type="dxa" w:w="7239"/>
            <w:shd w:fill="F5F5F5" w:val="clear"/>
            <w:vAlign w:val="center"/>
          </w:tcPr>
          <w:p>
            <w:pPr>
              <w:spacing w:before="30" w:after="30"/>
            </w:pPr>
            <w:r>
              <w:rPr>
                <w:rFonts w:ascii="DM Sans" w:hAnsi="DM Sans" w:cs="DM Sans"/>
                <w:b w:val="0"/>
                <w:i w:val="0"/>
                <w:color w:val="050C2A"/>
                <w:sz w:val="20"/>
                <w:u w:val="none"/>
              </w:rPr>
              <w:t>The plan is vague, incomplete, or unrealistic. Roles are unclear. Risks are absent or superficial. Scope is not thoughtfully considered.</w:t>
            </w:r>
          </w:p>
        </w:tc>
      </w:tr>
      <w:tr>
        <w:tc>
          <w:tcPr>
            <w:tcW w:type="dxa" w:w="2121"/>
            <w:vAlign w:val="center"/>
          </w:tcPr>
          <w:p>
            <w:pPr>
              <w:spacing w:before="30" w:after="30"/>
            </w:pPr>
            <w:r>
              <w:rPr>
                <w:rFonts w:ascii="DM Sans" w:hAnsi="DM Sans" w:cs="DM Sans"/>
                <w:b/>
                <w:i w:val="0"/>
                <w:color w:val="050C2A"/>
                <w:sz w:val="20"/>
                <w:u w:val="none"/>
              </w:rPr>
              <w:t>Not Acceptable (0)</w:t>
            </w:r>
          </w:p>
        </w:tc>
        <w:tc>
          <w:tcPr>
            <w:tcW w:type="dxa" w:w="7239"/>
            <w:vAlign w:val="center"/>
          </w:tcPr>
          <w:p>
            <w:pPr>
              <w:spacing w:before="30" w:after="30"/>
            </w:pPr>
            <w:r>
              <w:rPr>
                <w:rFonts w:ascii="DM Sans" w:hAnsi="DM Sans" w:cs="DM Sans"/>
                <w:b w:val="0"/>
                <w:i w:val="0"/>
                <w:color w:val="050C2A"/>
                <w:sz w:val="20"/>
                <w:u w:val="none"/>
              </w:rPr>
              <w:t>No meaningful project plan is provided.</w:t>
            </w:r>
          </w:p>
        </w:tc>
      </w:tr>
    </w:tbl>
    <w:p>
      <w:pPr>
        <w:spacing w:before="0" w:after="120"/>
      </w:pPr>
    </w:p>
    <w:p>
      <w:pPr>
        <w:spacing w:before="0" w:after="120" w:line="276" w:lineRule="auto"/>
      </w:pPr>
      <w:r>
        <w:rPr>
          <w:rFonts w:ascii="DM Sans" w:hAnsi="DM Sans" w:cs="DM Sans"/>
          <w:b/>
          <w:i w:val="0"/>
          <w:color w:val="050C2A"/>
          <w:sz w:val="20"/>
          <w:u w:val="none"/>
        </w:rPr>
        <w:t>Key design notes: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core differentiators across levels:</w:t>
      </w:r>
    </w:p>
    <w:p>
      <w:pPr>
        <w:ind w:left="108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Exemplary = judgment under constraint — you can see prioritization, tradeoffs, and understanding of risk</w:t>
      </w:r>
    </w:p>
    <w:p>
      <w:pPr>
        <w:ind w:left="108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Proficient = solid but not deeply strategic — everything is there, it works, it's not sloppy, it's not especially insightful</w:t>
      </w:r>
    </w:p>
    <w:p>
      <w:pPr>
        <w:ind w:left="108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Developing = performative planning — roles exist but don't make sense, risks are listed but not engaged, scope is wishful</w:t>
      </w:r>
    </w:p>
    <w:p>
      <w:pPr>
        <w:ind w:left="108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Emerging = largely unworkable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"Rather than breadth" replaced "rather than ambition" — the point is that a narrower, well-reasoned plan beats an exhaustive one, but "ambition" could be misread as discouraging high aims for the project itself</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"Tradeoffs or scoping decisions are not made explicit" sharpens the Exemplary/Proficient gap — at Proficient the plan works but you can't see the reasoning behind the choices; at Exemplary you can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Evaluator note for grading guide:</w:t>
      </w:r>
      <w:r>
        <w:rPr>
          <w:rFonts w:ascii="DM Sans" w:hAnsi="DM Sans" w:cs="DM Sans"/>
          <w:b w:val="0"/>
          <w:i w:val="0"/>
          <w:color w:val="050C2A"/>
          <w:sz w:val="20"/>
          <w:u w:val="none"/>
        </w:rPr>
        <w:t xml:space="preserve"> The course calendar provides milestone dates, so using those dates is expected, not a sign of lack of initiative. The authentic planning work being assessed is roles, risk identification, scoping decisions, and open questions for the Direction Check.</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Boundary principle:</w:t>
      </w:r>
      <w:r>
        <w:rPr>
          <w:rFonts w:ascii="DM Sans" w:hAnsi="DM Sans" w:cs="DM Sans"/>
          <w:b w:val="0"/>
          <w:i w:val="0"/>
          <w:color w:val="050C2A"/>
          <w:sz w:val="20"/>
          <w:u w:val="none"/>
        </w:rPr>
        <w:t xml:space="preserve"> Planning Quality is silent on the quality of the research (Research Quality), the reasoning from evidence (Evidence-Based Reasoning), and whether implications are well-framed (Strategic Implications). It asks only: did the team make a plan that reflects deliberate choices about scope, roles, and risk?</w:t>
      </w:r>
    </w:p>
    <w:p>
      <w:pPr>
        <w:spacing w:before="280" w:after="100"/>
      </w:pPr>
      <w:r>
        <w:rPr>
          <w:rFonts w:ascii="DM Sans" w:hAnsi="DM Sans" w:cs="DM Sans"/>
          <w:b/>
          <w:i w:val="0"/>
          <w:color w:val="050C2A"/>
          <w:sz w:val="28"/>
          <w:u w:val="none"/>
        </w:rPr>
        <w:t>Dimension 5: Document Quality — LOCKED</w:t>
      </w:r>
    </w:p>
    <w:p>
      <w:pPr>
        <w:spacing w:before="0" w:after="120" w:line="276" w:lineRule="auto"/>
      </w:pPr>
      <w:r>
        <w:rPr>
          <w:rFonts w:ascii="DM Sans" w:hAnsi="DM Sans" w:cs="DM Sans"/>
          <w:b w:val="0"/>
          <w:i/>
          <w:color w:val="050C2A"/>
          <w:sz w:val="20"/>
          <w:u w:val="none"/>
        </w:rPr>
        <w:t>Communication → Written Clarity</w:t>
      </w:r>
      <w:r>
        <w:rPr>
          <w:rFonts w:ascii="DM Sans" w:hAnsi="DM Sans" w:cs="DM Sans"/>
          <w:b w:val="0"/>
          <w:i w:val="0"/>
          <w:color w:val="050C2A"/>
          <w:sz w:val="20"/>
          <w:u w:val="none"/>
        </w:rPr>
        <w:t xml:space="preserve"> </w:t>
      </w:r>
      <w:r>
        <w:rPr>
          <w:rFonts w:ascii="DM Sans" w:hAnsi="DM Sans" w:cs="DM Sans"/>
          <w:b w:val="0"/>
          <w:i/>
          <w:color w:val="050C2A"/>
          <w:sz w:val="20"/>
          <w:u w:val="none"/>
        </w:rPr>
        <w:t>Evaluates the document as a professional artifact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144"/>
            <w:shd w:fill="FF7C0A" w:val="clear"/>
            <w:vAlign w:val="center"/>
          </w:tcPr>
          <w:p>
            <w:pPr>
              <w:jc w:val="left"/>
              <w:spacing w:before="40" w:after="40"/>
            </w:pPr>
            <w:r>
              <w:rPr>
                <w:rFonts w:ascii="DM Sans" w:hAnsi="DM Sans" w:cs="DM Sans"/>
                <w:b/>
                <w:i w:val="0"/>
                <w:color w:val="FFFFFF"/>
                <w:sz w:val="20"/>
                <w:u w:val="none"/>
              </w:rPr>
              <w:t>Level</w:t>
            </w:r>
          </w:p>
        </w:tc>
        <w:tc>
          <w:tcPr>
            <w:tcW w:type="dxa" w:w="7216"/>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144"/>
            <w:vAlign w:val="center"/>
          </w:tcPr>
          <w:p>
            <w:pPr>
              <w:spacing w:before="30" w:after="30"/>
            </w:pPr>
            <w:r>
              <w:rPr>
                <w:rFonts w:ascii="DM Sans" w:hAnsi="DM Sans" w:cs="DM Sans"/>
                <w:b/>
                <w:i w:val="0"/>
                <w:color w:val="050C2A"/>
                <w:sz w:val="20"/>
                <w:u w:val="none"/>
              </w:rPr>
              <w:t>Exemplary (4)</w:t>
            </w:r>
          </w:p>
        </w:tc>
        <w:tc>
          <w:tcPr>
            <w:tcW w:type="dxa" w:w="7216"/>
            <w:vAlign w:val="center"/>
          </w:tcPr>
          <w:p>
            <w:pPr>
              <w:spacing w:before="30" w:after="30"/>
            </w:pPr>
            <w:r>
              <w:rPr>
                <w:rFonts w:ascii="DM Sans" w:hAnsi="DM Sans" w:cs="DM Sans"/>
                <w:b w:val="0"/>
                <w:i w:val="0"/>
                <w:color w:val="050C2A"/>
                <w:sz w:val="20"/>
                <w:u w:val="none"/>
              </w:rPr>
              <w:t>The document is clear, well-organized, and professional. The document reads as a unified whole despite being produced by a team. Ideas flow logically across sections. Writing is concise and precise. Formatting enhances readability.</w:t>
            </w:r>
          </w:p>
        </w:tc>
      </w:tr>
      <w:tr>
        <w:tc>
          <w:tcPr>
            <w:tcW w:type="dxa" w:w="2144"/>
            <w:shd w:fill="F5F5F5" w:val="clear"/>
            <w:vAlign w:val="center"/>
          </w:tcPr>
          <w:p>
            <w:pPr>
              <w:spacing w:before="30" w:after="30"/>
            </w:pPr>
            <w:r>
              <w:rPr>
                <w:rFonts w:ascii="DM Sans" w:hAnsi="DM Sans" w:cs="DM Sans"/>
                <w:b/>
                <w:i w:val="0"/>
                <w:color w:val="050C2A"/>
                <w:sz w:val="20"/>
                <w:u w:val="none"/>
              </w:rPr>
              <w:t>Proficient (3)</w:t>
            </w:r>
          </w:p>
        </w:tc>
        <w:tc>
          <w:tcPr>
            <w:tcW w:type="dxa" w:w="7216"/>
            <w:shd w:fill="F5F5F5" w:val="clear"/>
            <w:vAlign w:val="center"/>
          </w:tcPr>
          <w:p>
            <w:pPr>
              <w:spacing w:before="30" w:after="30"/>
            </w:pPr>
            <w:r>
              <w:rPr>
                <w:rFonts w:ascii="DM Sans" w:hAnsi="DM Sans" w:cs="DM Sans"/>
                <w:b w:val="0"/>
                <w:i w:val="0"/>
                <w:color w:val="050C2A"/>
                <w:sz w:val="20"/>
                <w:u w:val="none"/>
              </w:rPr>
              <w:t>The document is organized and understandable. Writing is generally clear, though occasional awkward phrasing or minor errors may appear. Formatting supports readability.</w:t>
            </w:r>
          </w:p>
        </w:tc>
      </w:tr>
      <w:tr>
        <w:tc>
          <w:tcPr>
            <w:tcW w:type="dxa" w:w="2144"/>
            <w:vAlign w:val="center"/>
          </w:tcPr>
          <w:p>
            <w:pPr>
              <w:spacing w:before="30" w:after="30"/>
            </w:pPr>
            <w:r>
              <w:rPr>
                <w:rFonts w:ascii="DM Sans" w:hAnsi="DM Sans" w:cs="DM Sans"/>
                <w:b/>
                <w:i w:val="0"/>
                <w:color w:val="050C2A"/>
                <w:sz w:val="20"/>
                <w:u w:val="none"/>
              </w:rPr>
              <w:t>Developing (2)</w:t>
            </w:r>
          </w:p>
        </w:tc>
        <w:tc>
          <w:tcPr>
            <w:tcW w:type="dxa" w:w="7216"/>
            <w:vAlign w:val="center"/>
          </w:tcPr>
          <w:p>
            <w:pPr>
              <w:spacing w:before="30" w:after="30"/>
            </w:pPr>
            <w:r>
              <w:rPr>
                <w:rFonts w:ascii="DM Sans" w:hAnsi="DM Sans" w:cs="DM Sans"/>
                <w:b w:val="0"/>
                <w:i w:val="0"/>
                <w:color w:val="050C2A"/>
                <w:sz w:val="20"/>
                <w:u w:val="none"/>
              </w:rPr>
              <w:t>Organization is uneven or sections lack clarity. The document may read as separately written sections that were not fully integrated. Writing may be wordy, imprecise, or contain noticeable errors. Formatting inconsistencies detract from readability.</w:t>
            </w:r>
          </w:p>
        </w:tc>
      </w:tr>
      <w:tr>
        <w:tc>
          <w:tcPr>
            <w:tcW w:type="dxa" w:w="2144"/>
            <w:shd w:fill="F5F5F5" w:val="clear"/>
            <w:vAlign w:val="center"/>
          </w:tcPr>
          <w:p>
            <w:pPr>
              <w:spacing w:before="30" w:after="30"/>
            </w:pPr>
            <w:r>
              <w:rPr>
                <w:rFonts w:ascii="DM Sans" w:hAnsi="DM Sans" w:cs="DM Sans"/>
                <w:b/>
                <w:i w:val="0"/>
                <w:color w:val="050C2A"/>
                <w:sz w:val="20"/>
                <w:u w:val="none"/>
              </w:rPr>
              <w:t>Emerging (1)</w:t>
            </w:r>
          </w:p>
        </w:tc>
        <w:tc>
          <w:tcPr>
            <w:tcW w:type="dxa" w:w="7216"/>
            <w:shd w:fill="F5F5F5" w:val="clear"/>
            <w:vAlign w:val="center"/>
          </w:tcPr>
          <w:p>
            <w:pPr>
              <w:spacing w:before="30" w:after="30"/>
            </w:pPr>
            <w:r>
              <w:rPr>
                <w:rFonts w:ascii="DM Sans" w:hAnsi="DM Sans" w:cs="DM Sans"/>
                <w:b w:val="0"/>
                <w:i w:val="0"/>
                <w:color w:val="050C2A"/>
                <w:sz w:val="20"/>
                <w:u w:val="none"/>
              </w:rPr>
              <w:t>The document is difficult to follow. Organization is unclear. Writing contains frequent errors or unclear phrasing. Formatting hinders readability.</w:t>
            </w:r>
          </w:p>
        </w:tc>
      </w:tr>
      <w:tr>
        <w:tc>
          <w:tcPr>
            <w:tcW w:type="dxa" w:w="2144"/>
            <w:vAlign w:val="center"/>
          </w:tcPr>
          <w:p>
            <w:pPr>
              <w:spacing w:before="30" w:after="30"/>
            </w:pPr>
            <w:r>
              <w:rPr>
                <w:rFonts w:ascii="DM Sans" w:hAnsi="DM Sans" w:cs="DM Sans"/>
                <w:b/>
                <w:i w:val="0"/>
                <w:color w:val="050C2A"/>
                <w:sz w:val="20"/>
                <w:u w:val="none"/>
              </w:rPr>
              <w:t>Not Acceptable (0)</w:t>
            </w:r>
          </w:p>
        </w:tc>
        <w:tc>
          <w:tcPr>
            <w:tcW w:type="dxa" w:w="7216"/>
            <w:vAlign w:val="center"/>
          </w:tcPr>
          <w:p>
            <w:pPr>
              <w:spacing w:before="30" w:after="30"/>
            </w:pPr>
            <w:r>
              <w:rPr>
                <w:rFonts w:ascii="DM Sans" w:hAnsi="DM Sans" w:cs="DM Sans"/>
                <w:b w:val="0"/>
                <w:i w:val="0"/>
                <w:color w:val="050C2A"/>
                <w:sz w:val="20"/>
                <w:u w:val="none"/>
              </w:rPr>
              <w:t>The document is incomplete or unreadable.</w:t>
            </w:r>
          </w:p>
        </w:tc>
      </w:tr>
    </w:tbl>
    <w:p>
      <w:pPr>
        <w:spacing w:before="0" w:after="120"/>
      </w:pPr>
    </w:p>
    <w:p>
      <w:pPr>
        <w:spacing w:before="0" w:after="120" w:line="276" w:lineRule="auto"/>
      </w:pPr>
      <w:r>
        <w:rPr>
          <w:rFonts w:ascii="DM Sans" w:hAnsi="DM Sans" w:cs="DM Sans"/>
          <w:b/>
          <w:i w:val="0"/>
          <w:color w:val="050C2A"/>
          <w:sz w:val="20"/>
          <w:u w:val="none"/>
        </w:rPr>
        <w:t>Key design notes: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"Professional" refers to clarity and polish — not tone policing</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We do not assess "voice," "confidence," or stylistic flair</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We do not penalize strong ideas that are imperfectly expressed beyond what's visible here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This dimension should be the cleanest to apply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"Reads as a unified whole despite being produced by a team" at Exemplary and "separately written sections that were not fully integrated" at Developing give evaluators concrete observables for the most common team-writing failure mode — this connects directly to the integration pass activity (4.13) in Week 4</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external stakeholder benchmark was removed — the Context Analysis is an internal planning document, not a client deliverable. That standard applies to Final Deliverables.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Boundary principle:</w:t>
      </w:r>
      <w:r>
        <w:rPr>
          <w:rFonts w:ascii="DM Sans" w:hAnsi="DM Sans" w:cs="DM Sans"/>
          <w:b w:val="0"/>
          <w:i w:val="0"/>
          <w:color w:val="050C2A"/>
          <w:sz w:val="20"/>
          <w:u w:val="none"/>
        </w:rPr>
        <w:t xml:space="preserve"> Document Quality is silent on the substance of the research, reasoning, implications, or plan. Those are handled by the other four dimensions. This dimension asks only: is the document clear, coherent, professional, and readable?</w:t>
      </w:r>
    </w:p>
    <w:p>
      <w:pPr>
        <w:spacing w:before="280" w:after="100"/>
      </w:pPr>
      <w:r>
        <w:rPr>
          <w:rFonts w:ascii="DM Sans" w:hAnsi="DM Sans" w:cs="DM Sans"/>
          <w:b/>
          <w:i w:val="0"/>
          <w:color w:val="050C2A"/>
          <w:sz w:val="28"/>
          <w:u w:val="none"/>
        </w:rPr>
        <w:t>All Dimensions Complete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[x] Research Quality — LOCKED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[x] Evidence-Based Reasoning — LOCKED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[x] Strategic Implications — LOCKED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[x] Planning Quality — LOCKED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[x] Document Quality — LOCKED</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