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Final Deliverables — Assignment &amp; Rubric</w:t>
      </w:r>
    </w:p>
    <w:p>
      <w:pPr>
        <w:pBdr>
          <w:bottom w:val="single" w:sz="6" w:space="1" w:color="ACACAC"/>
        </w:pBdr>
        <w:spacing w:before="120" w:after="120"/>
      </w:pPr>
    </w:p>
    <w:p>
      <w:pPr>
        <w:spacing w:before="280" w:after="100"/>
      </w:pPr>
      <w:r>
        <w:rPr>
          <w:rFonts w:ascii="DM Sans" w:hAnsi="DM Sans" w:cs="DM Sans"/>
          <w:b/>
          <w:i w:val="0"/>
          <w:color w:val="050C2A"/>
          <w:sz w:val="28"/>
          <w:u w:val="none"/>
        </w:rPr>
        <w:t>The Assignment</w:t>
      </w:r>
    </w:p>
    <w:p>
      <w:pPr>
        <w:spacing w:before="0" w:after="120" w:line="276" w:lineRule="auto"/>
      </w:pPr>
      <w:r>
        <w:rPr>
          <w:rFonts w:ascii="DM Sans" w:hAnsi="DM Sans" w:cs="DM Sans"/>
          <w:b w:val="0"/>
          <w:i w:val="0"/>
          <w:color w:val="050C2A"/>
          <w:sz w:val="20"/>
          <w:u w:val="none"/>
        </w:rPr>
        <w:t>The Final Deliverables represent the culmination of the project work, worth 30% of the final course grade (combined with the Context Analysis &amp; Project Plan at 10%, for 40% total in the Project Deliverables category). This is the work product the team delivers to their employer partner. All team members are accountable for the full deliverable package; it is submitted once per team.</w:t>
      </w:r>
    </w:p>
    <w:p>
      <w:pPr>
        <w:spacing w:before="240" w:after="80"/>
      </w:pPr>
      <w:r>
        <w:rPr>
          <w:rFonts w:ascii="DM Sans" w:hAnsi="DM Sans" w:cs="DM Sans"/>
          <w:b/>
          <w:i w:val="0"/>
          <w:color w:val="050C2A"/>
          <w:sz w:val="24"/>
          <w:u w:val="none"/>
        </w:rPr>
        <w:t>What Students Submit</w:t>
      </w:r>
    </w:p>
    <w:p>
      <w:pPr>
        <w:spacing w:before="0" w:after="120" w:line="276" w:lineRule="auto"/>
      </w:pPr>
      <w:r>
        <w:rPr>
          <w:rFonts w:ascii="DM Sans" w:hAnsi="DM Sans" w:cs="DM Sans"/>
          <w:b w:val="0"/>
          <w:i w:val="0"/>
          <w:color w:val="050C2A"/>
          <w:sz w:val="20"/>
          <w:u w:val="none"/>
        </w:rPr>
        <w:t>The final deliverable package as defined by the project brief, plus a Change Log documenting feedback received during the project and how the team addressed it.</w:t>
      </w:r>
    </w:p>
    <w:p>
      <w:pPr>
        <w:spacing w:before="0" w:after="120" w:line="276" w:lineRule="auto"/>
      </w:pPr>
      <w:r>
        <w:rPr>
          <w:rFonts w:ascii="DM Sans" w:hAnsi="DM Sans" w:cs="DM Sans"/>
          <w:b w:val="0"/>
          <w:i w:val="0"/>
          <w:color w:val="050C2A"/>
          <w:sz w:val="20"/>
          <w:u w:val="none"/>
        </w:rPr>
        <w:t>The specific components vary by project — a market research report looks different from a content strategy or a process improvement plan. What's consistent is what the rubric assesses: did the team produce what was needed, is the thinking underneath it sound, can the employer use it, is it communicated effectively, and did the team iterate based on input?</w:t>
      </w:r>
    </w:p>
    <w:p>
      <w:pPr>
        <w:spacing w:before="280" w:after="100"/>
      </w:pPr>
      <w:r>
        <w:rPr>
          <w:rFonts w:ascii="DM Sans" w:hAnsi="DM Sans" w:cs="DM Sans"/>
          <w:b/>
          <w:i w:val="0"/>
          <w:color w:val="050C2A"/>
          <w:sz w:val="28"/>
          <w:u w:val="none"/>
        </w:rPr>
        <w:t>Rubric Design</w:t>
      </w:r>
    </w:p>
    <w:p>
      <w:pPr>
        <w:spacing w:before="240" w:after="80"/>
      </w:pPr>
      <w:r>
        <w:rPr>
          <w:rFonts w:ascii="DM Sans" w:hAnsi="DM Sans" w:cs="DM Sans"/>
          <w:b/>
          <w:i w:val="0"/>
          <w:color w:val="050C2A"/>
          <w:sz w:val="24"/>
          <w:u w:val="none"/>
        </w:rPr>
        <w:t>Scale</w:t>
      </w:r>
    </w:p>
    <w:p>
      <w:pPr>
        <w:spacing w:before="0" w:after="120" w:line="276" w:lineRule="auto"/>
      </w:pPr>
      <w:r>
        <w:rPr>
          <w:rFonts w:ascii="DM Sans" w:hAnsi="DM Sans" w:cs="DM Sans"/>
          <w:b w:val="0"/>
          <w:i w:val="0"/>
          <w:color w:val="050C2A"/>
          <w:sz w:val="20"/>
          <w:u w:val="none"/>
        </w:rPr>
        <w:t>All course rubrics use the same 5-point scale, enabling competency-level reporting and cross-rubric comparability.</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1592"/>
            <w:shd w:fill="FF7C0A" w:val="clear"/>
            <w:vAlign w:val="center"/>
          </w:tcPr>
          <w:p>
            <w:pPr>
              <w:jc w:val="left"/>
              <w:spacing w:before="40" w:after="40"/>
            </w:pPr>
            <w:r>
              <w:rPr>
                <w:rFonts w:ascii="DM Sans" w:hAnsi="DM Sans" w:cs="DM Sans"/>
                <w:b/>
                <w:i w:val="0"/>
                <w:color w:val="FFFFFF"/>
                <w:sz w:val="20"/>
                <w:u w:val="none"/>
              </w:rPr>
              <w:t>Level</w:t>
            </w:r>
          </w:p>
        </w:tc>
        <w:tc>
          <w:tcPr>
            <w:tcW w:type="dxa" w:w="2665"/>
            <w:shd w:fill="FF7C0A" w:val="clear"/>
            <w:vAlign w:val="center"/>
          </w:tcPr>
          <w:p>
            <w:pPr>
              <w:jc w:val="left"/>
              <w:spacing w:before="40" w:after="40"/>
            </w:pPr>
            <w:r>
              <w:rPr>
                <w:rFonts w:ascii="DM Sans" w:hAnsi="DM Sans" w:cs="DM Sans"/>
                <w:b/>
                <w:i w:val="0"/>
                <w:color w:val="FFFFFF"/>
                <w:sz w:val="20"/>
                <w:u w:val="none"/>
              </w:rPr>
              <w:t>Label</w:t>
            </w:r>
          </w:p>
        </w:tc>
        <w:tc>
          <w:tcPr>
            <w:tcW w:type="dxa" w:w="2252"/>
            <w:shd w:fill="FF7C0A" w:val="clear"/>
            <w:vAlign w:val="center"/>
          </w:tcPr>
          <w:p>
            <w:pPr>
              <w:jc w:val="left"/>
              <w:spacing w:before="40" w:after="40"/>
            </w:pPr>
            <w:r>
              <w:rPr>
                <w:rFonts w:ascii="DM Sans" w:hAnsi="DM Sans" w:cs="DM Sans"/>
                <w:b/>
                <w:i w:val="0"/>
                <w:color w:val="FFFFFF"/>
                <w:sz w:val="20"/>
                <w:u w:val="none"/>
              </w:rPr>
              <w:t>Percentage</w:t>
            </w:r>
          </w:p>
        </w:tc>
        <w:tc>
          <w:tcPr>
            <w:tcW w:type="dxa" w:w="2851"/>
            <w:shd w:fill="FF7C0A" w:val="clear"/>
            <w:vAlign w:val="center"/>
          </w:tcPr>
          <w:p>
            <w:pPr>
              <w:jc w:val="left"/>
              <w:spacing w:before="40" w:after="40"/>
            </w:pPr>
            <w:r>
              <w:rPr>
                <w:rFonts w:ascii="DM Sans" w:hAnsi="DM Sans" w:cs="DM Sans"/>
                <w:b/>
                <w:i w:val="0"/>
                <w:color w:val="FFFFFF"/>
                <w:sz w:val="20"/>
                <w:u w:val="none"/>
              </w:rPr>
              <w:t>Grade Equivalent</w:t>
            </w:r>
          </w:p>
        </w:tc>
      </w:tr>
      <w:tr>
        <w:tc>
          <w:tcPr>
            <w:tcW w:type="dxa" w:w="1592"/>
            <w:vAlign w:val="center"/>
          </w:tcPr>
          <w:p>
            <w:pPr>
              <w:spacing w:before="30" w:after="30"/>
            </w:pPr>
            <w:r>
              <w:rPr>
                <w:rFonts w:ascii="DM Sans" w:hAnsi="DM Sans" w:cs="DM Sans"/>
                <w:b w:val="0"/>
                <w:i w:val="0"/>
                <w:color w:val="050C2A"/>
                <w:sz w:val="20"/>
                <w:u w:val="none"/>
              </w:rPr>
              <w:t>4</w:t>
            </w:r>
          </w:p>
        </w:tc>
        <w:tc>
          <w:tcPr>
            <w:tcW w:type="dxa" w:w="2665"/>
            <w:vAlign w:val="center"/>
          </w:tcPr>
          <w:p>
            <w:pPr>
              <w:spacing w:before="30" w:after="30"/>
            </w:pPr>
            <w:r>
              <w:rPr>
                <w:rFonts w:ascii="DM Sans" w:hAnsi="DM Sans" w:cs="DM Sans"/>
                <w:b w:val="0"/>
                <w:i w:val="0"/>
                <w:color w:val="050C2A"/>
                <w:sz w:val="20"/>
                <w:u w:val="none"/>
              </w:rPr>
              <w:t>Exemplary</w:t>
            </w:r>
          </w:p>
        </w:tc>
        <w:tc>
          <w:tcPr>
            <w:tcW w:type="dxa" w:w="2252"/>
            <w:vAlign w:val="center"/>
          </w:tcPr>
          <w:p>
            <w:pPr>
              <w:spacing w:before="30" w:after="30"/>
            </w:pPr>
            <w:r>
              <w:rPr>
                <w:rFonts w:ascii="DM Sans" w:hAnsi="DM Sans" w:cs="DM Sans"/>
                <w:b w:val="0"/>
                <w:i w:val="0"/>
                <w:color w:val="050C2A"/>
                <w:sz w:val="20"/>
                <w:u w:val="none"/>
              </w:rPr>
              <w:t>95%</w:t>
            </w:r>
          </w:p>
        </w:tc>
        <w:tc>
          <w:tcPr>
            <w:tcW w:type="dxa" w:w="2851"/>
            <w:vAlign w:val="center"/>
          </w:tcPr>
          <w:p>
            <w:pPr>
              <w:spacing w:before="30" w:after="30"/>
            </w:pPr>
            <w:r>
              <w:rPr>
                <w:rFonts w:ascii="DM Sans" w:hAnsi="DM Sans" w:cs="DM Sans"/>
                <w:b w:val="0"/>
                <w:i w:val="0"/>
                <w:color w:val="050C2A"/>
                <w:sz w:val="20"/>
                <w:u w:val="none"/>
              </w:rPr>
              <w:t>A</w:t>
            </w:r>
          </w:p>
        </w:tc>
      </w:tr>
      <w:tr>
        <w:tc>
          <w:tcPr>
            <w:tcW w:type="dxa" w:w="1592"/>
            <w:shd w:fill="F5F5F5" w:val="clear"/>
            <w:vAlign w:val="center"/>
          </w:tcPr>
          <w:p>
            <w:pPr>
              <w:spacing w:before="30" w:after="30"/>
            </w:pPr>
            <w:r>
              <w:rPr>
                <w:rFonts w:ascii="DM Sans" w:hAnsi="DM Sans" w:cs="DM Sans"/>
                <w:b w:val="0"/>
                <w:i w:val="0"/>
                <w:color w:val="050C2A"/>
                <w:sz w:val="20"/>
                <w:u w:val="none"/>
              </w:rPr>
              <w:t>3</w:t>
            </w:r>
          </w:p>
        </w:tc>
        <w:tc>
          <w:tcPr>
            <w:tcW w:type="dxa" w:w="2665"/>
            <w:shd w:fill="F5F5F5" w:val="clear"/>
            <w:vAlign w:val="center"/>
          </w:tcPr>
          <w:p>
            <w:pPr>
              <w:spacing w:before="30" w:after="30"/>
            </w:pPr>
            <w:r>
              <w:rPr>
                <w:rFonts w:ascii="DM Sans" w:hAnsi="DM Sans" w:cs="DM Sans"/>
                <w:b w:val="0"/>
                <w:i w:val="0"/>
                <w:color w:val="050C2A"/>
                <w:sz w:val="20"/>
                <w:u w:val="none"/>
              </w:rPr>
              <w:t>Proficient</w:t>
            </w:r>
          </w:p>
        </w:tc>
        <w:tc>
          <w:tcPr>
            <w:tcW w:type="dxa" w:w="2252"/>
            <w:shd w:fill="F5F5F5" w:val="clear"/>
            <w:vAlign w:val="center"/>
          </w:tcPr>
          <w:p>
            <w:pPr>
              <w:spacing w:before="30" w:after="30"/>
            </w:pPr>
            <w:r>
              <w:rPr>
                <w:rFonts w:ascii="DM Sans" w:hAnsi="DM Sans" w:cs="DM Sans"/>
                <w:b w:val="0"/>
                <w:i w:val="0"/>
                <w:color w:val="050C2A"/>
                <w:sz w:val="20"/>
                <w:u w:val="none"/>
              </w:rPr>
              <w:t>85%</w:t>
            </w:r>
          </w:p>
        </w:tc>
        <w:tc>
          <w:tcPr>
            <w:tcW w:type="dxa" w:w="2851"/>
            <w:shd w:fill="F5F5F5" w:val="clear"/>
            <w:vAlign w:val="center"/>
          </w:tcPr>
          <w:p>
            <w:pPr>
              <w:spacing w:before="30" w:after="30"/>
            </w:pPr>
            <w:r>
              <w:rPr>
                <w:rFonts w:ascii="DM Sans" w:hAnsi="DM Sans" w:cs="DM Sans"/>
                <w:b w:val="0"/>
                <w:i w:val="0"/>
                <w:color w:val="050C2A"/>
                <w:sz w:val="20"/>
                <w:u w:val="none"/>
              </w:rPr>
              <w:t>B</w:t>
            </w:r>
          </w:p>
        </w:tc>
      </w:tr>
      <w:tr>
        <w:tc>
          <w:tcPr>
            <w:tcW w:type="dxa" w:w="1592"/>
            <w:vAlign w:val="center"/>
          </w:tcPr>
          <w:p>
            <w:pPr>
              <w:spacing w:before="30" w:after="30"/>
            </w:pPr>
            <w:r>
              <w:rPr>
                <w:rFonts w:ascii="DM Sans" w:hAnsi="DM Sans" w:cs="DM Sans"/>
                <w:b w:val="0"/>
                <w:i w:val="0"/>
                <w:color w:val="050C2A"/>
                <w:sz w:val="20"/>
                <w:u w:val="none"/>
              </w:rPr>
              <w:t>2</w:t>
            </w:r>
          </w:p>
        </w:tc>
        <w:tc>
          <w:tcPr>
            <w:tcW w:type="dxa" w:w="2665"/>
            <w:vAlign w:val="center"/>
          </w:tcPr>
          <w:p>
            <w:pPr>
              <w:spacing w:before="30" w:after="30"/>
            </w:pPr>
            <w:r>
              <w:rPr>
                <w:rFonts w:ascii="DM Sans" w:hAnsi="DM Sans" w:cs="DM Sans"/>
                <w:b w:val="0"/>
                <w:i w:val="0"/>
                <w:color w:val="050C2A"/>
                <w:sz w:val="20"/>
                <w:u w:val="none"/>
              </w:rPr>
              <w:t>Developing</w:t>
            </w:r>
          </w:p>
        </w:tc>
        <w:tc>
          <w:tcPr>
            <w:tcW w:type="dxa" w:w="2252"/>
            <w:vAlign w:val="center"/>
          </w:tcPr>
          <w:p>
            <w:pPr>
              <w:spacing w:before="30" w:after="30"/>
            </w:pPr>
            <w:r>
              <w:rPr>
                <w:rFonts w:ascii="DM Sans" w:hAnsi="DM Sans" w:cs="DM Sans"/>
                <w:b w:val="0"/>
                <w:i w:val="0"/>
                <w:color w:val="050C2A"/>
                <w:sz w:val="20"/>
                <w:u w:val="none"/>
              </w:rPr>
              <w:t>75%</w:t>
            </w:r>
          </w:p>
        </w:tc>
        <w:tc>
          <w:tcPr>
            <w:tcW w:type="dxa" w:w="2851"/>
            <w:vAlign w:val="center"/>
          </w:tcPr>
          <w:p>
            <w:pPr>
              <w:spacing w:before="30" w:after="30"/>
            </w:pPr>
            <w:r>
              <w:rPr>
                <w:rFonts w:ascii="DM Sans" w:hAnsi="DM Sans" w:cs="DM Sans"/>
                <w:b w:val="0"/>
                <w:i w:val="0"/>
                <w:color w:val="050C2A"/>
                <w:sz w:val="20"/>
                <w:u w:val="none"/>
              </w:rPr>
              <w:t>C</w:t>
            </w:r>
          </w:p>
        </w:tc>
      </w:tr>
      <w:tr>
        <w:tc>
          <w:tcPr>
            <w:tcW w:type="dxa" w:w="1592"/>
            <w:shd w:fill="F5F5F5" w:val="clear"/>
            <w:vAlign w:val="center"/>
          </w:tcPr>
          <w:p>
            <w:pPr>
              <w:spacing w:before="30" w:after="30"/>
            </w:pPr>
            <w:r>
              <w:rPr>
                <w:rFonts w:ascii="DM Sans" w:hAnsi="DM Sans" w:cs="DM Sans"/>
                <w:b w:val="0"/>
                <w:i w:val="0"/>
                <w:color w:val="050C2A"/>
                <w:sz w:val="20"/>
                <w:u w:val="none"/>
              </w:rPr>
              <w:t>1</w:t>
            </w:r>
          </w:p>
        </w:tc>
        <w:tc>
          <w:tcPr>
            <w:tcW w:type="dxa" w:w="2665"/>
            <w:shd w:fill="F5F5F5" w:val="clear"/>
            <w:vAlign w:val="center"/>
          </w:tcPr>
          <w:p>
            <w:pPr>
              <w:spacing w:before="30" w:after="30"/>
            </w:pPr>
            <w:r>
              <w:rPr>
                <w:rFonts w:ascii="DM Sans" w:hAnsi="DM Sans" w:cs="DM Sans"/>
                <w:b w:val="0"/>
                <w:i w:val="0"/>
                <w:color w:val="050C2A"/>
                <w:sz w:val="20"/>
                <w:u w:val="none"/>
              </w:rPr>
              <w:t>Emerging</w:t>
            </w:r>
          </w:p>
        </w:tc>
        <w:tc>
          <w:tcPr>
            <w:tcW w:type="dxa" w:w="2252"/>
            <w:shd w:fill="F5F5F5" w:val="clear"/>
            <w:vAlign w:val="center"/>
          </w:tcPr>
          <w:p>
            <w:pPr>
              <w:spacing w:before="30" w:after="30"/>
            </w:pPr>
            <w:r>
              <w:rPr>
                <w:rFonts w:ascii="DM Sans" w:hAnsi="DM Sans" w:cs="DM Sans"/>
                <w:b w:val="0"/>
                <w:i w:val="0"/>
                <w:color w:val="050C2A"/>
                <w:sz w:val="20"/>
                <w:u w:val="none"/>
              </w:rPr>
              <w:t>65%</w:t>
            </w:r>
          </w:p>
        </w:tc>
        <w:tc>
          <w:tcPr>
            <w:tcW w:type="dxa" w:w="2851"/>
            <w:shd w:fill="F5F5F5" w:val="clear"/>
            <w:vAlign w:val="center"/>
          </w:tcPr>
          <w:p>
            <w:pPr>
              <w:spacing w:before="30" w:after="30"/>
            </w:pPr>
            <w:r>
              <w:rPr>
                <w:rFonts w:ascii="DM Sans" w:hAnsi="DM Sans" w:cs="DM Sans"/>
                <w:b w:val="0"/>
                <w:i w:val="0"/>
                <w:color w:val="050C2A"/>
                <w:sz w:val="20"/>
                <w:u w:val="none"/>
              </w:rPr>
              <w:t>D</w:t>
            </w:r>
          </w:p>
        </w:tc>
      </w:tr>
      <w:tr>
        <w:tc>
          <w:tcPr>
            <w:tcW w:type="dxa" w:w="1592"/>
            <w:vAlign w:val="center"/>
          </w:tcPr>
          <w:p>
            <w:pPr>
              <w:spacing w:before="30" w:after="30"/>
            </w:pPr>
            <w:r>
              <w:rPr>
                <w:rFonts w:ascii="DM Sans" w:hAnsi="DM Sans" w:cs="DM Sans"/>
                <w:b w:val="0"/>
                <w:i w:val="0"/>
                <w:color w:val="050C2A"/>
                <w:sz w:val="20"/>
                <w:u w:val="none"/>
              </w:rPr>
              <w:t>0</w:t>
            </w:r>
          </w:p>
        </w:tc>
        <w:tc>
          <w:tcPr>
            <w:tcW w:type="dxa" w:w="2665"/>
            <w:vAlign w:val="center"/>
          </w:tcPr>
          <w:p>
            <w:pPr>
              <w:spacing w:before="30" w:after="30"/>
            </w:pPr>
            <w:r>
              <w:rPr>
                <w:rFonts w:ascii="DM Sans" w:hAnsi="DM Sans" w:cs="DM Sans"/>
                <w:b w:val="0"/>
                <w:i w:val="0"/>
                <w:color w:val="050C2A"/>
                <w:sz w:val="20"/>
                <w:u w:val="none"/>
              </w:rPr>
              <w:t>Not Acceptable</w:t>
            </w:r>
          </w:p>
        </w:tc>
        <w:tc>
          <w:tcPr>
            <w:tcW w:type="dxa" w:w="2252"/>
            <w:vAlign w:val="center"/>
          </w:tcPr>
          <w:p>
            <w:pPr>
              <w:spacing w:before="30" w:after="30"/>
            </w:pPr>
            <w:r>
              <w:rPr>
                <w:rFonts w:ascii="DM Sans" w:hAnsi="DM Sans" w:cs="DM Sans"/>
                <w:b w:val="0"/>
                <w:i w:val="0"/>
                <w:color w:val="050C2A"/>
                <w:sz w:val="20"/>
                <w:u w:val="none"/>
              </w:rPr>
              <w:t>0%</w:t>
            </w:r>
          </w:p>
        </w:tc>
        <w:tc>
          <w:tcPr>
            <w:tcW w:type="dxa" w:w="2851"/>
            <w:vAlign w:val="center"/>
          </w:tcPr>
          <w:p>
            <w:pPr>
              <w:spacing w:before="30" w:after="30"/>
            </w:pPr>
            <w:r>
              <w:rPr>
                <w:rFonts w:ascii="DM Sans" w:hAnsi="DM Sans" w:cs="DM Sans"/>
                <w:b w:val="0"/>
                <w:i w:val="0"/>
                <w:color w:val="050C2A"/>
                <w:sz w:val="20"/>
                <w:u w:val="none"/>
              </w:rPr>
              <w:t>F</w:t>
            </w:r>
          </w:p>
        </w:tc>
      </w:tr>
    </w:tbl>
    <w:p>
      <w:pPr>
        <w:spacing w:before="0" w:after="120"/>
      </w:pPr>
    </w:p>
    <w:p>
      <w:pPr>
        <w:spacing w:before="0" w:after="120" w:line="276" w:lineRule="auto"/>
      </w:pPr>
      <w:r>
        <w:rPr>
          <w:rFonts w:ascii="DM Sans" w:hAnsi="DM Sans" w:cs="DM Sans"/>
          <w:b w:val="0"/>
          <w:i w:val="0"/>
          <w:color w:val="050C2A"/>
          <w:sz w:val="20"/>
          <w:u w:val="none"/>
        </w:rPr>
        <w:t>The 0 anchor captures submitted work that makes no real attempt, which is distinct from weak work. The 65% floor for Emerging prevents the mathematical penalty of a zero from disproportionately punishing students who submit genuine but struggling work.</w:t>
      </w:r>
    </w:p>
    <w:p>
      <w:pPr>
        <w:spacing w:before="240" w:after="80"/>
      </w:pPr>
      <w:r>
        <w:rPr>
          <w:rFonts w:ascii="DM Sans" w:hAnsi="DM Sans" w:cs="DM Sans"/>
          <w:b/>
          <w:i w:val="0"/>
          <w:color w:val="050C2A"/>
          <w:sz w:val="24"/>
          <w:u w:val="none"/>
        </w:rPr>
        <w:t>Dimensions</w:t>
      </w:r>
    </w:p>
    <w:p>
      <w:pPr>
        <w:spacing w:before="0" w:after="120" w:line="276" w:lineRule="auto"/>
      </w:pPr>
      <w:r>
        <w:rPr>
          <w:rFonts w:ascii="DM Sans" w:hAnsi="DM Sans" w:cs="DM Sans"/>
          <w:b w:val="0"/>
          <w:i w:val="0"/>
          <w:color w:val="050C2A"/>
          <w:sz w:val="20"/>
          <w:u w:val="none"/>
        </w:rPr>
        <w:t>Five dimensions with unequal weights reflecting the relative importance and scope of what each assesses.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2005"/>
            <w:shd w:fill="FF7C0A" w:val="clear"/>
            <w:vAlign w:val="center"/>
          </w:tcPr>
          <w:p>
            <w:pPr>
              <w:jc w:val="left"/>
              <w:spacing w:before="40" w:after="40"/>
            </w:pPr>
            <w:r>
              <w:rPr>
                <w:rFonts w:ascii="DM Sans" w:hAnsi="DM Sans" w:cs="DM Sans"/>
                <w:b/>
                <w:i w:val="0"/>
                <w:color w:val="FFFFFF"/>
                <w:sz w:val="20"/>
                <w:u w:val="none"/>
              </w:rPr>
              <w:t>Dimension</w:t>
            </w:r>
          </w:p>
        </w:tc>
        <w:tc>
          <w:tcPr>
            <w:tcW w:type="dxa" w:w="963"/>
            <w:shd w:fill="FF7C0A" w:val="clear"/>
            <w:vAlign w:val="center"/>
          </w:tcPr>
          <w:p>
            <w:pPr>
              <w:jc w:val="left"/>
              <w:spacing w:before="40" w:after="40"/>
            </w:pPr>
            <w:r>
              <w:rPr>
                <w:rFonts w:ascii="DM Sans" w:hAnsi="DM Sans" w:cs="DM Sans"/>
                <w:b/>
                <w:i w:val="0"/>
                <w:color w:val="FFFFFF"/>
                <w:sz w:val="20"/>
                <w:u w:val="none"/>
              </w:rPr>
              <w:t>Weight</w:t>
            </w:r>
          </w:p>
        </w:tc>
        <w:tc>
          <w:tcPr>
            <w:tcW w:type="dxa" w:w="3171"/>
            <w:shd w:fill="FF7C0A" w:val="clear"/>
            <w:vAlign w:val="center"/>
          </w:tcPr>
          <w:p>
            <w:pPr>
              <w:jc w:val="left"/>
              <w:spacing w:before="40" w:after="40"/>
            </w:pPr>
            <w:r>
              <w:rPr>
                <w:rFonts w:ascii="DM Sans" w:hAnsi="DM Sans" w:cs="DM Sans"/>
                <w:b/>
                <w:i w:val="0"/>
                <w:color w:val="FFFFFF"/>
                <w:sz w:val="20"/>
                <w:u w:val="none"/>
              </w:rPr>
              <w:t>Competency → Subskill</w:t>
            </w:r>
          </w:p>
        </w:tc>
        <w:tc>
          <w:tcPr>
            <w:tcW w:type="dxa" w:w="3221"/>
            <w:shd w:fill="FF7C0A" w:val="clear"/>
            <w:vAlign w:val="center"/>
          </w:tcPr>
          <w:p>
            <w:pPr>
              <w:jc w:val="left"/>
              <w:spacing w:before="40" w:after="40"/>
            </w:pPr>
            <w:r>
              <w:rPr>
                <w:rFonts w:ascii="DM Sans" w:hAnsi="DM Sans" w:cs="DM Sans"/>
                <w:b/>
                <w:i w:val="0"/>
                <w:color w:val="FFFFFF"/>
                <w:sz w:val="20"/>
                <w:u w:val="none"/>
              </w:rPr>
              <w:t>Evaluates</w:t>
            </w:r>
          </w:p>
        </w:tc>
      </w:tr>
      <w:tr>
        <w:tc>
          <w:tcPr>
            <w:tcW w:type="dxa" w:w="2005"/>
            <w:vAlign w:val="center"/>
          </w:tcPr>
          <w:p>
            <w:pPr>
              <w:spacing w:before="30" w:after="30"/>
            </w:pPr>
            <w:r>
              <w:rPr>
                <w:rFonts w:ascii="DM Sans" w:hAnsi="DM Sans" w:cs="DM Sans"/>
                <w:b w:val="0"/>
                <w:i w:val="0"/>
                <w:color w:val="050C2A"/>
                <w:sz w:val="20"/>
                <w:u w:val="none"/>
              </w:rPr>
              <w:t>Deliverable Quality</w:t>
            </w:r>
          </w:p>
        </w:tc>
        <w:tc>
          <w:tcPr>
            <w:tcW w:type="dxa" w:w="963"/>
            <w:vAlign w:val="center"/>
          </w:tcPr>
          <w:p>
            <w:pPr>
              <w:spacing w:before="30" w:after="30"/>
            </w:pPr>
            <w:r>
              <w:rPr>
                <w:rFonts w:ascii="DM Sans" w:hAnsi="DM Sans" w:cs="DM Sans"/>
                <w:b w:val="0"/>
                <w:i w:val="0"/>
                <w:color w:val="050C2A"/>
                <w:sz w:val="20"/>
                <w:u w:val="none"/>
              </w:rPr>
              <w:t>25%</w:t>
            </w:r>
          </w:p>
        </w:tc>
        <w:tc>
          <w:tcPr>
            <w:tcW w:type="dxa" w:w="3171"/>
            <w:vAlign w:val="center"/>
          </w:tcPr>
          <w:p>
            <w:pPr>
              <w:spacing w:before="30" w:after="30"/>
            </w:pPr>
            <w:r>
              <w:rPr>
                <w:rFonts w:ascii="DM Sans" w:hAnsi="DM Sans" w:cs="DM Sans"/>
                <w:b w:val="0"/>
                <w:i w:val="0"/>
                <w:color w:val="050C2A"/>
                <w:sz w:val="20"/>
                <w:u w:val="none"/>
              </w:rPr>
              <w:t>Critical Thinking → Problem Framing</w:t>
            </w:r>
          </w:p>
        </w:tc>
        <w:tc>
          <w:tcPr>
            <w:tcW w:type="dxa" w:w="3221"/>
            <w:vAlign w:val="center"/>
          </w:tcPr>
          <w:p>
            <w:pPr>
              <w:spacing w:before="30" w:after="30"/>
            </w:pPr>
            <w:r>
              <w:rPr>
                <w:rFonts w:ascii="DM Sans" w:hAnsi="DM Sans" w:cs="DM Sans"/>
                <w:b w:val="0"/>
                <w:i w:val="0"/>
                <w:color w:val="050C2A"/>
                <w:sz w:val="20"/>
                <w:u w:val="none"/>
              </w:rPr>
              <w:t>Completeness, scope alignment, depth of development</w:t>
            </w:r>
          </w:p>
        </w:tc>
      </w:tr>
      <w:tr>
        <w:tc>
          <w:tcPr>
            <w:tcW w:type="dxa" w:w="2005"/>
            <w:shd w:fill="F5F5F5" w:val="clear"/>
            <w:vAlign w:val="center"/>
          </w:tcPr>
          <w:p>
            <w:pPr>
              <w:spacing w:before="30" w:after="30"/>
            </w:pPr>
            <w:r>
              <w:rPr>
                <w:rFonts w:ascii="DM Sans" w:hAnsi="DM Sans" w:cs="DM Sans"/>
                <w:b w:val="0"/>
                <w:i w:val="0"/>
                <w:color w:val="050C2A"/>
                <w:sz w:val="20"/>
                <w:u w:val="none"/>
              </w:rPr>
              <w:t>Analytical Rigor</w:t>
            </w:r>
          </w:p>
        </w:tc>
        <w:tc>
          <w:tcPr>
            <w:tcW w:type="dxa" w:w="963"/>
            <w:shd w:fill="F5F5F5" w:val="clear"/>
            <w:vAlign w:val="center"/>
          </w:tcPr>
          <w:p>
            <w:pPr>
              <w:spacing w:before="30" w:after="30"/>
            </w:pPr>
            <w:r>
              <w:rPr>
                <w:rFonts w:ascii="DM Sans" w:hAnsi="DM Sans" w:cs="DM Sans"/>
                <w:b w:val="0"/>
                <w:i w:val="0"/>
                <w:color w:val="050C2A"/>
                <w:sz w:val="20"/>
                <w:u w:val="none"/>
              </w:rPr>
              <w:t>25%</w:t>
            </w:r>
          </w:p>
        </w:tc>
        <w:tc>
          <w:tcPr>
            <w:tcW w:type="dxa" w:w="3171"/>
            <w:shd w:fill="F5F5F5" w:val="clear"/>
            <w:vAlign w:val="center"/>
          </w:tcPr>
          <w:p>
            <w:pPr>
              <w:spacing w:before="30" w:after="30"/>
            </w:pPr>
            <w:r>
              <w:rPr>
                <w:rFonts w:ascii="DM Sans" w:hAnsi="DM Sans" w:cs="DM Sans"/>
                <w:b w:val="0"/>
                <w:i w:val="0"/>
                <w:color w:val="050C2A"/>
                <w:sz w:val="20"/>
                <w:u w:val="none"/>
              </w:rPr>
              <w:t>Critical Thinking → Research &amp; Analysis, Evidence-Based Reasoning</w:t>
            </w:r>
          </w:p>
        </w:tc>
        <w:tc>
          <w:tcPr>
            <w:tcW w:type="dxa" w:w="3221"/>
            <w:shd w:fill="F5F5F5" w:val="clear"/>
            <w:vAlign w:val="center"/>
          </w:tcPr>
          <w:p>
            <w:pPr>
              <w:spacing w:before="30" w:after="30"/>
            </w:pPr>
            <w:r>
              <w:rPr>
                <w:rFonts w:ascii="DM Sans" w:hAnsi="DM Sans" w:cs="DM Sans"/>
                <w:b w:val="0"/>
                <w:i w:val="0"/>
                <w:color w:val="050C2A"/>
                <w:sz w:val="20"/>
                <w:u w:val="none"/>
              </w:rPr>
              <w:t>Evidence base, synthesis, soundness of reasoning</w:t>
            </w:r>
          </w:p>
        </w:tc>
      </w:tr>
      <w:tr>
        <w:tc>
          <w:tcPr>
            <w:tcW w:type="dxa" w:w="2005"/>
            <w:vAlign w:val="center"/>
          </w:tcPr>
          <w:p>
            <w:pPr>
              <w:spacing w:before="30" w:after="30"/>
            </w:pPr>
            <w:r>
              <w:rPr>
                <w:rFonts w:ascii="DM Sans" w:hAnsi="DM Sans" w:cs="DM Sans"/>
                <w:b w:val="0"/>
                <w:i w:val="0"/>
                <w:color w:val="050C2A"/>
                <w:sz w:val="20"/>
                <w:u w:val="none"/>
              </w:rPr>
              <w:t>Actionability</w:t>
            </w:r>
          </w:p>
        </w:tc>
        <w:tc>
          <w:tcPr>
            <w:tcW w:type="dxa" w:w="963"/>
            <w:vAlign w:val="center"/>
          </w:tcPr>
          <w:p>
            <w:pPr>
              <w:spacing w:before="30" w:after="30"/>
            </w:pPr>
            <w:r>
              <w:rPr>
                <w:rFonts w:ascii="DM Sans" w:hAnsi="DM Sans" w:cs="DM Sans"/>
                <w:b w:val="0"/>
                <w:i w:val="0"/>
                <w:color w:val="050C2A"/>
                <w:sz w:val="20"/>
                <w:u w:val="none"/>
              </w:rPr>
              <w:t>25%</w:t>
            </w:r>
          </w:p>
        </w:tc>
        <w:tc>
          <w:tcPr>
            <w:tcW w:type="dxa" w:w="3171"/>
            <w:vAlign w:val="center"/>
          </w:tcPr>
          <w:p>
            <w:pPr>
              <w:spacing w:before="30" w:after="30"/>
            </w:pPr>
            <w:r>
              <w:rPr>
                <w:rFonts w:ascii="DM Sans" w:hAnsi="DM Sans" w:cs="DM Sans"/>
                <w:b w:val="0"/>
                <w:i w:val="0"/>
                <w:color w:val="050C2A"/>
                <w:sz w:val="20"/>
                <w:u w:val="none"/>
              </w:rPr>
              <w:t>Critical Thinking → Prioritization</w:t>
            </w:r>
          </w:p>
        </w:tc>
        <w:tc>
          <w:tcPr>
            <w:tcW w:type="dxa" w:w="3221"/>
            <w:vAlign w:val="center"/>
          </w:tcPr>
          <w:p>
            <w:pPr>
              <w:spacing w:before="30" w:after="30"/>
            </w:pPr>
            <w:r>
              <w:rPr>
                <w:rFonts w:ascii="DM Sans" w:hAnsi="DM Sans" w:cs="DM Sans"/>
                <w:b w:val="0"/>
                <w:i w:val="0"/>
                <w:color w:val="050C2A"/>
                <w:sz w:val="20"/>
                <w:u w:val="none"/>
              </w:rPr>
              <w:t>Practical usefulness, constraint awareness, implementation thinking</w:t>
            </w:r>
          </w:p>
        </w:tc>
      </w:tr>
      <w:tr>
        <w:tc>
          <w:tcPr>
            <w:tcW w:type="dxa" w:w="2005"/>
            <w:shd w:fill="F5F5F5" w:val="clear"/>
            <w:vAlign w:val="center"/>
          </w:tcPr>
          <w:p>
            <w:pPr>
              <w:spacing w:before="30" w:after="30"/>
            </w:pPr>
            <w:r>
              <w:rPr>
                <w:rFonts w:ascii="DM Sans" w:hAnsi="DM Sans" w:cs="DM Sans"/>
                <w:b w:val="0"/>
                <w:i w:val="0"/>
                <w:color w:val="050C2A"/>
                <w:sz w:val="20"/>
                <w:u w:val="none"/>
              </w:rPr>
              <w:t>Communication</w:t>
            </w:r>
          </w:p>
        </w:tc>
        <w:tc>
          <w:tcPr>
            <w:tcW w:type="dxa" w:w="963"/>
            <w:shd w:fill="F5F5F5" w:val="clear"/>
            <w:vAlign w:val="center"/>
          </w:tcPr>
          <w:p>
            <w:pPr>
              <w:spacing w:before="30" w:after="30"/>
            </w:pPr>
            <w:r>
              <w:rPr>
                <w:rFonts w:ascii="DM Sans" w:hAnsi="DM Sans" w:cs="DM Sans"/>
                <w:b w:val="0"/>
                <w:i w:val="0"/>
                <w:color w:val="050C2A"/>
                <w:sz w:val="20"/>
                <w:u w:val="none"/>
              </w:rPr>
              <w:t>15%</w:t>
            </w:r>
          </w:p>
        </w:tc>
        <w:tc>
          <w:tcPr>
            <w:tcW w:type="dxa" w:w="3171"/>
            <w:shd w:fill="F5F5F5" w:val="clear"/>
            <w:vAlign w:val="center"/>
          </w:tcPr>
          <w:p>
            <w:pPr>
              <w:spacing w:before="30" w:after="30"/>
            </w:pPr>
            <w:r>
              <w:rPr>
                <w:rFonts w:ascii="DM Sans" w:hAnsi="DM Sans" w:cs="DM Sans"/>
                <w:b w:val="0"/>
                <w:i w:val="0"/>
                <w:color w:val="050C2A"/>
                <w:sz w:val="20"/>
                <w:u w:val="none"/>
              </w:rPr>
              <w:t>Communication → Written Clarity</w:t>
            </w:r>
          </w:p>
        </w:tc>
        <w:tc>
          <w:tcPr>
            <w:tcW w:type="dxa" w:w="3221"/>
            <w:shd w:fill="F5F5F5" w:val="clear"/>
            <w:vAlign w:val="center"/>
          </w:tcPr>
          <w:p>
            <w:pPr>
              <w:spacing w:before="30" w:after="30"/>
            </w:pPr>
            <w:r>
              <w:rPr>
                <w:rFonts w:ascii="DM Sans" w:hAnsi="DM Sans" w:cs="DM Sans"/>
                <w:b w:val="0"/>
                <w:i w:val="0"/>
                <w:color w:val="050C2A"/>
                <w:sz w:val="20"/>
                <w:u w:val="none"/>
              </w:rPr>
              <w:t>Clarity, organization, audience-appropriateness, professionalism</w:t>
            </w:r>
          </w:p>
        </w:tc>
      </w:tr>
      <w:tr>
        <w:tc>
          <w:tcPr>
            <w:tcW w:type="dxa" w:w="2005"/>
            <w:vAlign w:val="center"/>
          </w:tcPr>
          <w:p>
            <w:pPr>
              <w:spacing w:before="30" w:after="30"/>
            </w:pPr>
            <w:r>
              <w:rPr>
                <w:rFonts w:ascii="DM Sans" w:hAnsi="DM Sans" w:cs="DM Sans"/>
                <w:b w:val="0"/>
                <w:i w:val="0"/>
                <w:color w:val="050C2A"/>
                <w:sz w:val="20"/>
                <w:u w:val="none"/>
              </w:rPr>
              <w:t>Responsiveness to Feedback</w:t>
            </w:r>
          </w:p>
        </w:tc>
        <w:tc>
          <w:tcPr>
            <w:tcW w:type="dxa" w:w="963"/>
            <w:vAlign w:val="center"/>
          </w:tcPr>
          <w:p>
            <w:pPr>
              <w:spacing w:before="30" w:after="30"/>
            </w:pPr>
            <w:r>
              <w:rPr>
                <w:rFonts w:ascii="DM Sans" w:hAnsi="DM Sans" w:cs="DM Sans"/>
                <w:b w:val="0"/>
                <w:i w:val="0"/>
                <w:color w:val="050C2A"/>
                <w:sz w:val="20"/>
                <w:u w:val="none"/>
              </w:rPr>
              <w:t>10%</w:t>
            </w:r>
          </w:p>
        </w:tc>
        <w:tc>
          <w:tcPr>
            <w:tcW w:type="dxa" w:w="3171"/>
            <w:vAlign w:val="center"/>
          </w:tcPr>
          <w:p>
            <w:pPr>
              <w:spacing w:before="30" w:after="30"/>
            </w:pPr>
            <w:r>
              <w:rPr>
                <w:rFonts w:ascii="DM Sans" w:hAnsi="DM Sans" w:cs="DM Sans"/>
                <w:b w:val="0"/>
                <w:i w:val="0"/>
                <w:color w:val="050C2A"/>
                <w:sz w:val="20"/>
                <w:u w:val="none"/>
              </w:rPr>
              <w:t>Professionalism → Feedback Reception</w:t>
            </w:r>
          </w:p>
        </w:tc>
        <w:tc>
          <w:tcPr>
            <w:tcW w:type="dxa" w:w="3221"/>
            <w:vAlign w:val="center"/>
          </w:tcPr>
          <w:p>
            <w:pPr>
              <w:spacing w:before="30" w:after="30"/>
            </w:pPr>
            <w:r>
              <w:rPr>
                <w:rFonts w:ascii="DM Sans" w:hAnsi="DM Sans" w:cs="DM Sans"/>
                <w:b w:val="0"/>
                <w:i w:val="0"/>
                <w:color w:val="050C2A"/>
                <w:sz w:val="20"/>
                <w:u w:val="none"/>
              </w:rPr>
              <w:t>Documented iteration based on input received</w:t>
            </w:r>
          </w:p>
        </w:tc>
      </w:tr>
    </w:tbl>
    <w:p>
      <w:pPr>
        <w:spacing w:before="0" w:after="120"/>
      </w:pPr>
    </w:p>
    <w:p>
      <w:pPr>
        <w:spacing w:before="240" w:after="80"/>
      </w:pPr>
      <w:r>
        <w:rPr>
          <w:rFonts w:ascii="DM Sans" w:hAnsi="DM Sans" w:cs="DM Sans"/>
          <w:b/>
          <w:i w:val="0"/>
          <w:color w:val="050C2A"/>
          <w:sz w:val="24"/>
          <w:u w:val="none"/>
        </w:rPr>
        <w:t>Why These Weights</w:t>
      </w:r>
    </w:p>
    <w:p>
      <w:pPr>
        <w:spacing w:before="0" w:after="120" w:line="276" w:lineRule="auto"/>
      </w:pPr>
      <w:r>
        <w:rPr>
          <w:rFonts w:ascii="DM Sans" w:hAnsi="DM Sans" w:cs="DM Sans"/>
          <w:b/>
          <w:i w:val="0"/>
          <w:color w:val="050C2A"/>
          <w:sz w:val="20"/>
          <w:u w:val="none"/>
        </w:rPr>
        <w:t>Deliverable Quality, Analytical Rigor, and Actionability (25% each, 75% total)</w:t>
      </w:r>
      <w:r>
        <w:rPr>
          <w:rFonts w:ascii="DM Sans" w:hAnsi="DM Sans" w:cs="DM Sans"/>
          <w:b w:val="0"/>
          <w:i w:val="0"/>
          <w:color w:val="050C2A"/>
          <w:sz w:val="20"/>
          <w:u w:val="none"/>
        </w:rPr>
        <w:t xml:space="preserve"> represent the three core intellectual demands of a professional deliverable, weighted equally because none succeeds without the others. Deliverable Quality asks whether the team built the right thing — complete, appropriately scoped, developed to sufficient depth. Analytical Rigor asks whether the thinking underneath is sound — grounded in evidence, logically reasoned, honest about limitations. Actionability asks whether the employer can use it — practical, constraint-aware, clearly prioritized. A deliverable that's complete but analytically thin is unreliable. One that's rigorously analyzed but impractical is academic. One that's practical but misses the scope is beside the point. Equal weighting signals that all three matter and avoids creating a hierarchy among genuinely interdependent qualities.</w:t>
      </w:r>
    </w:p>
    <w:p>
      <w:pPr>
        <w:spacing w:before="0" w:after="120" w:line="276" w:lineRule="auto"/>
      </w:pPr>
      <w:r>
        <w:rPr>
          <w:rFonts w:ascii="DM Sans" w:hAnsi="DM Sans" w:cs="DM Sans"/>
          <w:b/>
          <w:i w:val="0"/>
          <w:color w:val="050C2A"/>
          <w:sz w:val="20"/>
          <w:u w:val="none"/>
        </w:rPr>
        <w:t>Communication (15%)</w:t>
      </w:r>
      <w:r>
        <w:rPr>
          <w:rFonts w:ascii="DM Sans" w:hAnsi="DM Sans" w:cs="DM Sans"/>
          <w:b w:val="0"/>
          <w:i w:val="0"/>
          <w:color w:val="050C2A"/>
          <w:sz w:val="20"/>
          <w:u w:val="none"/>
        </w:rPr>
        <w:t xml:space="preserve"> assesses the deliverable as a professional artifact — clarity, organization, audience-appropriateness. It matters: this is work going to an external audience. But Communication is also assessed through other evidence sources in the course, and weighting it below the core triumvirate avoids over-penalizing teams that think well but write imperfectly relative to teams that write well but think poorly.</w:t>
      </w:r>
    </w:p>
    <w:p>
      <w:pPr>
        <w:spacing w:before="0" w:after="120" w:line="276" w:lineRule="auto"/>
      </w:pPr>
      <w:r>
        <w:rPr>
          <w:rFonts w:ascii="DM Sans" w:hAnsi="DM Sans" w:cs="DM Sans"/>
          <w:b/>
          <w:i w:val="0"/>
          <w:color w:val="050C2A"/>
          <w:sz w:val="20"/>
          <w:u w:val="none"/>
        </w:rPr>
        <w:t>Responsiveness to Feedback (10%)</w:t>
      </w:r>
      <w:r>
        <w:rPr>
          <w:rFonts w:ascii="DM Sans" w:hAnsi="DM Sans" w:cs="DM Sans"/>
          <w:b w:val="0"/>
          <w:i w:val="0"/>
          <w:color w:val="050C2A"/>
          <w:sz w:val="20"/>
          <w:u w:val="none"/>
        </w:rPr>
        <w:t xml:space="preserve"> is the narrowest dimension, assessing a single professional behavior: did the team incorporate or thoughtfully address input received during the project? The lower weight reflects its narrower scope, not its importance. Teams that ignore feedback will also naturally score lower on Deliverable Quality (work that disregards employer input is less likely to meet their needs) and Actionability (recommendations not tested against stakeholder input are less practical). The 10% weight captures the documented process; the effects of ignoring feedback compound across other dimensions.</w:t>
      </w:r>
    </w:p>
    <w:p>
      <w:pPr>
        <w:spacing w:before="280" w:after="100"/>
      </w:pPr>
      <w:r>
        <w:rPr>
          <w:rFonts w:ascii="DM Sans" w:hAnsi="DM Sans" w:cs="DM Sans"/>
          <w:b/>
          <w:i w:val="0"/>
          <w:color w:val="050C2A"/>
          <w:sz w:val="28"/>
          <w:u w:val="none"/>
        </w:rPr>
        <w:t>Dimension 1: Deliverable Quality</w:t>
      </w:r>
    </w:p>
    <w:p>
      <w:pPr>
        <w:spacing w:before="0" w:after="120" w:line="276" w:lineRule="auto"/>
      </w:pPr>
      <w:r>
        <w:rPr>
          <w:rFonts w:ascii="DM Sans" w:hAnsi="DM Sans" w:cs="DM Sans"/>
          <w:b w:val="0"/>
          <w:i/>
          <w:color w:val="050C2A"/>
          <w:sz w:val="20"/>
          <w:u w:val="none"/>
        </w:rPr>
        <w:t>Critical Thinking → Problem Framing</w:t>
      </w:r>
      <w:r>
        <w:rPr>
          <w:rFonts w:ascii="DM Sans" w:hAnsi="DM Sans" w:cs="DM Sans"/>
          <w:b w:val="0"/>
          <w:i w:val="0"/>
          <w:color w:val="050C2A"/>
          <w:sz w:val="20"/>
          <w:u w:val="none"/>
        </w:rPr>
        <w:t xml:space="preserve"> </w:t>
      </w:r>
      <w:r>
        <w:rPr>
          <w:rFonts w:ascii="DM Sans" w:hAnsi="DM Sans" w:cs="DM Sans"/>
          <w:b w:val="0"/>
          <w:i/>
          <w:color w:val="050C2A"/>
          <w:sz w:val="20"/>
          <w:u w:val="none"/>
        </w:rPr>
        <w:t>Evaluates completeness, scope alignment, and depth of development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029"/>
            <w:shd w:fill="FF7C0A" w:val="clear"/>
            <w:vAlign w:val="center"/>
          </w:tcPr>
          <w:p>
            <w:pPr>
              <w:jc w:val="left"/>
              <w:spacing w:before="40" w:after="40"/>
            </w:pPr>
            <w:r>
              <w:rPr>
                <w:rFonts w:ascii="DM Sans" w:hAnsi="DM Sans" w:cs="DM Sans"/>
                <w:b/>
                <w:i w:val="0"/>
                <w:color w:val="FFFFFF"/>
                <w:sz w:val="20"/>
                <w:u w:val="none"/>
              </w:rPr>
              <w:t>Level</w:t>
            </w:r>
          </w:p>
        </w:tc>
        <w:tc>
          <w:tcPr>
            <w:tcW w:type="dxa" w:w="733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029"/>
            <w:vAlign w:val="center"/>
          </w:tcPr>
          <w:p>
            <w:pPr>
              <w:spacing w:before="30" w:after="30"/>
            </w:pPr>
            <w:r>
              <w:rPr>
                <w:rFonts w:ascii="DM Sans" w:hAnsi="DM Sans" w:cs="DM Sans"/>
                <w:b/>
                <w:i w:val="0"/>
                <w:color w:val="050C2A"/>
                <w:sz w:val="20"/>
                <w:u w:val="none"/>
              </w:rPr>
              <w:t>Exemplary (4)</w:t>
            </w:r>
          </w:p>
        </w:tc>
        <w:tc>
          <w:tcPr>
            <w:tcW w:type="dxa" w:w="7331"/>
            <w:vAlign w:val="center"/>
          </w:tcPr>
          <w:p>
            <w:pPr>
              <w:spacing w:before="30" w:after="30"/>
            </w:pPr>
            <w:r>
              <w:rPr>
                <w:rFonts w:ascii="DM Sans" w:hAnsi="DM Sans" w:cs="DM Sans"/>
                <w:b w:val="0"/>
                <w:i w:val="0"/>
                <w:color w:val="050C2A"/>
                <w:sz w:val="20"/>
                <w:u w:val="none"/>
              </w:rPr>
              <w:t>All components are present and fully developed. The scope reflects thoughtful interpretation of the employer's needs — not just what was literally requested but what would be most useful. Depth of development is consistent across components; no section feels thin relative to the others.</w:t>
            </w:r>
          </w:p>
        </w:tc>
      </w:tr>
      <w:tr>
        <w:tc>
          <w:tcPr>
            <w:tcW w:type="dxa" w:w="2029"/>
            <w:shd w:fill="F5F5F5" w:val="clear"/>
            <w:vAlign w:val="center"/>
          </w:tcPr>
          <w:p>
            <w:pPr>
              <w:spacing w:before="30" w:after="30"/>
            </w:pPr>
            <w:r>
              <w:rPr>
                <w:rFonts w:ascii="DM Sans" w:hAnsi="DM Sans" w:cs="DM Sans"/>
                <w:b/>
                <w:i w:val="0"/>
                <w:color w:val="050C2A"/>
                <w:sz w:val="20"/>
                <w:u w:val="none"/>
              </w:rPr>
              <w:t>Proficient (3)</w:t>
            </w:r>
          </w:p>
        </w:tc>
        <w:tc>
          <w:tcPr>
            <w:tcW w:type="dxa" w:w="7331"/>
            <w:shd w:fill="F5F5F5" w:val="clear"/>
            <w:vAlign w:val="center"/>
          </w:tcPr>
          <w:p>
            <w:pPr>
              <w:spacing w:before="30" w:after="30"/>
            </w:pPr>
            <w:r>
              <w:rPr>
                <w:rFonts w:ascii="DM Sans" w:hAnsi="DM Sans" w:cs="DM Sans"/>
                <w:b w:val="0"/>
                <w:i w:val="0"/>
                <w:color w:val="050C2A"/>
                <w:sz w:val="20"/>
                <w:u w:val="none"/>
              </w:rPr>
              <w:t>All major components requested by the employer are present and developed to sufficient depth. The scope of the work aligns with the project brief. No significant gaps in coverage that would leave the employer without something they expected to receive.</w:t>
            </w:r>
          </w:p>
        </w:tc>
      </w:tr>
      <w:tr>
        <w:tc>
          <w:tcPr>
            <w:tcW w:type="dxa" w:w="2029"/>
            <w:vAlign w:val="center"/>
          </w:tcPr>
          <w:p>
            <w:pPr>
              <w:spacing w:before="30" w:after="30"/>
            </w:pPr>
            <w:r>
              <w:rPr>
                <w:rFonts w:ascii="DM Sans" w:hAnsi="DM Sans" w:cs="DM Sans"/>
                <w:b/>
                <w:i w:val="0"/>
                <w:color w:val="050C2A"/>
                <w:sz w:val="20"/>
                <w:u w:val="none"/>
              </w:rPr>
              <w:t>Developing (2)</w:t>
            </w:r>
          </w:p>
        </w:tc>
        <w:tc>
          <w:tcPr>
            <w:tcW w:type="dxa" w:w="7331"/>
            <w:vAlign w:val="center"/>
          </w:tcPr>
          <w:p>
            <w:pPr>
              <w:spacing w:before="30" w:after="30"/>
            </w:pPr>
            <w:r>
              <w:rPr>
                <w:rFonts w:ascii="DM Sans" w:hAnsi="DM Sans" w:cs="DM Sans"/>
                <w:b w:val="0"/>
                <w:i w:val="0"/>
                <w:color w:val="050C2A"/>
                <w:sz w:val="20"/>
                <w:u w:val="none"/>
              </w:rPr>
              <w:t>Most components are present but some are underdeveloped or missing. The scope partially aligns with the project brief but has gaps — the employer would notice something they expected is absent or insufficient.</w:t>
            </w:r>
          </w:p>
        </w:tc>
      </w:tr>
      <w:tr>
        <w:tc>
          <w:tcPr>
            <w:tcW w:type="dxa" w:w="2029"/>
            <w:shd w:fill="F5F5F5" w:val="clear"/>
            <w:vAlign w:val="center"/>
          </w:tcPr>
          <w:p>
            <w:pPr>
              <w:spacing w:before="30" w:after="30"/>
            </w:pPr>
            <w:r>
              <w:rPr>
                <w:rFonts w:ascii="DM Sans" w:hAnsi="DM Sans" w:cs="DM Sans"/>
                <w:b/>
                <w:i w:val="0"/>
                <w:color w:val="050C2A"/>
                <w:sz w:val="20"/>
                <w:u w:val="none"/>
              </w:rPr>
              <w:t>Emerging (1)</w:t>
            </w:r>
          </w:p>
        </w:tc>
        <w:tc>
          <w:tcPr>
            <w:tcW w:type="dxa" w:w="7331"/>
            <w:shd w:fill="F5F5F5" w:val="clear"/>
            <w:vAlign w:val="center"/>
          </w:tcPr>
          <w:p>
            <w:pPr>
              <w:spacing w:before="30" w:after="30"/>
            </w:pPr>
            <w:r>
              <w:rPr>
                <w:rFonts w:ascii="DM Sans" w:hAnsi="DM Sans" w:cs="DM Sans"/>
                <w:b w:val="0"/>
                <w:i w:val="0"/>
                <w:color w:val="050C2A"/>
                <w:sz w:val="20"/>
                <w:u w:val="none"/>
              </w:rPr>
              <w:t>Major components are missing or treated superficially. The scope is misaligned with what the employer asked for, or the work is too thin across the board to constitute a substantive deliverable.</w:t>
            </w:r>
          </w:p>
        </w:tc>
      </w:tr>
      <w:tr>
        <w:tc>
          <w:tcPr>
            <w:tcW w:type="dxa" w:w="2029"/>
            <w:vAlign w:val="center"/>
          </w:tcPr>
          <w:p>
            <w:pPr>
              <w:spacing w:before="30" w:after="30"/>
            </w:pPr>
            <w:r>
              <w:rPr>
                <w:rFonts w:ascii="DM Sans" w:hAnsi="DM Sans" w:cs="DM Sans"/>
                <w:b/>
                <w:i w:val="0"/>
                <w:color w:val="050C2A"/>
                <w:sz w:val="20"/>
                <w:u w:val="none"/>
              </w:rPr>
              <w:t>Not Acceptable (0)</w:t>
            </w:r>
          </w:p>
        </w:tc>
        <w:tc>
          <w:tcPr>
            <w:tcW w:type="dxa" w:w="7331"/>
            <w:vAlign w:val="center"/>
          </w:tcPr>
          <w:p>
            <w:pPr>
              <w:spacing w:before="30" w:after="30"/>
            </w:pPr>
            <w:r>
              <w:rPr>
                <w:rFonts w:ascii="DM Sans" w:hAnsi="DM Sans" w:cs="DM Sans"/>
                <w:b w:val="0"/>
                <w:i w:val="0"/>
                <w:color w:val="050C2A"/>
                <w:sz w:val="20"/>
                <w:u w:val="none"/>
              </w:rPr>
              <w:t>No meaningful attempt to produce the requested deliverable. What was submitted does not correspond to the project brief.</w:t>
            </w:r>
          </w:p>
        </w:tc>
      </w:tr>
    </w:tbl>
    <w:p>
      <w:pPr>
        <w:spacing w:before="0" w:after="120"/>
      </w:pPr>
    </w:p>
    <w:p>
      <w:pPr>
        <w:spacing w:before="0" w:after="120" w:line="276" w:lineRule="auto"/>
      </w:pPr>
      <w:r>
        <w:rPr>
          <w:rFonts w:ascii="DM Sans" w:hAnsi="DM Sans" w:cs="DM Sans"/>
          <w:b/>
          <w:i w:val="0"/>
          <w:color w:val="050C2A"/>
          <w:sz w:val="20"/>
          <w:u w:val="none"/>
        </w:rPr>
        <w:t>Boundary principle:</w:t>
      </w:r>
      <w:r>
        <w:rPr>
          <w:rFonts w:ascii="DM Sans" w:hAnsi="DM Sans" w:cs="DM Sans"/>
          <w:b w:val="0"/>
          <w:i w:val="0"/>
          <w:color w:val="050C2A"/>
          <w:sz w:val="20"/>
          <w:u w:val="none"/>
        </w:rPr>
        <w:t xml:space="preserve"> Deliverable Quality is silent on the soundness of the analysis (Analytical Rigor), the practical usefulness of the work (Actionability), the clarity of communication (Communication), and the feedback process (Responsiveness to Feedback). It asks only: did the team produce what was asked for, at appropriate scope, with sufficient depth of development?</w:t>
      </w:r>
    </w:p>
    <w:p>
      <w:pPr>
        <w:spacing w:before="280" w:after="100"/>
      </w:pPr>
      <w:r>
        <w:rPr>
          <w:rFonts w:ascii="DM Sans" w:hAnsi="DM Sans" w:cs="DM Sans"/>
          <w:b/>
          <w:i w:val="0"/>
          <w:color w:val="050C2A"/>
          <w:sz w:val="28"/>
          <w:u w:val="none"/>
        </w:rPr>
        <w:t>Dimension 2: Analytical Rigor</w:t>
      </w:r>
    </w:p>
    <w:p>
      <w:pPr>
        <w:spacing w:before="0" w:after="120" w:line="276" w:lineRule="auto"/>
      </w:pPr>
      <w:r>
        <w:rPr>
          <w:rFonts w:ascii="DM Sans" w:hAnsi="DM Sans" w:cs="DM Sans"/>
          <w:b w:val="0"/>
          <w:i/>
          <w:color w:val="050C2A"/>
          <w:sz w:val="20"/>
          <w:u w:val="none"/>
        </w:rPr>
        <w:t>Critical Thinking → Research &amp; Analysis, Evidence-Based Reasoning</w:t>
      </w:r>
      <w:r>
        <w:rPr>
          <w:rFonts w:ascii="DM Sans" w:hAnsi="DM Sans" w:cs="DM Sans"/>
          <w:b w:val="0"/>
          <w:i w:val="0"/>
          <w:color w:val="050C2A"/>
          <w:sz w:val="20"/>
          <w:u w:val="none"/>
        </w:rPr>
        <w:t xml:space="preserve"> </w:t>
      </w:r>
      <w:r>
        <w:rPr>
          <w:rFonts w:ascii="DM Sans" w:hAnsi="DM Sans" w:cs="DM Sans"/>
          <w:b w:val="0"/>
          <w:i/>
          <w:color w:val="050C2A"/>
          <w:sz w:val="20"/>
          <w:u w:val="none"/>
        </w:rPr>
        <w:t>Evaluates whether the work is grounded in evidence and sound reasoning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148"/>
            <w:shd w:fill="FF7C0A" w:val="clear"/>
            <w:vAlign w:val="center"/>
          </w:tcPr>
          <w:p>
            <w:pPr>
              <w:jc w:val="left"/>
              <w:spacing w:before="40" w:after="40"/>
            </w:pPr>
            <w:r>
              <w:rPr>
                <w:rFonts w:ascii="DM Sans" w:hAnsi="DM Sans" w:cs="DM Sans"/>
                <w:b/>
                <w:i w:val="0"/>
                <w:color w:val="FFFFFF"/>
                <w:sz w:val="20"/>
                <w:u w:val="none"/>
              </w:rPr>
              <w:t>Level</w:t>
            </w:r>
          </w:p>
        </w:tc>
        <w:tc>
          <w:tcPr>
            <w:tcW w:type="dxa" w:w="7212"/>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148"/>
            <w:vAlign w:val="center"/>
          </w:tcPr>
          <w:p>
            <w:pPr>
              <w:spacing w:before="30" w:after="30"/>
            </w:pPr>
            <w:r>
              <w:rPr>
                <w:rFonts w:ascii="DM Sans" w:hAnsi="DM Sans" w:cs="DM Sans"/>
                <w:b/>
                <w:i w:val="0"/>
                <w:color w:val="050C2A"/>
                <w:sz w:val="20"/>
                <w:u w:val="none"/>
              </w:rPr>
              <w:t>Exemplary (4)</w:t>
            </w:r>
          </w:p>
        </w:tc>
        <w:tc>
          <w:tcPr>
            <w:tcW w:type="dxa" w:w="7212"/>
            <w:vAlign w:val="center"/>
          </w:tcPr>
          <w:p>
            <w:pPr>
              <w:spacing w:before="30" w:after="30"/>
            </w:pPr>
            <w:r>
              <w:rPr>
                <w:rFonts w:ascii="DM Sans" w:hAnsi="DM Sans" w:cs="DM Sans"/>
                <w:b w:val="0"/>
                <w:i w:val="0"/>
                <w:color w:val="050C2A"/>
                <w:sz w:val="20"/>
                <w:u w:val="none"/>
              </w:rPr>
              <w:t>Claims and decisions are consistently grounded in relevant evidence. Information from multiple sources or perspectives is synthesized rather than listed. Reasoning is sound throughout. Limitations and assumptions are acknowledged where appropriate.</w:t>
            </w:r>
          </w:p>
        </w:tc>
      </w:tr>
      <w:tr>
        <w:tc>
          <w:tcPr>
            <w:tcW w:type="dxa" w:w="2148"/>
            <w:shd w:fill="F5F5F5" w:val="clear"/>
            <w:vAlign w:val="center"/>
          </w:tcPr>
          <w:p>
            <w:pPr>
              <w:spacing w:before="30" w:after="30"/>
            </w:pPr>
            <w:r>
              <w:rPr>
                <w:rFonts w:ascii="DM Sans" w:hAnsi="DM Sans" w:cs="DM Sans"/>
                <w:b/>
                <w:i w:val="0"/>
                <w:color w:val="050C2A"/>
                <w:sz w:val="20"/>
                <w:u w:val="none"/>
              </w:rPr>
              <w:t>Proficient (3)</w:t>
            </w:r>
          </w:p>
        </w:tc>
        <w:tc>
          <w:tcPr>
            <w:tcW w:type="dxa" w:w="7212"/>
            <w:shd w:fill="F5F5F5" w:val="clear"/>
            <w:vAlign w:val="center"/>
          </w:tcPr>
          <w:p>
            <w:pPr>
              <w:spacing w:before="30" w:after="30"/>
            </w:pPr>
            <w:r>
              <w:rPr>
                <w:rFonts w:ascii="DM Sans" w:hAnsi="DM Sans" w:cs="DM Sans"/>
                <w:b w:val="0"/>
                <w:i w:val="0"/>
                <w:color w:val="050C2A"/>
                <w:sz w:val="20"/>
                <w:u w:val="none"/>
              </w:rPr>
              <w:t>Claims and decisions are supported by relevant evidence. The team draws on appropriate sources of information for this type of work and connects them to the conclusions reached. Reasoning is generally sound — conclusions follow from the analysis.</w:t>
            </w:r>
          </w:p>
        </w:tc>
      </w:tr>
      <w:tr>
        <w:tc>
          <w:tcPr>
            <w:tcW w:type="dxa" w:w="2148"/>
            <w:vAlign w:val="center"/>
          </w:tcPr>
          <w:p>
            <w:pPr>
              <w:spacing w:before="30" w:after="30"/>
            </w:pPr>
            <w:r>
              <w:rPr>
                <w:rFonts w:ascii="DM Sans" w:hAnsi="DM Sans" w:cs="DM Sans"/>
                <w:b/>
                <w:i w:val="0"/>
                <w:color w:val="050C2A"/>
                <w:sz w:val="20"/>
                <w:u w:val="none"/>
              </w:rPr>
              <w:t>Developing (2)</w:t>
            </w:r>
          </w:p>
        </w:tc>
        <w:tc>
          <w:tcPr>
            <w:tcW w:type="dxa" w:w="7212"/>
            <w:vAlign w:val="center"/>
          </w:tcPr>
          <w:p>
            <w:pPr>
              <w:spacing w:before="30" w:after="30"/>
            </w:pPr>
            <w:r>
              <w:rPr>
                <w:rFonts w:ascii="DM Sans" w:hAnsi="DM Sans" w:cs="DM Sans"/>
                <w:b w:val="0"/>
                <w:i w:val="0"/>
                <w:color w:val="050C2A"/>
                <w:sz w:val="20"/>
                <w:u w:val="none"/>
              </w:rPr>
              <w:t>Some claims are supported but others are asserted without grounding. Information may be present but not connected to the conclusions drawn from it. Reasoning has gaps — some decisions or conclusions don't clearly follow from the analysis.</w:t>
            </w:r>
          </w:p>
        </w:tc>
      </w:tr>
      <w:tr>
        <w:tc>
          <w:tcPr>
            <w:tcW w:type="dxa" w:w="2148"/>
            <w:shd w:fill="F5F5F5" w:val="clear"/>
            <w:vAlign w:val="center"/>
          </w:tcPr>
          <w:p>
            <w:pPr>
              <w:spacing w:before="30" w:after="30"/>
            </w:pPr>
            <w:r>
              <w:rPr>
                <w:rFonts w:ascii="DM Sans" w:hAnsi="DM Sans" w:cs="DM Sans"/>
                <w:b/>
                <w:i w:val="0"/>
                <w:color w:val="050C2A"/>
                <w:sz w:val="20"/>
                <w:u w:val="none"/>
              </w:rPr>
              <w:t>Emerging (1)</w:t>
            </w:r>
          </w:p>
        </w:tc>
        <w:tc>
          <w:tcPr>
            <w:tcW w:type="dxa" w:w="7212"/>
            <w:shd w:fill="F5F5F5" w:val="clear"/>
            <w:vAlign w:val="center"/>
          </w:tcPr>
          <w:p>
            <w:pPr>
              <w:spacing w:before="30" w:after="30"/>
            </w:pPr>
            <w:r>
              <w:rPr>
                <w:rFonts w:ascii="DM Sans" w:hAnsi="DM Sans" w:cs="DM Sans"/>
                <w:b w:val="0"/>
                <w:i w:val="0"/>
                <w:color w:val="050C2A"/>
                <w:sz w:val="20"/>
                <w:u w:val="none"/>
              </w:rPr>
              <w:t>Claims and decisions are largely unsupported. Little evidence that the team's conclusions are grounded in any meaningful analysis.</w:t>
            </w:r>
          </w:p>
        </w:tc>
      </w:tr>
      <w:tr>
        <w:tc>
          <w:tcPr>
            <w:tcW w:type="dxa" w:w="2148"/>
            <w:vAlign w:val="center"/>
          </w:tcPr>
          <w:p>
            <w:pPr>
              <w:spacing w:before="30" w:after="30"/>
            </w:pPr>
            <w:r>
              <w:rPr>
                <w:rFonts w:ascii="DM Sans" w:hAnsi="DM Sans" w:cs="DM Sans"/>
                <w:b/>
                <w:i w:val="0"/>
                <w:color w:val="050C2A"/>
                <w:sz w:val="20"/>
                <w:u w:val="none"/>
              </w:rPr>
              <w:t>Not Acceptable (0)</w:t>
            </w:r>
          </w:p>
        </w:tc>
        <w:tc>
          <w:tcPr>
            <w:tcW w:type="dxa" w:w="7212"/>
            <w:vAlign w:val="center"/>
          </w:tcPr>
          <w:p>
            <w:pPr>
              <w:spacing w:before="30" w:after="30"/>
            </w:pPr>
            <w:r>
              <w:rPr>
                <w:rFonts w:ascii="DM Sans" w:hAnsi="DM Sans" w:cs="DM Sans"/>
                <w:b w:val="0"/>
                <w:i w:val="0"/>
                <w:color w:val="050C2A"/>
                <w:sz w:val="20"/>
                <w:u w:val="none"/>
              </w:rPr>
              <w:t>No meaningful analysis is present.</w:t>
            </w:r>
          </w:p>
        </w:tc>
      </w:tr>
    </w:tbl>
    <w:p>
      <w:pPr>
        <w:spacing w:before="0" w:after="120"/>
      </w:pPr>
    </w:p>
    <w:p>
      <w:pPr>
        <w:spacing w:before="0" w:after="120" w:line="276" w:lineRule="auto"/>
      </w:pPr>
      <w:r>
        <w:rPr>
          <w:rFonts w:ascii="DM Sans" w:hAnsi="DM Sans" w:cs="DM Sans"/>
          <w:b/>
          <w:i w:val="0"/>
          <w:color w:val="050C2A"/>
          <w:sz w:val="20"/>
          <w:u w:val="none"/>
        </w:rPr>
        <w:t>Boundary principle:</w:t>
      </w:r>
      <w:r>
        <w:rPr>
          <w:rFonts w:ascii="DM Sans" w:hAnsi="DM Sans" w:cs="DM Sans"/>
          <w:b w:val="0"/>
          <w:i w:val="0"/>
          <w:color w:val="050C2A"/>
          <w:sz w:val="20"/>
          <w:u w:val="none"/>
        </w:rPr>
        <w:t xml:space="preserve"> Analytical Rigor is silent on whether the team produced the right components (Deliverable Quality), whether the work is practically useful (Actionability), how well the deliverable communicates (Communication), and whether feedback was addressed (Responsiveness to Feedback). It asks only: is the work grounded in evidence and sound reasoning?</w:t>
      </w:r>
    </w:p>
    <w:p>
      <w:pPr>
        <w:spacing w:before="280" w:after="100"/>
      </w:pPr>
      <w:r>
        <w:rPr>
          <w:rFonts w:ascii="DM Sans" w:hAnsi="DM Sans" w:cs="DM Sans"/>
          <w:b/>
          <w:i w:val="0"/>
          <w:color w:val="050C2A"/>
          <w:sz w:val="28"/>
          <w:u w:val="none"/>
        </w:rPr>
        <w:t>Dimension 3: Actionability</w:t>
      </w:r>
    </w:p>
    <w:p>
      <w:pPr>
        <w:spacing w:before="0" w:after="120" w:line="276" w:lineRule="auto"/>
      </w:pPr>
      <w:r>
        <w:rPr>
          <w:rFonts w:ascii="DM Sans" w:hAnsi="DM Sans" w:cs="DM Sans"/>
          <w:b w:val="0"/>
          <w:i/>
          <w:color w:val="050C2A"/>
          <w:sz w:val="20"/>
          <w:u w:val="none"/>
        </w:rPr>
        <w:t>Critical Thinking → Prioritization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whether the employer can act on the work</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109"/>
            <w:shd w:fill="FF7C0A" w:val="clear"/>
            <w:vAlign w:val="center"/>
          </w:tcPr>
          <w:p>
            <w:pPr>
              <w:jc w:val="left"/>
              <w:spacing w:before="40" w:after="40"/>
            </w:pPr>
            <w:r>
              <w:rPr>
                <w:rFonts w:ascii="DM Sans" w:hAnsi="DM Sans" w:cs="DM Sans"/>
                <w:b/>
                <w:i w:val="0"/>
                <w:color w:val="FFFFFF"/>
                <w:sz w:val="20"/>
                <w:u w:val="none"/>
              </w:rPr>
              <w:t>Level</w:t>
            </w:r>
          </w:p>
        </w:tc>
        <w:tc>
          <w:tcPr>
            <w:tcW w:type="dxa" w:w="725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109"/>
            <w:vAlign w:val="center"/>
          </w:tcPr>
          <w:p>
            <w:pPr>
              <w:spacing w:before="30" w:after="30"/>
            </w:pPr>
            <w:r>
              <w:rPr>
                <w:rFonts w:ascii="DM Sans" w:hAnsi="DM Sans" w:cs="DM Sans"/>
                <w:b/>
                <w:i w:val="0"/>
                <w:color w:val="050C2A"/>
                <w:sz w:val="20"/>
                <w:u w:val="none"/>
              </w:rPr>
              <w:t>Exemplary (4)</w:t>
            </w:r>
          </w:p>
        </w:tc>
        <w:tc>
          <w:tcPr>
            <w:tcW w:type="dxa" w:w="7251"/>
            <w:vAlign w:val="center"/>
          </w:tcPr>
          <w:p>
            <w:pPr>
              <w:spacing w:before="30" w:after="30"/>
            </w:pPr>
            <w:r>
              <w:rPr>
                <w:rFonts w:ascii="DM Sans" w:hAnsi="DM Sans" w:cs="DM Sans"/>
                <w:b w:val="0"/>
                <w:i w:val="0"/>
                <w:color w:val="050C2A"/>
                <w:sz w:val="20"/>
                <w:u w:val="none"/>
              </w:rPr>
              <w:t>The work is specific, clearly prioritized, and demonstrates understanding of the employer's constraints — budget, capacity, timeline, organizational context. Implementation guidance or next steps are concrete enough that the employer knows how to move forward.</w:t>
            </w:r>
          </w:p>
        </w:tc>
      </w:tr>
      <w:tr>
        <w:tc>
          <w:tcPr>
            <w:tcW w:type="dxa" w:w="2109"/>
            <w:shd w:fill="F5F5F5" w:val="clear"/>
            <w:vAlign w:val="center"/>
          </w:tcPr>
          <w:p>
            <w:pPr>
              <w:spacing w:before="30" w:after="30"/>
            </w:pPr>
            <w:r>
              <w:rPr>
                <w:rFonts w:ascii="DM Sans" w:hAnsi="DM Sans" w:cs="DM Sans"/>
                <w:b/>
                <w:i w:val="0"/>
                <w:color w:val="050C2A"/>
                <w:sz w:val="20"/>
                <w:u w:val="none"/>
              </w:rPr>
              <w:t>Proficient (3)</w:t>
            </w:r>
          </w:p>
        </w:tc>
        <w:tc>
          <w:tcPr>
            <w:tcW w:type="dxa" w:w="7251"/>
            <w:shd w:fill="F5F5F5" w:val="clear"/>
            <w:vAlign w:val="center"/>
          </w:tcPr>
          <w:p>
            <w:pPr>
              <w:spacing w:before="30" w:after="30"/>
            </w:pPr>
            <w:r>
              <w:rPr>
                <w:rFonts w:ascii="DM Sans" w:hAnsi="DM Sans" w:cs="DM Sans"/>
                <w:b w:val="0"/>
                <w:i w:val="0"/>
                <w:color w:val="050C2A"/>
                <w:sz w:val="20"/>
                <w:u w:val="none"/>
              </w:rPr>
              <w:t>The work is practical and feasible given the employer's context. It reflects awareness of real-world constraints. The employer could act on it with reasonable additional planning.</w:t>
            </w:r>
          </w:p>
        </w:tc>
      </w:tr>
      <w:tr>
        <w:tc>
          <w:tcPr>
            <w:tcW w:type="dxa" w:w="2109"/>
            <w:vAlign w:val="center"/>
          </w:tcPr>
          <w:p>
            <w:pPr>
              <w:spacing w:before="30" w:after="30"/>
            </w:pPr>
            <w:r>
              <w:rPr>
                <w:rFonts w:ascii="DM Sans" w:hAnsi="DM Sans" w:cs="DM Sans"/>
                <w:b/>
                <w:i w:val="0"/>
                <w:color w:val="050C2A"/>
                <w:sz w:val="20"/>
                <w:u w:val="none"/>
              </w:rPr>
              <w:t>Developing (2)</w:t>
            </w:r>
          </w:p>
        </w:tc>
        <w:tc>
          <w:tcPr>
            <w:tcW w:type="dxa" w:w="7251"/>
            <w:vAlign w:val="center"/>
          </w:tcPr>
          <w:p>
            <w:pPr>
              <w:spacing w:before="30" w:after="30"/>
            </w:pPr>
            <w:r>
              <w:rPr>
                <w:rFonts w:ascii="DM Sans" w:hAnsi="DM Sans" w:cs="DM Sans"/>
                <w:b w:val="0"/>
                <w:i w:val="0"/>
                <w:color w:val="050C2A"/>
                <w:sz w:val="20"/>
                <w:u w:val="none"/>
              </w:rPr>
              <w:t>The work is partially practical but vague or impractical in places. Constraints are acknowledged but not fully integrated into what's being proposed. The employer would need significant additional work to act on it.</w:t>
            </w:r>
          </w:p>
        </w:tc>
      </w:tr>
      <w:tr>
        <w:tc>
          <w:tcPr>
            <w:tcW w:type="dxa" w:w="2109"/>
            <w:shd w:fill="F5F5F5" w:val="clear"/>
            <w:vAlign w:val="center"/>
          </w:tcPr>
          <w:p>
            <w:pPr>
              <w:spacing w:before="30" w:after="30"/>
            </w:pPr>
            <w:r>
              <w:rPr>
                <w:rFonts w:ascii="DM Sans" w:hAnsi="DM Sans" w:cs="DM Sans"/>
                <w:b/>
                <w:i w:val="0"/>
                <w:color w:val="050C2A"/>
                <w:sz w:val="20"/>
                <w:u w:val="none"/>
              </w:rPr>
              <w:t>Emerging (1)</w:t>
            </w:r>
          </w:p>
        </w:tc>
        <w:tc>
          <w:tcPr>
            <w:tcW w:type="dxa" w:w="7251"/>
            <w:shd w:fill="F5F5F5" w:val="clear"/>
            <w:vAlign w:val="center"/>
          </w:tcPr>
          <w:p>
            <w:pPr>
              <w:spacing w:before="30" w:after="30"/>
            </w:pPr>
            <w:r>
              <w:rPr>
                <w:rFonts w:ascii="DM Sans" w:hAnsi="DM Sans" w:cs="DM Sans"/>
                <w:b w:val="0"/>
                <w:i w:val="0"/>
                <w:color w:val="050C2A"/>
                <w:sz w:val="20"/>
                <w:u w:val="none"/>
              </w:rPr>
              <w:t>The work is largely impractical or unrealistic. Little evidence that real-world constraints were considered. It reads as an exercise rather than something designed for use.</w:t>
            </w:r>
          </w:p>
        </w:tc>
      </w:tr>
      <w:tr>
        <w:tc>
          <w:tcPr>
            <w:tcW w:type="dxa" w:w="2109"/>
            <w:vAlign w:val="center"/>
          </w:tcPr>
          <w:p>
            <w:pPr>
              <w:spacing w:before="30" w:after="30"/>
            </w:pPr>
            <w:r>
              <w:rPr>
                <w:rFonts w:ascii="DM Sans" w:hAnsi="DM Sans" w:cs="DM Sans"/>
                <w:b/>
                <w:i w:val="0"/>
                <w:color w:val="050C2A"/>
                <w:sz w:val="20"/>
                <w:u w:val="none"/>
              </w:rPr>
              <w:t>Not Acceptable (0)</w:t>
            </w:r>
          </w:p>
        </w:tc>
        <w:tc>
          <w:tcPr>
            <w:tcW w:type="dxa" w:w="7251"/>
            <w:vAlign w:val="center"/>
          </w:tcPr>
          <w:p>
            <w:pPr>
              <w:spacing w:before="30" w:after="30"/>
            </w:pPr>
            <w:r>
              <w:rPr>
                <w:rFonts w:ascii="DM Sans" w:hAnsi="DM Sans" w:cs="DM Sans"/>
                <w:b w:val="0"/>
                <w:i w:val="0"/>
                <w:color w:val="050C2A"/>
                <w:sz w:val="20"/>
                <w:u w:val="none"/>
              </w:rPr>
              <w:t>Nothing actionable is present.</w:t>
            </w:r>
          </w:p>
        </w:tc>
      </w:tr>
    </w:tbl>
    <w:p>
      <w:pPr>
        <w:spacing w:before="0" w:after="120"/>
      </w:pPr>
    </w:p>
    <w:p>
      <w:pPr>
        <w:spacing w:before="0" w:after="120" w:line="276" w:lineRule="auto"/>
      </w:pPr>
      <w:r>
        <w:rPr>
          <w:rFonts w:ascii="DM Sans" w:hAnsi="DM Sans" w:cs="DM Sans"/>
          <w:b/>
          <w:i w:val="0"/>
          <w:color w:val="050C2A"/>
          <w:sz w:val="20"/>
          <w:u w:val="none"/>
        </w:rPr>
        <w:t>Boundary principle:</w:t>
      </w:r>
      <w:r>
        <w:rPr>
          <w:rFonts w:ascii="DM Sans" w:hAnsi="DM Sans" w:cs="DM Sans"/>
          <w:b w:val="0"/>
          <w:i w:val="0"/>
          <w:color w:val="050C2A"/>
          <w:sz w:val="20"/>
          <w:u w:val="none"/>
        </w:rPr>
        <w:t xml:space="preserve"> Actionability is silent on whether the right components were produced (Deliverable Quality), the soundness of the underlying analysis (Analytical Rigor), how well the deliverable communicates (Communication), and whether feedback was addressed (Responsiveness to Feedback). It asks only: can the employer act on this work?</w:t>
      </w:r>
    </w:p>
    <w:p>
      <w:pPr>
        <w:spacing w:before="280" w:after="100"/>
      </w:pPr>
      <w:r>
        <w:rPr>
          <w:rFonts w:ascii="DM Sans" w:hAnsi="DM Sans" w:cs="DM Sans"/>
          <w:b/>
          <w:i w:val="0"/>
          <w:color w:val="050C2A"/>
          <w:sz w:val="28"/>
          <w:u w:val="none"/>
        </w:rPr>
        <w:t>Dimension 4: Communication</w:t>
      </w:r>
    </w:p>
    <w:p>
      <w:pPr>
        <w:spacing w:before="0" w:after="120" w:line="276" w:lineRule="auto"/>
      </w:pPr>
      <w:r>
        <w:rPr>
          <w:rFonts w:ascii="DM Sans" w:hAnsi="DM Sans" w:cs="DM Sans"/>
          <w:b w:val="0"/>
          <w:i/>
          <w:color w:val="050C2A"/>
          <w:sz w:val="20"/>
          <w:u w:val="none"/>
        </w:rPr>
        <w:t>Communication → Written Clarity</w:t>
      </w:r>
      <w:r>
        <w:rPr>
          <w:rFonts w:ascii="DM Sans" w:hAnsi="DM Sans" w:cs="DM Sans"/>
          <w:b w:val="0"/>
          <w:i w:val="0"/>
          <w:color w:val="050C2A"/>
          <w:sz w:val="20"/>
          <w:u w:val="none"/>
        </w:rPr>
        <w:t xml:space="preserve"> </w:t>
      </w:r>
      <w:r>
        <w:rPr>
          <w:rFonts w:ascii="DM Sans" w:hAnsi="DM Sans" w:cs="DM Sans"/>
          <w:b w:val="0"/>
          <w:i/>
          <w:color w:val="050C2A"/>
          <w:sz w:val="20"/>
          <w:u w:val="none"/>
        </w:rPr>
        <w:t>Evaluates the deliverable as a professional artifact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966"/>
            <w:shd w:fill="FF7C0A" w:val="clear"/>
            <w:vAlign w:val="center"/>
          </w:tcPr>
          <w:p>
            <w:pPr>
              <w:jc w:val="left"/>
              <w:spacing w:before="40" w:after="40"/>
            </w:pPr>
            <w:r>
              <w:rPr>
                <w:rFonts w:ascii="DM Sans" w:hAnsi="DM Sans" w:cs="DM Sans"/>
                <w:b/>
                <w:i w:val="0"/>
                <w:color w:val="FFFFFF"/>
                <w:sz w:val="20"/>
                <w:u w:val="none"/>
              </w:rPr>
              <w:t>Level</w:t>
            </w:r>
          </w:p>
        </w:tc>
        <w:tc>
          <w:tcPr>
            <w:tcW w:type="dxa" w:w="7394"/>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966"/>
            <w:vAlign w:val="center"/>
          </w:tcPr>
          <w:p>
            <w:pPr>
              <w:spacing w:before="30" w:after="30"/>
            </w:pPr>
            <w:r>
              <w:rPr>
                <w:rFonts w:ascii="DM Sans" w:hAnsi="DM Sans" w:cs="DM Sans"/>
                <w:b/>
                <w:i w:val="0"/>
                <w:color w:val="050C2A"/>
                <w:sz w:val="20"/>
                <w:u w:val="none"/>
              </w:rPr>
              <w:t>Exemplary (4)</w:t>
            </w:r>
          </w:p>
        </w:tc>
        <w:tc>
          <w:tcPr>
            <w:tcW w:type="dxa" w:w="7394"/>
            <w:vAlign w:val="center"/>
          </w:tcPr>
          <w:p>
            <w:pPr>
              <w:spacing w:before="30" w:after="30"/>
            </w:pPr>
            <w:r>
              <w:rPr>
                <w:rFonts w:ascii="DM Sans" w:hAnsi="DM Sans" w:cs="DM Sans"/>
                <w:b w:val="0"/>
                <w:i w:val="0"/>
                <w:color w:val="050C2A"/>
                <w:sz w:val="20"/>
                <w:u w:val="none"/>
              </w:rPr>
              <w:t>The deliverable is clear, well-organized, and cohesive — it reads as a unified package despite being produced by a team. Presentation is appropriately calibrated for the employer audience. Formatting enhances usability. The deliverable is polished enough to share with external stakeholders without reservation.</w:t>
            </w:r>
          </w:p>
        </w:tc>
      </w:tr>
      <w:tr>
        <w:tc>
          <w:tcPr>
            <w:tcW w:type="dxa" w:w="1966"/>
            <w:shd w:fill="F5F5F5" w:val="clear"/>
            <w:vAlign w:val="center"/>
          </w:tcPr>
          <w:p>
            <w:pPr>
              <w:spacing w:before="30" w:after="30"/>
            </w:pPr>
            <w:r>
              <w:rPr>
                <w:rFonts w:ascii="DM Sans" w:hAnsi="DM Sans" w:cs="DM Sans"/>
                <w:b/>
                <w:i w:val="0"/>
                <w:color w:val="050C2A"/>
                <w:sz w:val="20"/>
                <w:u w:val="none"/>
              </w:rPr>
              <w:t>Proficient (3)</w:t>
            </w:r>
          </w:p>
        </w:tc>
        <w:tc>
          <w:tcPr>
            <w:tcW w:type="dxa" w:w="7394"/>
            <w:shd w:fill="F5F5F5" w:val="clear"/>
            <w:vAlign w:val="center"/>
          </w:tcPr>
          <w:p>
            <w:pPr>
              <w:spacing w:before="30" w:after="30"/>
            </w:pPr>
            <w:r>
              <w:rPr>
                <w:rFonts w:ascii="DM Sans" w:hAnsi="DM Sans" w:cs="DM Sans"/>
                <w:b w:val="0"/>
                <w:i w:val="0"/>
                <w:color w:val="050C2A"/>
                <w:sz w:val="20"/>
                <w:u w:val="none"/>
              </w:rPr>
              <w:t>The deliverable is organized, understandable, and appropriate for the employer audience. Information is easy to find and follow. Formatting and presentation support readability. Minor errors or inconsistencies do not impede understanding.</w:t>
            </w:r>
          </w:p>
        </w:tc>
      </w:tr>
      <w:tr>
        <w:tc>
          <w:tcPr>
            <w:tcW w:type="dxa" w:w="1966"/>
            <w:vAlign w:val="center"/>
          </w:tcPr>
          <w:p>
            <w:pPr>
              <w:spacing w:before="30" w:after="30"/>
            </w:pPr>
            <w:r>
              <w:rPr>
                <w:rFonts w:ascii="DM Sans" w:hAnsi="DM Sans" w:cs="DM Sans"/>
                <w:b/>
                <w:i w:val="0"/>
                <w:color w:val="050C2A"/>
                <w:sz w:val="20"/>
                <w:u w:val="none"/>
              </w:rPr>
              <w:t>Developing (2)</w:t>
            </w:r>
          </w:p>
        </w:tc>
        <w:tc>
          <w:tcPr>
            <w:tcW w:type="dxa" w:w="7394"/>
            <w:vAlign w:val="center"/>
          </w:tcPr>
          <w:p>
            <w:pPr>
              <w:spacing w:before="30" w:after="30"/>
            </w:pPr>
            <w:r>
              <w:rPr>
                <w:rFonts w:ascii="DM Sans" w:hAnsi="DM Sans" w:cs="DM Sans"/>
                <w:b w:val="0"/>
                <w:i w:val="0"/>
                <w:color w:val="050C2A"/>
                <w:sz w:val="20"/>
                <w:u w:val="none"/>
              </w:rPr>
              <w:t>Organization is uneven or parts of the deliverable lack clarity. Components may feel disconnected — produced separately and not fully integrated. Tone or level of detail may be inconsistent across sections. Formatting inconsistencies are noticeable.</w:t>
            </w:r>
          </w:p>
        </w:tc>
      </w:tr>
      <w:tr>
        <w:tc>
          <w:tcPr>
            <w:tcW w:type="dxa" w:w="1966"/>
            <w:shd w:fill="F5F5F5" w:val="clear"/>
            <w:vAlign w:val="center"/>
          </w:tcPr>
          <w:p>
            <w:pPr>
              <w:spacing w:before="30" w:after="30"/>
            </w:pPr>
            <w:r>
              <w:rPr>
                <w:rFonts w:ascii="DM Sans" w:hAnsi="DM Sans" w:cs="DM Sans"/>
                <w:b/>
                <w:i w:val="0"/>
                <w:color w:val="050C2A"/>
                <w:sz w:val="20"/>
                <w:u w:val="none"/>
              </w:rPr>
              <w:t>Emerging (1)</w:t>
            </w:r>
          </w:p>
        </w:tc>
        <w:tc>
          <w:tcPr>
            <w:tcW w:type="dxa" w:w="7394"/>
            <w:shd w:fill="F5F5F5" w:val="clear"/>
            <w:vAlign w:val="center"/>
          </w:tcPr>
          <w:p>
            <w:pPr>
              <w:spacing w:before="30" w:after="30"/>
            </w:pPr>
            <w:r>
              <w:rPr>
                <w:rFonts w:ascii="DM Sans" w:hAnsi="DM Sans" w:cs="DM Sans"/>
                <w:b w:val="0"/>
                <w:i w:val="0"/>
                <w:color w:val="050C2A"/>
                <w:sz w:val="20"/>
                <w:u w:val="none"/>
              </w:rPr>
              <w:t>The deliverable is difficult to navigate or understand. Organization is unclear. Errors or unclear presentation impede understanding. The deliverable would not be appropriate to share with a professional audience.</w:t>
            </w:r>
          </w:p>
        </w:tc>
      </w:tr>
      <w:tr>
        <w:tc>
          <w:tcPr>
            <w:tcW w:type="dxa" w:w="1966"/>
            <w:vAlign w:val="center"/>
          </w:tcPr>
          <w:p>
            <w:pPr>
              <w:spacing w:before="30" w:after="30"/>
            </w:pPr>
            <w:r>
              <w:rPr>
                <w:rFonts w:ascii="DM Sans" w:hAnsi="DM Sans" w:cs="DM Sans"/>
                <w:b/>
                <w:i w:val="0"/>
                <w:color w:val="050C2A"/>
                <w:sz w:val="20"/>
                <w:u w:val="none"/>
              </w:rPr>
              <w:t>Not Acceptable (0)</w:t>
            </w:r>
          </w:p>
        </w:tc>
        <w:tc>
          <w:tcPr>
            <w:tcW w:type="dxa" w:w="7394"/>
            <w:vAlign w:val="center"/>
          </w:tcPr>
          <w:p>
            <w:pPr>
              <w:spacing w:before="30" w:after="30"/>
            </w:pPr>
            <w:r>
              <w:rPr>
                <w:rFonts w:ascii="DM Sans" w:hAnsi="DM Sans" w:cs="DM Sans"/>
                <w:b w:val="0"/>
                <w:i w:val="0"/>
                <w:color w:val="050C2A"/>
                <w:sz w:val="20"/>
                <w:u w:val="none"/>
              </w:rPr>
              <w:t>The deliverable is incomplete or unusable.</w:t>
            </w:r>
          </w:p>
        </w:tc>
      </w:tr>
    </w:tbl>
    <w:p>
      <w:pPr>
        <w:spacing w:before="0" w:after="120"/>
      </w:pPr>
    </w:p>
    <w:p>
      <w:pPr>
        <w:spacing w:before="0" w:after="120" w:line="276" w:lineRule="auto"/>
      </w:pPr>
      <w:r>
        <w:rPr>
          <w:rFonts w:ascii="DM Sans" w:hAnsi="DM Sans" w:cs="DM Sans"/>
          <w:b/>
          <w:i w:val="0"/>
          <w:color w:val="050C2A"/>
          <w:sz w:val="20"/>
          <w:u w:val="none"/>
        </w:rPr>
        <w:t>Boundary principle:</w:t>
      </w:r>
      <w:r>
        <w:rPr>
          <w:rFonts w:ascii="DM Sans" w:hAnsi="DM Sans" w:cs="DM Sans"/>
          <w:b w:val="0"/>
          <w:i w:val="0"/>
          <w:color w:val="050C2A"/>
          <w:sz w:val="20"/>
          <w:u w:val="none"/>
        </w:rPr>
        <w:t xml:space="preserve"> Communication is silent on whether the right components were produced (Deliverable Quality), the soundness of the analysis (Analytical Rigor), the practical usefulness of the work (Actionability), and whether feedback was addressed (Responsiveness to Feedback). It asks only: is the deliverable clear, well-organized, and appropriate for its audience?</w:t>
      </w:r>
    </w:p>
    <w:p>
      <w:pPr>
        <w:spacing w:before="280" w:after="100"/>
      </w:pPr>
      <w:r>
        <w:rPr>
          <w:rFonts w:ascii="DM Sans" w:hAnsi="DM Sans" w:cs="DM Sans"/>
          <w:b/>
          <w:i w:val="0"/>
          <w:color w:val="050C2A"/>
          <w:sz w:val="28"/>
          <w:u w:val="none"/>
        </w:rPr>
        <w:t>Dimension 5: Responsiveness to Feedback</w:t>
      </w:r>
    </w:p>
    <w:p>
      <w:pPr>
        <w:spacing w:before="0" w:after="120" w:line="276" w:lineRule="auto"/>
      </w:pPr>
      <w:r>
        <w:rPr>
          <w:rFonts w:ascii="DM Sans" w:hAnsi="DM Sans" w:cs="DM Sans"/>
          <w:b w:val="0"/>
          <w:i/>
          <w:color w:val="050C2A"/>
          <w:sz w:val="20"/>
          <w:u w:val="none"/>
        </w:rPr>
        <w:t>Professionalism → Feedback Reception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documented iteration based on input received</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069"/>
            <w:shd w:fill="FF7C0A" w:val="clear"/>
            <w:vAlign w:val="center"/>
          </w:tcPr>
          <w:p>
            <w:pPr>
              <w:jc w:val="left"/>
              <w:spacing w:before="40" w:after="40"/>
            </w:pPr>
            <w:r>
              <w:rPr>
                <w:rFonts w:ascii="DM Sans" w:hAnsi="DM Sans" w:cs="DM Sans"/>
                <w:b/>
                <w:i w:val="0"/>
                <w:color w:val="FFFFFF"/>
                <w:sz w:val="20"/>
                <w:u w:val="none"/>
              </w:rPr>
              <w:t>Level</w:t>
            </w:r>
          </w:p>
        </w:tc>
        <w:tc>
          <w:tcPr>
            <w:tcW w:type="dxa" w:w="729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069"/>
            <w:vAlign w:val="center"/>
          </w:tcPr>
          <w:p>
            <w:pPr>
              <w:spacing w:before="30" w:after="30"/>
            </w:pPr>
            <w:r>
              <w:rPr>
                <w:rFonts w:ascii="DM Sans" w:hAnsi="DM Sans" w:cs="DM Sans"/>
                <w:b/>
                <w:i w:val="0"/>
                <w:color w:val="050C2A"/>
                <w:sz w:val="20"/>
                <w:u w:val="none"/>
              </w:rPr>
              <w:t>Exemplary (4)</w:t>
            </w:r>
          </w:p>
        </w:tc>
        <w:tc>
          <w:tcPr>
            <w:tcW w:type="dxa" w:w="7291"/>
            <w:vAlign w:val="center"/>
          </w:tcPr>
          <w:p>
            <w:pPr>
              <w:spacing w:before="30" w:after="30"/>
            </w:pPr>
            <w:r>
              <w:rPr>
                <w:rFonts w:ascii="DM Sans" w:hAnsi="DM Sans" w:cs="DM Sans"/>
                <w:b w:val="0"/>
                <w:i w:val="0"/>
                <w:color w:val="050C2A"/>
                <w:sz w:val="20"/>
                <w:u w:val="none"/>
              </w:rPr>
              <w:t>The Change Log clearly documents feedback received and how it was addressed. Where feedback was not incorporated, the rationale demonstrates genuine consideration rather than dismissal. The final deliverable shows significant and thoughtful evolution from earlier versions.</w:t>
            </w:r>
          </w:p>
        </w:tc>
      </w:tr>
      <w:tr>
        <w:tc>
          <w:tcPr>
            <w:tcW w:type="dxa" w:w="2069"/>
            <w:shd w:fill="F5F5F5" w:val="clear"/>
            <w:vAlign w:val="center"/>
          </w:tcPr>
          <w:p>
            <w:pPr>
              <w:spacing w:before="30" w:after="30"/>
            </w:pPr>
            <w:r>
              <w:rPr>
                <w:rFonts w:ascii="DM Sans" w:hAnsi="DM Sans" w:cs="DM Sans"/>
                <w:b/>
                <w:i w:val="0"/>
                <w:color w:val="050C2A"/>
                <w:sz w:val="20"/>
                <w:u w:val="none"/>
              </w:rPr>
              <w:t>Proficient (3)</w:t>
            </w:r>
          </w:p>
        </w:tc>
        <w:tc>
          <w:tcPr>
            <w:tcW w:type="dxa" w:w="7291"/>
            <w:shd w:fill="F5F5F5" w:val="clear"/>
            <w:vAlign w:val="center"/>
          </w:tcPr>
          <w:p>
            <w:pPr>
              <w:spacing w:before="30" w:after="30"/>
            </w:pPr>
            <w:r>
              <w:rPr>
                <w:rFonts w:ascii="DM Sans" w:hAnsi="DM Sans" w:cs="DM Sans"/>
                <w:b w:val="0"/>
                <w:i w:val="0"/>
                <w:color w:val="050C2A"/>
                <w:sz w:val="20"/>
                <w:u w:val="none"/>
              </w:rPr>
              <w:t>The Change Log documents key feedback received and how it was addressed. Most substantive input from check-ins and reviews has been incorporated or acknowledged. Improvement from earlier drafts to final version is evident.</w:t>
            </w:r>
          </w:p>
        </w:tc>
      </w:tr>
      <w:tr>
        <w:tc>
          <w:tcPr>
            <w:tcW w:type="dxa" w:w="2069"/>
            <w:vAlign w:val="center"/>
          </w:tcPr>
          <w:p>
            <w:pPr>
              <w:spacing w:before="30" w:after="30"/>
            </w:pPr>
            <w:r>
              <w:rPr>
                <w:rFonts w:ascii="DM Sans" w:hAnsi="DM Sans" w:cs="DM Sans"/>
                <w:b/>
                <w:i w:val="0"/>
                <w:color w:val="050C2A"/>
                <w:sz w:val="20"/>
                <w:u w:val="none"/>
              </w:rPr>
              <w:t>Developing (2)</w:t>
            </w:r>
          </w:p>
        </w:tc>
        <w:tc>
          <w:tcPr>
            <w:tcW w:type="dxa" w:w="7291"/>
            <w:vAlign w:val="center"/>
          </w:tcPr>
          <w:p>
            <w:pPr>
              <w:spacing w:before="30" w:after="30"/>
            </w:pPr>
            <w:r>
              <w:rPr>
                <w:rFonts w:ascii="DM Sans" w:hAnsi="DM Sans" w:cs="DM Sans"/>
                <w:b w:val="0"/>
                <w:i w:val="0"/>
                <w:color w:val="050C2A"/>
                <w:sz w:val="20"/>
                <w:u w:val="none"/>
              </w:rPr>
              <w:t>The Change Log is present but incomplete or superficial. Some feedback appears incorporated but other substantive input is ignored without explanation. Limited improvement from earlier drafts.</w:t>
            </w:r>
          </w:p>
        </w:tc>
      </w:tr>
      <w:tr>
        <w:tc>
          <w:tcPr>
            <w:tcW w:type="dxa" w:w="2069"/>
            <w:shd w:fill="F5F5F5" w:val="clear"/>
            <w:vAlign w:val="center"/>
          </w:tcPr>
          <w:p>
            <w:pPr>
              <w:spacing w:before="30" w:after="30"/>
            </w:pPr>
            <w:r>
              <w:rPr>
                <w:rFonts w:ascii="DM Sans" w:hAnsi="DM Sans" w:cs="DM Sans"/>
                <w:b/>
                <w:i w:val="0"/>
                <w:color w:val="050C2A"/>
                <w:sz w:val="20"/>
                <w:u w:val="none"/>
              </w:rPr>
              <w:t>Emerging (1)</w:t>
            </w:r>
          </w:p>
        </w:tc>
        <w:tc>
          <w:tcPr>
            <w:tcW w:type="dxa" w:w="7291"/>
            <w:shd w:fill="F5F5F5" w:val="clear"/>
            <w:vAlign w:val="center"/>
          </w:tcPr>
          <w:p>
            <w:pPr>
              <w:spacing w:before="30" w:after="30"/>
            </w:pPr>
            <w:r>
              <w:rPr>
                <w:rFonts w:ascii="DM Sans" w:hAnsi="DM Sans" w:cs="DM Sans"/>
                <w:b w:val="0"/>
                <w:i w:val="0"/>
                <w:color w:val="050C2A"/>
                <w:sz w:val="20"/>
                <w:u w:val="none"/>
              </w:rPr>
              <w:t>The Change Log is missing or perfunctory. Little evidence that feedback was meaningfully engaged with. The final deliverable is not substantively different from earlier drafts despite receiving input.</w:t>
            </w:r>
          </w:p>
        </w:tc>
      </w:tr>
      <w:tr>
        <w:tc>
          <w:tcPr>
            <w:tcW w:type="dxa" w:w="2069"/>
            <w:vAlign w:val="center"/>
          </w:tcPr>
          <w:p>
            <w:pPr>
              <w:spacing w:before="30" w:after="30"/>
            </w:pPr>
            <w:r>
              <w:rPr>
                <w:rFonts w:ascii="DM Sans" w:hAnsi="DM Sans" w:cs="DM Sans"/>
                <w:b/>
                <w:i w:val="0"/>
                <w:color w:val="050C2A"/>
                <w:sz w:val="20"/>
                <w:u w:val="none"/>
              </w:rPr>
              <w:t>Not Acceptable (0)</w:t>
            </w:r>
          </w:p>
        </w:tc>
        <w:tc>
          <w:tcPr>
            <w:tcW w:type="dxa" w:w="7291"/>
            <w:vAlign w:val="center"/>
          </w:tcPr>
          <w:p>
            <w:pPr>
              <w:spacing w:before="30" w:after="30"/>
            </w:pPr>
            <w:r>
              <w:rPr>
                <w:rFonts w:ascii="DM Sans" w:hAnsi="DM Sans" w:cs="DM Sans"/>
                <w:b w:val="0"/>
                <w:i w:val="0"/>
                <w:color w:val="050C2A"/>
                <w:sz w:val="20"/>
                <w:u w:val="none"/>
              </w:rPr>
              <w:t>No Change Log submitted and no evidence of iteration.</w:t>
            </w:r>
          </w:p>
        </w:tc>
      </w:tr>
    </w:tbl>
    <w:p>
      <w:pPr>
        <w:spacing w:before="0" w:after="120"/>
      </w:pPr>
    </w:p>
    <w:p>
      <w:pPr>
        <w:spacing w:before="0" w:after="120" w:line="276" w:lineRule="auto"/>
      </w:pPr>
      <w:r>
        <w:rPr>
          <w:rFonts w:ascii="DM Sans" w:hAnsi="DM Sans" w:cs="DM Sans"/>
          <w:b/>
          <w:i w:val="0"/>
          <w:color w:val="050C2A"/>
          <w:sz w:val="20"/>
          <w:u w:val="none"/>
        </w:rPr>
        <w:t>Boundary principle:</w:t>
      </w:r>
      <w:r>
        <w:rPr>
          <w:rFonts w:ascii="DM Sans" w:hAnsi="DM Sans" w:cs="DM Sans"/>
          <w:b w:val="0"/>
          <w:i w:val="0"/>
          <w:color w:val="050C2A"/>
          <w:sz w:val="20"/>
          <w:u w:val="none"/>
        </w:rPr>
        <w:t xml:space="preserve"> Responsiveness to Feedback is silent on the quality of the deliverable itself (Deliverable Quality), the soundness of the analysis (Analytical Rigor), the practical usefulness of the work (Actionability), and how well it's communicated (Communication). It asks only: did the team engage with the feedback they received, as documented in the Change Log?</w:t>
      </w:r>
    </w:p>
    <w:p>
      <w:pPr>
        <w:spacing w:before="0" w:after="120" w:line="276" w:lineRule="auto"/>
      </w:pPr>
      <w:r>
        <w:rPr>
          <w:rFonts w:ascii="DM Sans" w:hAnsi="DM Sans" w:cs="DM Sans"/>
          <w:b/>
          <w:i w:val="0"/>
          <w:color w:val="050C2A"/>
          <w:sz w:val="20"/>
          <w:u w:val="none"/>
        </w:rPr>
        <w:t>Required:</w:t>
      </w:r>
      <w:r>
        <w:rPr>
          <w:rFonts w:ascii="DM Sans" w:hAnsi="DM Sans" w:cs="DM Sans"/>
          <w:b w:val="0"/>
          <w:i w:val="0"/>
          <w:color w:val="050C2A"/>
          <w:sz w:val="20"/>
          <w:u w:val="none"/>
        </w:rPr>
        <w:t xml:space="preserve"> Students must submit a Change Log with their Final Deliverables documenting: (1) key feedback received from employer check-ins and draft reviews, and (2) how they addressed each piece of feedback, or their rationale for taking a different approach. If no Change Log is submitted, this dimension is scored Not Acceptable (0).</w:t>
      </w:r>
    </w:p>
    <w:p>
      <w:pPr>
        <w:spacing w:before="280" w:after="100"/>
      </w:pPr>
      <w:r>
        <w:rPr>
          <w:rFonts w:ascii="DM Sans" w:hAnsi="DM Sans" w:cs="DM Sans"/>
          <w:b/>
          <w:i w:val="0"/>
          <w:color w:val="050C2A"/>
          <w:sz w:val="28"/>
          <w:u w:val="none"/>
        </w:rPr>
        <w:t>Design Principles</w:t>
      </w:r>
    </w:p>
    <w:p>
      <w:pPr>
        <w:spacing w:before="0" w:after="120" w:line="276" w:lineRule="auto"/>
      </w:pPr>
      <w:r>
        <w:rPr>
          <w:rFonts w:ascii="DM Sans" w:hAnsi="DM Sans" w:cs="DM Sans"/>
          <w:b w:val="0"/>
          <w:i w:val="0"/>
          <w:color w:val="050C2A"/>
          <w:sz w:val="20"/>
          <w:u w:val="none"/>
        </w:rPr>
        <w:t>The following principles guided rubric construction and should inform any future refinement.</w:t>
      </w:r>
    </w:p>
    <w:p>
      <w:pPr>
        <w:spacing w:before="0" w:after="120" w:line="276" w:lineRule="auto"/>
      </w:pPr>
      <w:r>
        <w:rPr>
          <w:rFonts w:ascii="DM Sans" w:hAnsi="DM Sans" w:cs="DM Sans"/>
          <w:b/>
          <w:i w:val="0"/>
          <w:color w:val="050C2A"/>
          <w:sz w:val="20"/>
          <w:u w:val="none"/>
        </w:rPr>
        <w:t>Proficient is the anchor.</w:t>
      </w:r>
      <w:r>
        <w:rPr>
          <w:rFonts w:ascii="DM Sans" w:hAnsi="DM Sans" w:cs="DM Sans"/>
          <w:b w:val="0"/>
          <w:i w:val="0"/>
          <w:color w:val="050C2A"/>
          <w:sz w:val="20"/>
          <w:u w:val="none"/>
        </w:rPr>
        <w:t xml:space="preserve"> Every dimension was written Proficient-first. Proficient describes work a reasonable instructor would accept without hesitation but wouldn't single out as exceptional. All other levels calibrate off it.</w:t>
      </w:r>
    </w:p>
    <w:p>
      <w:pPr>
        <w:spacing w:before="0" w:after="120" w:line="276" w:lineRule="auto"/>
      </w:pPr>
      <w:r>
        <w:rPr>
          <w:rFonts w:ascii="DM Sans" w:hAnsi="DM Sans" w:cs="DM Sans"/>
          <w:b/>
          <w:i w:val="0"/>
          <w:color w:val="050C2A"/>
          <w:sz w:val="20"/>
          <w:u w:val="none"/>
        </w:rPr>
        <w:t>Every phrase is observable from the submitted deliverable.</w:t>
      </w:r>
      <w:r>
        <w:rPr>
          <w:rFonts w:ascii="DM Sans" w:hAnsi="DM Sans" w:cs="DM Sans"/>
          <w:b w:val="0"/>
          <w:i w:val="0"/>
          <w:color w:val="050C2A"/>
          <w:sz w:val="20"/>
          <w:u w:val="none"/>
        </w:rPr>
        <w:t xml:space="preserve"> Evaluators do not need to cross-reference other documents (e.g., the project brief or kickoff notes) to apply the rubric. If a descriptor requires comparison to another source, it was reframed around what's visible in the submission itself. The one exception is the Change Log for Responsiveness to Feedback, which is part of the submission.</w:t>
      </w:r>
    </w:p>
    <w:p>
      <w:pPr>
        <w:spacing w:before="0" w:after="120" w:line="276" w:lineRule="auto"/>
      </w:pPr>
      <w:r>
        <w:rPr>
          <w:rFonts w:ascii="DM Sans" w:hAnsi="DM Sans" w:cs="DM Sans"/>
          <w:b/>
          <w:i w:val="0"/>
          <w:color w:val="050C2A"/>
          <w:sz w:val="20"/>
          <w:u w:val="none"/>
        </w:rPr>
        <w:t>Descriptors are tight; the grading guide carries examples.</w:t>
      </w:r>
      <w:r>
        <w:rPr>
          <w:rFonts w:ascii="DM Sans" w:hAnsi="DM Sans" w:cs="DM Sans"/>
          <w:b w:val="0"/>
          <w:i w:val="0"/>
          <w:color w:val="050C2A"/>
          <w:sz w:val="20"/>
          <w:u w:val="none"/>
        </w:rPr>
        <w:t xml:space="preserve"> The rubric is precise but not exhaustive. Concrete illustrations of what descriptors look like in practice belong in the grading guide, not the rubric itself. This keeps the rubric usable for both students and evaluators.</w:t>
      </w:r>
    </w:p>
    <w:p>
      <w:pPr>
        <w:spacing w:before="0" w:after="120" w:line="276" w:lineRule="auto"/>
      </w:pPr>
      <w:r>
        <w:rPr>
          <w:rFonts w:ascii="DM Sans" w:hAnsi="DM Sans" w:cs="DM Sans"/>
          <w:b/>
          <w:i w:val="0"/>
          <w:color w:val="050C2A"/>
          <w:sz w:val="20"/>
          <w:u w:val="none"/>
        </w:rPr>
        <w:t>Dimensions have clean boundaries.</w:t>
      </w:r>
      <w:r>
        <w:rPr>
          <w:rFonts w:ascii="DM Sans" w:hAnsi="DM Sans" w:cs="DM Sans"/>
          <w:b w:val="0"/>
          <w:i w:val="0"/>
          <w:color w:val="050C2A"/>
          <w:sz w:val="20"/>
          <w:u w:val="none"/>
        </w:rPr>
        <w:t xml:space="preserve"> Each dimension assesses one thing and is silent on the others. Deliverable Quality measures completeness, scope, and depth. Analytical Rigor measures whether the thinking is grounded and sound. Actionability measures whether the employer can use it. Communication measures clarity, organization, and professionalism. Responsiveness to Feedback measures documented iteration. No dimension double-counts what another already captures.</w:t>
      </w:r>
    </w:p>
    <w:p>
      <w:pPr>
        <w:spacing w:before="0" w:after="120" w:line="276" w:lineRule="auto"/>
      </w:pPr>
      <w:r>
        <w:rPr>
          <w:rFonts w:ascii="DM Sans" w:hAnsi="DM Sans" w:cs="DM Sans"/>
          <w:b/>
          <w:i w:val="0"/>
          <w:color w:val="050C2A"/>
          <w:sz w:val="20"/>
          <w:u w:val="none"/>
        </w:rPr>
        <w:t>Deliverable-agnostic language.</w:t>
      </w:r>
      <w:r>
        <w:rPr>
          <w:rFonts w:ascii="DM Sans" w:hAnsi="DM Sans" w:cs="DM Sans"/>
          <w:b w:val="0"/>
          <w:i w:val="0"/>
          <w:color w:val="050C2A"/>
          <w:sz w:val="20"/>
          <w:u w:val="none"/>
        </w:rPr>
        <w:t xml:space="preserve"> Descriptors are written to apply across all project types — market research reports, content strategies, process improvement plans, design recommendations, event proposals. No descriptor assumes a specific deliverable format or output type.</w:t>
      </w:r>
    </w:p>
    <w:p>
      <w:pPr>
        <w:spacing w:before="0" w:after="120" w:line="276" w:lineRule="auto"/>
      </w:pPr>
      <w:r>
        <w:rPr>
          <w:rFonts w:ascii="DM Sans" w:hAnsi="DM Sans" w:cs="DM Sans"/>
          <w:b/>
          <w:i w:val="0"/>
          <w:color w:val="050C2A"/>
          <w:sz w:val="20"/>
          <w:u w:val="none"/>
        </w:rPr>
        <w:t>Unequal weights reflect scope and importance.</w:t>
      </w:r>
      <w:r>
        <w:rPr>
          <w:rFonts w:ascii="DM Sans" w:hAnsi="DM Sans" w:cs="DM Sans"/>
          <w:b w:val="0"/>
          <w:i w:val="0"/>
          <w:color w:val="050C2A"/>
          <w:sz w:val="20"/>
          <w:u w:val="none"/>
        </w:rPr>
        <w:t xml:space="preserve"> Unlike the Context Analysis rubric (which uses equal weights), the Final Deliverables rubric uses unequal weights because the dimensions genuinely differ in scope. The three core dimensions (Deliverable Quality, Analytical Rigor, Actionability) carry equal weight at 25% each. Communication and Responsiveness to Feedback are weighted lower to reflect their narrower scope, not lesser importance.</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