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Final Presentation — Assignment &amp; Rubric</w:t>
      </w:r>
    </w:p>
    <w:p>
      <w:pPr>
        <w:pBdr>
          <w:bottom w:val="single" w:sz="6" w:space="1" w:color="ACACAC"/>
        </w:pBdr>
        <w:spacing w:before="120" w:after="120"/>
      </w:pPr>
    </w:p>
    <w:p>
      <w:pPr>
        <w:spacing w:before="280" w:after="100"/>
      </w:pPr>
      <w:r>
        <w:rPr>
          <w:rFonts w:ascii="DM Sans" w:hAnsi="DM Sans" w:cs="DM Sans"/>
          <w:b/>
          <w:i w:val="0"/>
          <w:color w:val="050C2A"/>
          <w:sz w:val="28"/>
          <w:u w:val="none"/>
        </w:rPr>
        <w:t>The Assignment</w:t>
      </w:r>
    </w:p>
    <w:p>
      <w:pPr>
        <w:spacing w:before="0" w:after="120" w:line="276" w:lineRule="auto"/>
      </w:pPr>
      <w:r>
        <w:rPr>
          <w:rFonts w:ascii="DM Sans" w:hAnsi="DM Sans" w:cs="DM Sans"/>
          <w:b w:val="0"/>
          <w:i w:val="0"/>
          <w:color w:val="050C2A"/>
          <w:sz w:val="20"/>
          <w:u w:val="none"/>
        </w:rPr>
        <w:t>The Final Presentation is the capstone event of the course, worth 15% of the final grade. This is the team's opportunity to present their completed work to the employer partner and course supervisor in a live, professional setting — telling the story of what they did, what they found, and why it matters.</w:t>
      </w:r>
    </w:p>
    <w:p>
      <w:pPr>
        <w:spacing w:before="240" w:after="80"/>
      </w:pPr>
      <w:r>
        <w:rPr>
          <w:rFonts w:ascii="DM Sans" w:hAnsi="DM Sans" w:cs="DM Sans"/>
          <w:b/>
          <w:i w:val="0"/>
          <w:color w:val="050C2A"/>
          <w:sz w:val="24"/>
          <w:u w:val="none"/>
        </w:rPr>
        <w:t>Format</w:t>
      </w:r>
    </w:p>
    <w:p>
      <w:pPr>
        <w:spacing w:before="0" w:after="120" w:line="276" w:lineRule="auto"/>
      </w:pPr>
      <w:r>
        <w:rPr>
          <w:rFonts w:ascii="DM Sans" w:hAnsi="DM Sans" w:cs="DM Sans"/>
          <w:b w:val="0"/>
          <w:i w:val="0"/>
          <w:color w:val="050C2A"/>
          <w:sz w:val="20"/>
          <w:u w:val="none"/>
        </w:rPr>
        <w:t>A 60-minute session: presentation (20–30 minutes) followed by Q&amp;A (approximately 15 minutes) and employer feedback. All team members participate. Slides are submitted in advance; the presentation itself is live.</w:t>
      </w:r>
    </w:p>
    <w:p>
      <w:pPr>
        <w:spacing w:before="240" w:after="80"/>
      </w:pPr>
      <w:r>
        <w:rPr>
          <w:rFonts w:ascii="DM Sans" w:hAnsi="DM Sans" w:cs="DM Sans"/>
          <w:b/>
          <w:i w:val="0"/>
          <w:color w:val="050C2A"/>
          <w:sz w:val="24"/>
          <w:u w:val="none"/>
        </w:rPr>
        <w:t>What the Rubric Assesses</w:t>
      </w:r>
    </w:p>
    <w:p>
      <w:pPr>
        <w:spacing w:before="0" w:after="120" w:line="276" w:lineRule="auto"/>
      </w:pPr>
      <w:r>
        <w:rPr>
          <w:rFonts w:ascii="DM Sans" w:hAnsi="DM Sans" w:cs="DM Sans"/>
          <w:b w:val="0"/>
          <w:i w:val="0"/>
          <w:color w:val="050C2A"/>
          <w:sz w:val="20"/>
          <w:u w:val="none"/>
        </w:rPr>
        <w:t>The presentation rubric assesses the team's ability to synthesize and communicate their work to a professional audience in real time. It does not re-assess the quality of the underlying deliverable, which is already graded at 30% through the Final Deliverables rubric. A team could have strong deliverables but a weak presentation, or vice versa — this rubric captures the presentation.</w:t>
      </w:r>
    </w:p>
    <w:p>
      <w:pPr>
        <w:spacing w:before="280" w:after="100"/>
      </w:pPr>
      <w:r>
        <w:rPr>
          <w:rFonts w:ascii="DM Sans" w:hAnsi="DM Sans" w:cs="DM Sans"/>
          <w:b/>
          <w:i w:val="0"/>
          <w:color w:val="050C2A"/>
          <w:sz w:val="28"/>
          <w:u w:val="none"/>
        </w:rPr>
        <w:t>Rubric Design</w:t>
      </w:r>
    </w:p>
    <w:p>
      <w:pPr>
        <w:spacing w:before="240" w:after="80"/>
      </w:pPr>
      <w:r>
        <w:rPr>
          <w:rFonts w:ascii="DM Sans" w:hAnsi="DM Sans" w:cs="DM Sans"/>
          <w:b/>
          <w:i w:val="0"/>
          <w:color w:val="050C2A"/>
          <w:sz w:val="24"/>
          <w:u w:val="none"/>
        </w:rPr>
        <w:t>Scale</w:t>
      </w:r>
    </w:p>
    <w:p>
      <w:pPr>
        <w:spacing w:before="0" w:after="120" w:line="276" w:lineRule="auto"/>
      </w:pPr>
      <w:r>
        <w:rPr>
          <w:rFonts w:ascii="DM Sans" w:hAnsi="DM Sans" w:cs="DM Sans"/>
          <w:b w:val="0"/>
          <w:i w:val="0"/>
          <w:color w:val="050C2A"/>
          <w:sz w:val="20"/>
          <w:u w:val="none"/>
        </w:rPr>
        <w:t>All course rubrics use the same 5-point scale, enabling competency-level reporting and cross-rubric comparability.</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1592"/>
            <w:shd w:fill="FF7C0A" w:val="clear"/>
            <w:vAlign w:val="center"/>
          </w:tcPr>
          <w:p>
            <w:pPr>
              <w:jc w:val="left"/>
              <w:spacing w:before="40" w:after="40"/>
            </w:pPr>
            <w:r>
              <w:rPr>
                <w:rFonts w:ascii="DM Sans" w:hAnsi="DM Sans" w:cs="DM Sans"/>
                <w:b/>
                <w:i w:val="0"/>
                <w:color w:val="FFFFFF"/>
                <w:sz w:val="20"/>
                <w:u w:val="none"/>
              </w:rPr>
              <w:t>Level</w:t>
            </w:r>
          </w:p>
        </w:tc>
        <w:tc>
          <w:tcPr>
            <w:tcW w:type="dxa" w:w="2665"/>
            <w:shd w:fill="FF7C0A" w:val="clear"/>
            <w:vAlign w:val="center"/>
          </w:tcPr>
          <w:p>
            <w:pPr>
              <w:jc w:val="left"/>
              <w:spacing w:before="40" w:after="40"/>
            </w:pPr>
            <w:r>
              <w:rPr>
                <w:rFonts w:ascii="DM Sans" w:hAnsi="DM Sans" w:cs="DM Sans"/>
                <w:b/>
                <w:i w:val="0"/>
                <w:color w:val="FFFFFF"/>
                <w:sz w:val="20"/>
                <w:u w:val="none"/>
              </w:rPr>
              <w:t>Label</w:t>
            </w:r>
          </w:p>
        </w:tc>
        <w:tc>
          <w:tcPr>
            <w:tcW w:type="dxa" w:w="2252"/>
            <w:shd w:fill="FF7C0A" w:val="clear"/>
            <w:vAlign w:val="center"/>
          </w:tcPr>
          <w:p>
            <w:pPr>
              <w:jc w:val="left"/>
              <w:spacing w:before="40" w:after="40"/>
            </w:pPr>
            <w:r>
              <w:rPr>
                <w:rFonts w:ascii="DM Sans" w:hAnsi="DM Sans" w:cs="DM Sans"/>
                <w:b/>
                <w:i w:val="0"/>
                <w:color w:val="FFFFFF"/>
                <w:sz w:val="20"/>
                <w:u w:val="none"/>
              </w:rPr>
              <w:t>Percentage</w:t>
            </w:r>
          </w:p>
        </w:tc>
        <w:tc>
          <w:tcPr>
            <w:tcW w:type="dxa" w:w="2851"/>
            <w:shd w:fill="FF7C0A" w:val="clear"/>
            <w:vAlign w:val="center"/>
          </w:tcPr>
          <w:p>
            <w:pPr>
              <w:jc w:val="left"/>
              <w:spacing w:before="40" w:after="40"/>
            </w:pPr>
            <w:r>
              <w:rPr>
                <w:rFonts w:ascii="DM Sans" w:hAnsi="DM Sans" w:cs="DM Sans"/>
                <w:b/>
                <w:i w:val="0"/>
                <w:color w:val="FFFFFF"/>
                <w:sz w:val="20"/>
                <w:u w:val="none"/>
              </w:rPr>
              <w:t>Grade Equivalent</w:t>
            </w:r>
          </w:p>
        </w:tc>
      </w:tr>
      <w:tr>
        <w:tc>
          <w:tcPr>
            <w:tcW w:type="dxa" w:w="1592"/>
            <w:vAlign w:val="center"/>
          </w:tcPr>
          <w:p>
            <w:pPr>
              <w:spacing w:before="30" w:after="30"/>
            </w:pPr>
            <w:r>
              <w:rPr>
                <w:rFonts w:ascii="DM Sans" w:hAnsi="DM Sans" w:cs="DM Sans"/>
                <w:b w:val="0"/>
                <w:i w:val="0"/>
                <w:color w:val="050C2A"/>
                <w:sz w:val="20"/>
                <w:u w:val="none"/>
              </w:rPr>
              <w:t>4</w:t>
            </w:r>
          </w:p>
        </w:tc>
        <w:tc>
          <w:tcPr>
            <w:tcW w:type="dxa" w:w="2665"/>
            <w:vAlign w:val="center"/>
          </w:tcPr>
          <w:p>
            <w:pPr>
              <w:spacing w:before="30" w:after="30"/>
            </w:pPr>
            <w:r>
              <w:rPr>
                <w:rFonts w:ascii="DM Sans" w:hAnsi="DM Sans" w:cs="DM Sans"/>
                <w:b w:val="0"/>
                <w:i w:val="0"/>
                <w:color w:val="050C2A"/>
                <w:sz w:val="20"/>
                <w:u w:val="none"/>
              </w:rPr>
              <w:t>Exemplary</w:t>
            </w:r>
          </w:p>
        </w:tc>
        <w:tc>
          <w:tcPr>
            <w:tcW w:type="dxa" w:w="2252"/>
            <w:vAlign w:val="center"/>
          </w:tcPr>
          <w:p>
            <w:pPr>
              <w:spacing w:before="30" w:after="30"/>
            </w:pPr>
            <w:r>
              <w:rPr>
                <w:rFonts w:ascii="DM Sans" w:hAnsi="DM Sans" w:cs="DM Sans"/>
                <w:b w:val="0"/>
                <w:i w:val="0"/>
                <w:color w:val="050C2A"/>
                <w:sz w:val="20"/>
                <w:u w:val="none"/>
              </w:rPr>
              <w:t>95%</w:t>
            </w:r>
          </w:p>
        </w:tc>
        <w:tc>
          <w:tcPr>
            <w:tcW w:type="dxa" w:w="2851"/>
            <w:vAlign w:val="center"/>
          </w:tcPr>
          <w:p>
            <w:pPr>
              <w:spacing w:before="30" w:after="30"/>
            </w:pPr>
            <w:r>
              <w:rPr>
                <w:rFonts w:ascii="DM Sans" w:hAnsi="DM Sans" w:cs="DM Sans"/>
                <w:b w:val="0"/>
                <w:i w:val="0"/>
                <w:color w:val="050C2A"/>
                <w:sz w:val="20"/>
                <w:u w:val="none"/>
              </w:rPr>
              <w:t>A</w:t>
            </w:r>
          </w:p>
        </w:tc>
      </w:tr>
      <w:tr>
        <w:tc>
          <w:tcPr>
            <w:tcW w:type="dxa" w:w="1592"/>
            <w:shd w:fill="F5F5F5" w:val="clear"/>
            <w:vAlign w:val="center"/>
          </w:tcPr>
          <w:p>
            <w:pPr>
              <w:spacing w:before="30" w:after="30"/>
            </w:pPr>
            <w:r>
              <w:rPr>
                <w:rFonts w:ascii="DM Sans" w:hAnsi="DM Sans" w:cs="DM Sans"/>
                <w:b w:val="0"/>
                <w:i w:val="0"/>
                <w:color w:val="050C2A"/>
                <w:sz w:val="20"/>
                <w:u w:val="none"/>
              </w:rPr>
              <w:t>3</w:t>
            </w:r>
          </w:p>
        </w:tc>
        <w:tc>
          <w:tcPr>
            <w:tcW w:type="dxa" w:w="2665"/>
            <w:shd w:fill="F5F5F5" w:val="clear"/>
            <w:vAlign w:val="center"/>
          </w:tcPr>
          <w:p>
            <w:pPr>
              <w:spacing w:before="30" w:after="30"/>
            </w:pPr>
            <w:r>
              <w:rPr>
                <w:rFonts w:ascii="DM Sans" w:hAnsi="DM Sans" w:cs="DM Sans"/>
                <w:b w:val="0"/>
                <w:i w:val="0"/>
                <w:color w:val="050C2A"/>
                <w:sz w:val="20"/>
                <w:u w:val="none"/>
              </w:rPr>
              <w:t>Proficient</w:t>
            </w:r>
          </w:p>
        </w:tc>
        <w:tc>
          <w:tcPr>
            <w:tcW w:type="dxa" w:w="2252"/>
            <w:shd w:fill="F5F5F5" w:val="clear"/>
            <w:vAlign w:val="center"/>
          </w:tcPr>
          <w:p>
            <w:pPr>
              <w:spacing w:before="30" w:after="30"/>
            </w:pPr>
            <w:r>
              <w:rPr>
                <w:rFonts w:ascii="DM Sans" w:hAnsi="DM Sans" w:cs="DM Sans"/>
                <w:b w:val="0"/>
                <w:i w:val="0"/>
                <w:color w:val="050C2A"/>
                <w:sz w:val="20"/>
                <w:u w:val="none"/>
              </w:rPr>
              <w:t>85%</w:t>
            </w:r>
          </w:p>
        </w:tc>
        <w:tc>
          <w:tcPr>
            <w:tcW w:type="dxa" w:w="2851"/>
            <w:shd w:fill="F5F5F5" w:val="clear"/>
            <w:vAlign w:val="center"/>
          </w:tcPr>
          <w:p>
            <w:pPr>
              <w:spacing w:before="30" w:after="30"/>
            </w:pPr>
            <w:r>
              <w:rPr>
                <w:rFonts w:ascii="DM Sans" w:hAnsi="DM Sans" w:cs="DM Sans"/>
                <w:b w:val="0"/>
                <w:i w:val="0"/>
                <w:color w:val="050C2A"/>
                <w:sz w:val="20"/>
                <w:u w:val="none"/>
              </w:rPr>
              <w:t>B</w:t>
            </w:r>
          </w:p>
        </w:tc>
      </w:tr>
      <w:tr>
        <w:tc>
          <w:tcPr>
            <w:tcW w:type="dxa" w:w="1592"/>
            <w:vAlign w:val="center"/>
          </w:tcPr>
          <w:p>
            <w:pPr>
              <w:spacing w:before="30" w:after="30"/>
            </w:pPr>
            <w:r>
              <w:rPr>
                <w:rFonts w:ascii="DM Sans" w:hAnsi="DM Sans" w:cs="DM Sans"/>
                <w:b w:val="0"/>
                <w:i w:val="0"/>
                <w:color w:val="050C2A"/>
                <w:sz w:val="20"/>
                <w:u w:val="none"/>
              </w:rPr>
              <w:t>2</w:t>
            </w:r>
          </w:p>
        </w:tc>
        <w:tc>
          <w:tcPr>
            <w:tcW w:type="dxa" w:w="2665"/>
            <w:vAlign w:val="center"/>
          </w:tcPr>
          <w:p>
            <w:pPr>
              <w:spacing w:before="30" w:after="30"/>
            </w:pPr>
            <w:r>
              <w:rPr>
                <w:rFonts w:ascii="DM Sans" w:hAnsi="DM Sans" w:cs="DM Sans"/>
                <w:b w:val="0"/>
                <w:i w:val="0"/>
                <w:color w:val="050C2A"/>
                <w:sz w:val="20"/>
                <w:u w:val="none"/>
              </w:rPr>
              <w:t>Developing</w:t>
            </w:r>
          </w:p>
        </w:tc>
        <w:tc>
          <w:tcPr>
            <w:tcW w:type="dxa" w:w="2252"/>
            <w:vAlign w:val="center"/>
          </w:tcPr>
          <w:p>
            <w:pPr>
              <w:spacing w:before="30" w:after="30"/>
            </w:pPr>
            <w:r>
              <w:rPr>
                <w:rFonts w:ascii="DM Sans" w:hAnsi="DM Sans" w:cs="DM Sans"/>
                <w:b w:val="0"/>
                <w:i w:val="0"/>
                <w:color w:val="050C2A"/>
                <w:sz w:val="20"/>
                <w:u w:val="none"/>
              </w:rPr>
              <w:t>75%</w:t>
            </w:r>
          </w:p>
        </w:tc>
        <w:tc>
          <w:tcPr>
            <w:tcW w:type="dxa" w:w="2851"/>
            <w:vAlign w:val="center"/>
          </w:tcPr>
          <w:p>
            <w:pPr>
              <w:spacing w:before="30" w:after="30"/>
            </w:pPr>
            <w:r>
              <w:rPr>
                <w:rFonts w:ascii="DM Sans" w:hAnsi="DM Sans" w:cs="DM Sans"/>
                <w:b w:val="0"/>
                <w:i w:val="0"/>
                <w:color w:val="050C2A"/>
                <w:sz w:val="20"/>
                <w:u w:val="none"/>
              </w:rPr>
              <w:t>C</w:t>
            </w:r>
          </w:p>
        </w:tc>
      </w:tr>
      <w:tr>
        <w:tc>
          <w:tcPr>
            <w:tcW w:type="dxa" w:w="1592"/>
            <w:shd w:fill="F5F5F5" w:val="clear"/>
            <w:vAlign w:val="center"/>
          </w:tcPr>
          <w:p>
            <w:pPr>
              <w:spacing w:before="30" w:after="30"/>
            </w:pPr>
            <w:r>
              <w:rPr>
                <w:rFonts w:ascii="DM Sans" w:hAnsi="DM Sans" w:cs="DM Sans"/>
                <w:b w:val="0"/>
                <w:i w:val="0"/>
                <w:color w:val="050C2A"/>
                <w:sz w:val="20"/>
                <w:u w:val="none"/>
              </w:rPr>
              <w:t>1</w:t>
            </w:r>
          </w:p>
        </w:tc>
        <w:tc>
          <w:tcPr>
            <w:tcW w:type="dxa" w:w="2665"/>
            <w:shd w:fill="F5F5F5" w:val="clear"/>
            <w:vAlign w:val="center"/>
          </w:tcPr>
          <w:p>
            <w:pPr>
              <w:spacing w:before="30" w:after="30"/>
            </w:pPr>
            <w:r>
              <w:rPr>
                <w:rFonts w:ascii="DM Sans" w:hAnsi="DM Sans" w:cs="DM Sans"/>
                <w:b w:val="0"/>
                <w:i w:val="0"/>
                <w:color w:val="050C2A"/>
                <w:sz w:val="20"/>
                <w:u w:val="none"/>
              </w:rPr>
              <w:t>Emerging</w:t>
            </w:r>
          </w:p>
        </w:tc>
        <w:tc>
          <w:tcPr>
            <w:tcW w:type="dxa" w:w="2252"/>
            <w:shd w:fill="F5F5F5" w:val="clear"/>
            <w:vAlign w:val="center"/>
          </w:tcPr>
          <w:p>
            <w:pPr>
              <w:spacing w:before="30" w:after="30"/>
            </w:pPr>
            <w:r>
              <w:rPr>
                <w:rFonts w:ascii="DM Sans" w:hAnsi="DM Sans" w:cs="DM Sans"/>
                <w:b w:val="0"/>
                <w:i w:val="0"/>
                <w:color w:val="050C2A"/>
                <w:sz w:val="20"/>
                <w:u w:val="none"/>
              </w:rPr>
              <w:t>65%</w:t>
            </w:r>
          </w:p>
        </w:tc>
        <w:tc>
          <w:tcPr>
            <w:tcW w:type="dxa" w:w="2851"/>
            <w:shd w:fill="F5F5F5" w:val="clear"/>
            <w:vAlign w:val="center"/>
          </w:tcPr>
          <w:p>
            <w:pPr>
              <w:spacing w:before="30" w:after="30"/>
            </w:pPr>
            <w:r>
              <w:rPr>
                <w:rFonts w:ascii="DM Sans" w:hAnsi="DM Sans" w:cs="DM Sans"/>
                <w:b w:val="0"/>
                <w:i w:val="0"/>
                <w:color w:val="050C2A"/>
                <w:sz w:val="20"/>
                <w:u w:val="none"/>
              </w:rPr>
              <w:t>D</w:t>
            </w:r>
          </w:p>
        </w:tc>
      </w:tr>
      <w:tr>
        <w:tc>
          <w:tcPr>
            <w:tcW w:type="dxa" w:w="1592"/>
            <w:vAlign w:val="center"/>
          </w:tcPr>
          <w:p>
            <w:pPr>
              <w:spacing w:before="30" w:after="30"/>
            </w:pPr>
            <w:r>
              <w:rPr>
                <w:rFonts w:ascii="DM Sans" w:hAnsi="DM Sans" w:cs="DM Sans"/>
                <w:b w:val="0"/>
                <w:i w:val="0"/>
                <w:color w:val="050C2A"/>
                <w:sz w:val="20"/>
                <w:u w:val="none"/>
              </w:rPr>
              <w:t>0</w:t>
            </w:r>
          </w:p>
        </w:tc>
        <w:tc>
          <w:tcPr>
            <w:tcW w:type="dxa" w:w="2665"/>
            <w:vAlign w:val="center"/>
          </w:tcPr>
          <w:p>
            <w:pPr>
              <w:spacing w:before="30" w:after="30"/>
            </w:pPr>
            <w:r>
              <w:rPr>
                <w:rFonts w:ascii="DM Sans" w:hAnsi="DM Sans" w:cs="DM Sans"/>
                <w:b w:val="0"/>
                <w:i w:val="0"/>
                <w:color w:val="050C2A"/>
                <w:sz w:val="20"/>
                <w:u w:val="none"/>
              </w:rPr>
              <w:t>Not Acceptable</w:t>
            </w:r>
          </w:p>
        </w:tc>
        <w:tc>
          <w:tcPr>
            <w:tcW w:type="dxa" w:w="2252"/>
            <w:vAlign w:val="center"/>
          </w:tcPr>
          <w:p>
            <w:pPr>
              <w:spacing w:before="30" w:after="30"/>
            </w:pPr>
            <w:r>
              <w:rPr>
                <w:rFonts w:ascii="DM Sans" w:hAnsi="DM Sans" w:cs="DM Sans"/>
                <w:b w:val="0"/>
                <w:i w:val="0"/>
                <w:color w:val="050C2A"/>
                <w:sz w:val="20"/>
                <w:u w:val="none"/>
              </w:rPr>
              <w:t>0%</w:t>
            </w:r>
          </w:p>
        </w:tc>
        <w:tc>
          <w:tcPr>
            <w:tcW w:type="dxa" w:w="2851"/>
            <w:vAlign w:val="center"/>
          </w:tcPr>
          <w:p>
            <w:pPr>
              <w:spacing w:before="30" w:after="30"/>
            </w:pPr>
            <w:r>
              <w:rPr>
                <w:rFonts w:ascii="DM Sans" w:hAnsi="DM Sans" w:cs="DM Sans"/>
                <w:b w:val="0"/>
                <w:i w:val="0"/>
                <w:color w:val="050C2A"/>
                <w:sz w:val="20"/>
                <w:u w:val="none"/>
              </w:rPr>
              <w:t>F</w:t>
            </w:r>
          </w:p>
        </w:tc>
      </w:tr>
    </w:tbl>
    <w:p>
      <w:pPr>
        <w:spacing w:before="0" w:after="120"/>
      </w:pPr>
    </w:p>
    <w:p>
      <w:pPr>
        <w:spacing w:before="0" w:after="120" w:line="276" w:lineRule="auto"/>
      </w:pPr>
      <w:r>
        <w:rPr>
          <w:rFonts w:ascii="DM Sans" w:hAnsi="DM Sans" w:cs="DM Sans"/>
          <w:b w:val="0"/>
          <w:i w:val="0"/>
          <w:color w:val="050C2A"/>
          <w:sz w:val="20"/>
          <w:u w:val="none"/>
        </w:rPr>
        <w:t>The 0 anchor captures a presentation that makes no real attempt on a given dimension, which is distinct from a struggling presentation. The 65% floor for Emerging prevents the mathematical penalty of a zero from disproportionately punishing teams that present genuine but weak work.</w:t>
      </w:r>
    </w:p>
    <w:p>
      <w:pPr>
        <w:spacing w:before="240" w:after="80"/>
      </w:pPr>
      <w:r>
        <w:rPr>
          <w:rFonts w:ascii="DM Sans" w:hAnsi="DM Sans" w:cs="DM Sans"/>
          <w:b/>
          <w:i w:val="0"/>
          <w:color w:val="050C2A"/>
          <w:sz w:val="24"/>
          <w:u w:val="none"/>
        </w:rPr>
        <w:t>Dimensions</w:t>
      </w:r>
    </w:p>
    <w:p>
      <w:pPr>
        <w:spacing w:before="0" w:after="120" w:line="276" w:lineRule="auto"/>
      </w:pPr>
      <w:r>
        <w:rPr>
          <w:rFonts w:ascii="DM Sans" w:hAnsi="DM Sans" w:cs="DM Sans"/>
          <w:b w:val="0"/>
          <w:i w:val="0"/>
          <w:color w:val="050C2A"/>
          <w:sz w:val="20"/>
          <w:u w:val="none"/>
        </w:rPr>
        <w:t>Four dimensions with unequal weights reflecting the relative importance and scope of what each assesses.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1679"/>
            <w:shd w:fill="FF7C0A" w:val="clear"/>
            <w:vAlign w:val="center"/>
          </w:tcPr>
          <w:p>
            <w:pPr>
              <w:jc w:val="left"/>
              <w:spacing w:before="40" w:after="40"/>
            </w:pPr>
            <w:r>
              <w:rPr>
                <w:rFonts w:ascii="DM Sans" w:hAnsi="DM Sans" w:cs="DM Sans"/>
                <w:b/>
                <w:i w:val="0"/>
                <w:color w:val="FFFFFF"/>
                <w:sz w:val="20"/>
                <w:u w:val="none"/>
              </w:rPr>
              <w:t>Dimension</w:t>
            </w:r>
          </w:p>
        </w:tc>
        <w:tc>
          <w:tcPr>
            <w:tcW w:type="dxa" w:w="920"/>
            <w:shd w:fill="FF7C0A" w:val="clear"/>
            <w:vAlign w:val="center"/>
          </w:tcPr>
          <w:p>
            <w:pPr>
              <w:jc w:val="left"/>
              <w:spacing w:before="40" w:after="40"/>
            </w:pPr>
            <w:r>
              <w:rPr>
                <w:rFonts w:ascii="DM Sans" w:hAnsi="DM Sans" w:cs="DM Sans"/>
                <w:b/>
                <w:i w:val="0"/>
                <w:color w:val="FFFFFF"/>
                <w:sz w:val="20"/>
                <w:u w:val="none"/>
              </w:rPr>
              <w:t>Weight</w:t>
            </w:r>
          </w:p>
        </w:tc>
        <w:tc>
          <w:tcPr>
            <w:tcW w:type="dxa" w:w="3442"/>
            <w:shd w:fill="FF7C0A" w:val="clear"/>
            <w:vAlign w:val="center"/>
          </w:tcPr>
          <w:p>
            <w:pPr>
              <w:jc w:val="left"/>
              <w:spacing w:before="40" w:after="40"/>
            </w:pPr>
            <w:r>
              <w:rPr>
                <w:rFonts w:ascii="DM Sans" w:hAnsi="DM Sans" w:cs="DM Sans"/>
                <w:b/>
                <w:i w:val="0"/>
                <w:color w:val="FFFFFF"/>
                <w:sz w:val="20"/>
                <w:u w:val="none"/>
              </w:rPr>
              <w:t>Competency → Subskill</w:t>
            </w:r>
          </w:p>
        </w:tc>
        <w:tc>
          <w:tcPr>
            <w:tcW w:type="dxa" w:w="3319"/>
            <w:shd w:fill="FF7C0A" w:val="clear"/>
            <w:vAlign w:val="center"/>
          </w:tcPr>
          <w:p>
            <w:pPr>
              <w:jc w:val="left"/>
              <w:spacing w:before="40" w:after="40"/>
            </w:pPr>
            <w:r>
              <w:rPr>
                <w:rFonts w:ascii="DM Sans" w:hAnsi="DM Sans" w:cs="DM Sans"/>
                <w:b/>
                <w:i w:val="0"/>
                <w:color w:val="FFFFFF"/>
                <w:sz w:val="20"/>
                <w:u w:val="none"/>
              </w:rPr>
              <w:t>Evaluates</w:t>
            </w:r>
          </w:p>
        </w:tc>
      </w:tr>
      <w:tr>
        <w:tc>
          <w:tcPr>
            <w:tcW w:type="dxa" w:w="1679"/>
            <w:vAlign w:val="center"/>
          </w:tcPr>
          <w:p>
            <w:pPr>
              <w:spacing w:before="30" w:after="30"/>
            </w:pPr>
            <w:r>
              <w:rPr>
                <w:rFonts w:ascii="DM Sans" w:hAnsi="DM Sans" w:cs="DM Sans"/>
                <w:b w:val="0"/>
                <w:i w:val="0"/>
                <w:color w:val="050C2A"/>
                <w:sz w:val="20"/>
                <w:u w:val="none"/>
              </w:rPr>
              <w:t>Content &amp; Synthesis</w:t>
            </w:r>
          </w:p>
        </w:tc>
        <w:tc>
          <w:tcPr>
            <w:tcW w:type="dxa" w:w="920"/>
            <w:vAlign w:val="center"/>
          </w:tcPr>
          <w:p>
            <w:pPr>
              <w:spacing w:before="30" w:after="30"/>
            </w:pPr>
            <w:r>
              <w:rPr>
                <w:rFonts w:ascii="DM Sans" w:hAnsi="DM Sans" w:cs="DM Sans"/>
                <w:b w:val="0"/>
                <w:i w:val="0"/>
                <w:color w:val="050C2A"/>
                <w:sz w:val="20"/>
                <w:u w:val="none"/>
              </w:rPr>
              <w:t>30%</w:t>
            </w:r>
          </w:p>
        </w:tc>
        <w:tc>
          <w:tcPr>
            <w:tcW w:type="dxa" w:w="3442"/>
            <w:vAlign w:val="center"/>
          </w:tcPr>
          <w:p>
            <w:pPr>
              <w:spacing w:before="30" w:after="30"/>
            </w:pPr>
            <w:r>
              <w:rPr>
                <w:rFonts w:ascii="DM Sans" w:hAnsi="DM Sans" w:cs="DM Sans"/>
                <w:b w:val="0"/>
                <w:i w:val="0"/>
                <w:color w:val="050C2A"/>
                <w:sz w:val="20"/>
                <w:u w:val="none"/>
              </w:rPr>
              <w:t>Critical Thinking → Problem Framing; Career &amp; Self-Development → Career Articulation</w:t>
            </w:r>
          </w:p>
        </w:tc>
        <w:tc>
          <w:tcPr>
            <w:tcW w:type="dxa" w:w="3319"/>
            <w:vAlign w:val="center"/>
          </w:tcPr>
          <w:p>
            <w:pPr>
              <w:spacing w:before="30" w:after="30"/>
            </w:pPr>
            <w:r>
              <w:rPr>
                <w:rFonts w:ascii="DM Sans" w:hAnsi="DM Sans" w:cs="DM Sans"/>
                <w:b w:val="0"/>
                <w:i w:val="0"/>
                <w:color w:val="050C2A"/>
                <w:sz w:val="20"/>
                <w:u w:val="none"/>
              </w:rPr>
              <w:t>Narrative coherence, synthesis of findings, framing for the employer audience</w:t>
            </w:r>
          </w:p>
        </w:tc>
      </w:tr>
      <w:tr>
        <w:tc>
          <w:tcPr>
            <w:tcW w:type="dxa" w:w="1679"/>
            <w:shd w:fill="F5F5F5" w:val="clear"/>
            <w:vAlign w:val="center"/>
          </w:tcPr>
          <w:p>
            <w:pPr>
              <w:spacing w:before="30" w:after="30"/>
            </w:pPr>
            <w:r>
              <w:rPr>
                <w:rFonts w:ascii="DM Sans" w:hAnsi="DM Sans" w:cs="DM Sans"/>
                <w:b w:val="0"/>
                <w:i w:val="0"/>
                <w:color w:val="050C2A"/>
                <w:sz w:val="20"/>
                <w:u w:val="none"/>
              </w:rPr>
              <w:t>Delivery &amp; Presence</w:t>
            </w:r>
          </w:p>
        </w:tc>
        <w:tc>
          <w:tcPr>
            <w:tcW w:type="dxa" w:w="920"/>
            <w:shd w:fill="F5F5F5" w:val="clear"/>
            <w:vAlign w:val="center"/>
          </w:tcPr>
          <w:p>
            <w:pPr>
              <w:spacing w:before="30" w:after="30"/>
            </w:pPr>
            <w:r>
              <w:rPr>
                <w:rFonts w:ascii="DM Sans" w:hAnsi="DM Sans" w:cs="DM Sans"/>
                <w:b w:val="0"/>
                <w:i w:val="0"/>
                <w:color w:val="050C2A"/>
                <w:sz w:val="20"/>
                <w:u w:val="none"/>
              </w:rPr>
              <w:t>25%</w:t>
            </w:r>
          </w:p>
        </w:tc>
        <w:tc>
          <w:tcPr>
            <w:tcW w:type="dxa" w:w="3442"/>
            <w:shd w:fill="F5F5F5" w:val="clear"/>
            <w:vAlign w:val="center"/>
          </w:tcPr>
          <w:p>
            <w:pPr>
              <w:spacing w:before="30" w:after="30"/>
            </w:pPr>
            <w:r>
              <w:rPr>
                <w:rFonts w:ascii="DM Sans" w:hAnsi="DM Sans" w:cs="DM Sans"/>
                <w:b w:val="0"/>
                <w:i w:val="0"/>
                <w:color w:val="050C2A"/>
                <w:sz w:val="20"/>
                <w:u w:val="none"/>
              </w:rPr>
              <w:t>Communication → Oral Presentation</w:t>
            </w:r>
          </w:p>
        </w:tc>
        <w:tc>
          <w:tcPr>
            <w:tcW w:type="dxa" w:w="3319"/>
            <w:shd w:fill="F5F5F5" w:val="clear"/>
            <w:vAlign w:val="center"/>
          </w:tcPr>
          <w:p>
            <w:pPr>
              <w:spacing w:before="30" w:after="30"/>
            </w:pPr>
            <w:r>
              <w:rPr>
                <w:rFonts w:ascii="DM Sans" w:hAnsi="DM Sans" w:cs="DM Sans"/>
                <w:b w:val="0"/>
                <w:i w:val="0"/>
                <w:color w:val="050C2A"/>
                <w:sz w:val="20"/>
                <w:u w:val="none"/>
              </w:rPr>
              <w:t>Speaker confidence, clarity, pacing, team coordination</w:t>
            </w:r>
          </w:p>
        </w:tc>
      </w:tr>
      <w:tr>
        <w:tc>
          <w:tcPr>
            <w:tcW w:type="dxa" w:w="1679"/>
            <w:vAlign w:val="center"/>
          </w:tcPr>
          <w:p>
            <w:pPr>
              <w:spacing w:before="30" w:after="30"/>
            </w:pPr>
            <w:r>
              <w:rPr>
                <w:rFonts w:ascii="DM Sans" w:hAnsi="DM Sans" w:cs="DM Sans"/>
                <w:b w:val="0"/>
                <w:i w:val="0"/>
                <w:color w:val="050C2A"/>
                <w:sz w:val="20"/>
                <w:u w:val="none"/>
              </w:rPr>
              <w:t>Q&amp;A Handling</w:t>
            </w:r>
          </w:p>
        </w:tc>
        <w:tc>
          <w:tcPr>
            <w:tcW w:type="dxa" w:w="920"/>
            <w:vAlign w:val="center"/>
          </w:tcPr>
          <w:p>
            <w:pPr>
              <w:spacing w:before="30" w:after="30"/>
            </w:pPr>
            <w:r>
              <w:rPr>
                <w:rFonts w:ascii="DM Sans" w:hAnsi="DM Sans" w:cs="DM Sans"/>
                <w:b w:val="0"/>
                <w:i w:val="0"/>
                <w:color w:val="050C2A"/>
                <w:sz w:val="20"/>
                <w:u w:val="none"/>
              </w:rPr>
              <w:t>25%</w:t>
            </w:r>
          </w:p>
        </w:tc>
        <w:tc>
          <w:tcPr>
            <w:tcW w:type="dxa" w:w="3442"/>
            <w:vAlign w:val="center"/>
          </w:tcPr>
          <w:p>
            <w:pPr>
              <w:spacing w:before="30" w:after="30"/>
            </w:pPr>
            <w:r>
              <w:rPr>
                <w:rFonts w:ascii="DM Sans" w:hAnsi="DM Sans" w:cs="DM Sans"/>
                <w:b w:val="0"/>
                <w:i w:val="0"/>
                <w:color w:val="050C2A"/>
                <w:sz w:val="20"/>
                <w:u w:val="none"/>
              </w:rPr>
              <w:t>Communication → Active Listening; Critical Thinking → Evidence-Based Reasoning</w:t>
            </w:r>
          </w:p>
        </w:tc>
        <w:tc>
          <w:tcPr>
            <w:tcW w:type="dxa" w:w="3319"/>
            <w:vAlign w:val="center"/>
          </w:tcPr>
          <w:p>
            <w:pPr>
              <w:spacing w:before="30" w:after="30"/>
            </w:pPr>
            <w:r>
              <w:rPr>
                <w:rFonts w:ascii="DM Sans" w:hAnsi="DM Sans" w:cs="DM Sans"/>
                <w:b w:val="0"/>
                <w:i w:val="0"/>
                <w:color w:val="050C2A"/>
                <w:sz w:val="20"/>
                <w:u w:val="none"/>
              </w:rPr>
              <w:t>Responsiveness to questions, depth of understanding, honesty about limitations</w:t>
            </w:r>
          </w:p>
        </w:tc>
      </w:tr>
      <w:tr>
        <w:tc>
          <w:tcPr>
            <w:tcW w:type="dxa" w:w="1679"/>
            <w:shd w:fill="F5F5F5" w:val="clear"/>
            <w:vAlign w:val="center"/>
          </w:tcPr>
          <w:p>
            <w:pPr>
              <w:spacing w:before="30" w:after="30"/>
            </w:pPr>
            <w:r>
              <w:rPr>
                <w:rFonts w:ascii="DM Sans" w:hAnsi="DM Sans" w:cs="DM Sans"/>
                <w:b w:val="0"/>
                <w:i w:val="0"/>
                <w:color w:val="050C2A"/>
                <w:sz w:val="20"/>
                <w:u w:val="none"/>
              </w:rPr>
              <w:t>Visual Communication</w:t>
            </w:r>
          </w:p>
        </w:tc>
        <w:tc>
          <w:tcPr>
            <w:tcW w:type="dxa" w:w="920"/>
            <w:shd w:fill="F5F5F5" w:val="clear"/>
            <w:vAlign w:val="center"/>
          </w:tcPr>
          <w:p>
            <w:pPr>
              <w:spacing w:before="30" w:after="30"/>
            </w:pPr>
            <w:r>
              <w:rPr>
                <w:rFonts w:ascii="DM Sans" w:hAnsi="DM Sans" w:cs="DM Sans"/>
                <w:b w:val="0"/>
                <w:i w:val="0"/>
                <w:color w:val="050C2A"/>
                <w:sz w:val="20"/>
                <w:u w:val="none"/>
              </w:rPr>
              <w:t>20%</w:t>
            </w:r>
          </w:p>
        </w:tc>
        <w:tc>
          <w:tcPr>
            <w:tcW w:type="dxa" w:w="3442"/>
            <w:shd w:fill="F5F5F5" w:val="clear"/>
            <w:vAlign w:val="center"/>
          </w:tcPr>
          <w:p>
            <w:pPr>
              <w:spacing w:before="30" w:after="30"/>
            </w:pPr>
            <w:r>
              <w:rPr>
                <w:rFonts w:ascii="DM Sans" w:hAnsi="DM Sans" w:cs="DM Sans"/>
                <w:b w:val="0"/>
                <w:i w:val="0"/>
                <w:color w:val="050C2A"/>
                <w:sz w:val="20"/>
                <w:u w:val="none"/>
              </w:rPr>
              <w:t>Communication → Oral Presentation; Professionalism → Quality and Attention to Detail</w:t>
            </w:r>
          </w:p>
        </w:tc>
        <w:tc>
          <w:tcPr>
            <w:tcW w:type="dxa" w:w="3319"/>
            <w:shd w:fill="F5F5F5" w:val="clear"/>
            <w:vAlign w:val="center"/>
          </w:tcPr>
          <w:p>
            <w:pPr>
              <w:spacing w:before="30" w:after="30"/>
            </w:pPr>
            <w:r>
              <w:rPr>
                <w:rFonts w:ascii="DM Sans" w:hAnsi="DM Sans" w:cs="DM Sans"/>
                <w:b w:val="0"/>
                <w:i w:val="0"/>
                <w:color w:val="050C2A"/>
                <w:sz w:val="20"/>
                <w:u w:val="none"/>
              </w:rPr>
              <w:t>Slide design, visual support for narrative, professional presentation</w:t>
            </w:r>
          </w:p>
        </w:tc>
      </w:tr>
    </w:tbl>
    <w:p>
      <w:pPr>
        <w:spacing w:before="0" w:after="120"/>
      </w:pPr>
    </w:p>
    <w:p>
      <w:pPr>
        <w:spacing w:before="240" w:after="80"/>
      </w:pPr>
      <w:r>
        <w:rPr>
          <w:rFonts w:ascii="DM Sans" w:hAnsi="DM Sans" w:cs="DM Sans"/>
          <w:b/>
          <w:i w:val="0"/>
          <w:color w:val="050C2A"/>
          <w:sz w:val="24"/>
          <w:u w:val="none"/>
        </w:rPr>
        <w:t>Why These Weights</w:t>
      </w:r>
    </w:p>
    <w:p>
      <w:pPr>
        <w:spacing w:before="0" w:after="120" w:line="276" w:lineRule="auto"/>
      </w:pPr>
      <w:r>
        <w:rPr>
          <w:rFonts w:ascii="DM Sans" w:hAnsi="DM Sans" w:cs="DM Sans"/>
          <w:b/>
          <w:i w:val="0"/>
          <w:color w:val="050C2A"/>
          <w:sz w:val="20"/>
          <w:u w:val="none"/>
        </w:rPr>
        <w:t>Content &amp; Synthesis (30%)</w:t>
      </w:r>
      <w:r>
        <w:rPr>
          <w:rFonts w:ascii="DM Sans" w:hAnsi="DM Sans" w:cs="DM Sans"/>
          <w:b w:val="0"/>
          <w:i w:val="0"/>
          <w:color w:val="050C2A"/>
          <w:sz w:val="20"/>
          <w:u w:val="none"/>
        </w:rPr>
        <w:t xml:space="preserve"> carries the highest weight because the core purpose of the presentation is to communicate the work — not just to show slides or speak confidently, but to tell a coherent story about what the team found and why it matters. This is the intellectual core of the presentation: synthesis, framing, and audience awareness.</w:t>
      </w:r>
    </w:p>
    <w:p>
      <w:pPr>
        <w:spacing w:before="0" w:after="120" w:line="276" w:lineRule="auto"/>
      </w:pPr>
      <w:r>
        <w:rPr>
          <w:rFonts w:ascii="DM Sans" w:hAnsi="DM Sans" w:cs="DM Sans"/>
          <w:b/>
          <w:i w:val="0"/>
          <w:color w:val="050C2A"/>
          <w:sz w:val="20"/>
          <w:u w:val="none"/>
        </w:rPr>
        <w:t>Delivery &amp; Presence and Q&amp;A Handling (25% each)</w:t>
      </w:r>
      <w:r>
        <w:rPr>
          <w:rFonts w:ascii="DM Sans" w:hAnsi="DM Sans" w:cs="DM Sans"/>
          <w:b w:val="0"/>
          <w:i w:val="0"/>
          <w:color w:val="050C2A"/>
          <w:sz w:val="20"/>
          <w:u w:val="none"/>
        </w:rPr>
        <w:t xml:space="preserve"> are weighted equally because they capture two distinct and equally important communication skills. Delivery &amp; Presence assesses the prepared performance — how the team communicates when they've had time to plan and rehearse. Q&amp;A Handling assesses the unrehearsed performance — whether students can explain their work when asked questions they didn't anticipate. Q&amp;A is also the primary assessment site for active listening in the course, and the defend-your-work standard applies: answers must come from genuine understanding of the research, analysis, and recommendations.</w:t>
      </w:r>
    </w:p>
    <w:p>
      <w:pPr>
        <w:spacing w:before="0" w:after="120" w:line="276" w:lineRule="auto"/>
      </w:pPr>
      <w:r>
        <w:rPr>
          <w:rFonts w:ascii="DM Sans" w:hAnsi="DM Sans" w:cs="DM Sans"/>
          <w:b/>
          <w:i w:val="0"/>
          <w:color w:val="050C2A"/>
          <w:sz w:val="20"/>
          <w:u w:val="none"/>
        </w:rPr>
        <w:t>Visual Communication (20%)</w:t>
      </w:r>
      <w:r>
        <w:rPr>
          <w:rFonts w:ascii="DM Sans" w:hAnsi="DM Sans" w:cs="DM Sans"/>
          <w:b w:val="0"/>
          <w:i w:val="0"/>
          <w:color w:val="050C2A"/>
          <w:sz w:val="20"/>
          <w:u w:val="none"/>
        </w:rPr>
        <w:t xml:space="preserve"> matters — slides that confuse the audience or lack professionalism are a real problem. But consistent with the design philosophy across all course rubrics, we avoid creating dimensions that primarily reward polish. At 20%, visual communication is significant but doesn't dominate. A team with simple, clear slides that support the narrative scores higher than a team with beautiful slides disconnected from what the speakers are saying.</w:t>
      </w:r>
    </w:p>
    <w:p>
      <w:pPr>
        <w:spacing w:before="0" w:after="120" w:line="276" w:lineRule="auto"/>
      </w:pPr>
      <w:r>
        <w:rPr>
          <w:rFonts w:ascii="DM Sans" w:hAnsi="DM Sans" w:cs="DM Sans"/>
          <w:b/>
          <w:i w:val="0"/>
          <w:color w:val="050C2A"/>
          <w:sz w:val="20"/>
          <w:u w:val="none"/>
        </w:rPr>
        <w:t>Note on team coordination:</w:t>
      </w:r>
      <w:r>
        <w:rPr>
          <w:rFonts w:ascii="DM Sans" w:hAnsi="DM Sans" w:cs="DM Sans"/>
          <w:b w:val="0"/>
          <w:i w:val="0"/>
          <w:color w:val="050C2A"/>
          <w:sz w:val="20"/>
          <w:u w:val="none"/>
        </w:rPr>
        <w:t xml:space="preserve"> Smooth handoffs, balanced participation, and the team functioning as a unit are assessed within Delivery &amp; Presence as a communication quality. Teamwork competencies are assessed exclusively through Professional Engagement (peer evaluation); the presentation rubric does not create a secondary Teamwork evidence source.</w:t>
      </w:r>
    </w:p>
    <w:p>
      <w:pPr>
        <w:spacing w:before="280" w:after="100"/>
      </w:pPr>
      <w:r>
        <w:rPr>
          <w:rFonts w:ascii="DM Sans" w:hAnsi="DM Sans" w:cs="DM Sans"/>
          <w:b/>
          <w:i w:val="0"/>
          <w:color w:val="050C2A"/>
          <w:sz w:val="28"/>
          <w:u w:val="none"/>
        </w:rPr>
        <w:t>Dimension 1: Content &amp; Synthesis</w:t>
      </w:r>
    </w:p>
    <w:p>
      <w:pPr>
        <w:spacing w:before="0" w:after="120" w:line="276" w:lineRule="auto"/>
      </w:pPr>
      <w:r>
        <w:rPr>
          <w:rFonts w:ascii="DM Sans" w:hAnsi="DM Sans" w:cs="DM Sans"/>
          <w:b w:val="0"/>
          <w:i/>
          <w:color w:val="050C2A"/>
          <w:sz w:val="20"/>
          <w:u w:val="none"/>
        </w:rPr>
        <w:t>Critical Thinking → Problem Framing; Career &amp; Self-Development → Career Articulation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narrative coherence, synthesis, and framing for the employer audience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570"/>
            <w:shd w:fill="FF7C0A" w:val="clear"/>
            <w:vAlign w:val="center"/>
          </w:tcPr>
          <w:p>
            <w:pPr>
              <w:jc w:val="left"/>
              <w:spacing w:before="40" w:after="40"/>
            </w:pPr>
            <w:r>
              <w:rPr>
                <w:rFonts w:ascii="DM Sans" w:hAnsi="DM Sans" w:cs="DM Sans"/>
                <w:b/>
                <w:i w:val="0"/>
                <w:color w:val="FFFFFF"/>
                <w:sz w:val="20"/>
                <w:u w:val="none"/>
              </w:rPr>
              <w:t>Level</w:t>
            </w:r>
          </w:p>
        </w:tc>
        <w:tc>
          <w:tcPr>
            <w:tcW w:type="dxa" w:w="7790"/>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570"/>
            <w:vAlign w:val="center"/>
          </w:tcPr>
          <w:p>
            <w:pPr>
              <w:spacing w:before="30" w:after="30"/>
            </w:pPr>
            <w:r>
              <w:rPr>
                <w:rFonts w:ascii="DM Sans" w:hAnsi="DM Sans" w:cs="DM Sans"/>
                <w:b/>
                <w:i w:val="0"/>
                <w:color w:val="050C2A"/>
                <w:sz w:val="20"/>
                <w:u w:val="none"/>
              </w:rPr>
              <w:t>Exemplary (4)</w:t>
            </w:r>
          </w:p>
        </w:tc>
        <w:tc>
          <w:tcPr>
            <w:tcW w:type="dxa" w:w="7790"/>
            <w:vAlign w:val="center"/>
          </w:tcPr>
          <w:p>
            <w:pPr>
              <w:spacing w:before="30" w:after="30"/>
            </w:pPr>
            <w:r>
              <w:rPr>
                <w:rFonts w:ascii="DM Sans" w:hAnsi="DM Sans" w:cs="DM Sans"/>
                <w:b w:val="0"/>
                <w:i w:val="0"/>
                <w:color w:val="050C2A"/>
                <w:sz w:val="20"/>
                <w:u w:val="none"/>
              </w:rPr>
              <w:t>The presentation tells a compelling, well-structured story that goes beyond reporting activities to frame what the team found and why it matters to the employer. The narrative arc is clear — the audience understands the problem, the approach, the key findings, and the implications without needing to read the deliverable. Synthesis is evident: the team distills complex work into the insights that matter most, rather than presenting everything. The framing demonstrates sophisticated understanding of the employer's context and priorities.</w:t>
            </w:r>
          </w:p>
        </w:tc>
      </w:tr>
      <w:tr>
        <w:tc>
          <w:tcPr>
            <w:tcW w:type="dxa" w:w="1570"/>
            <w:shd w:fill="F5F5F5" w:val="clear"/>
            <w:vAlign w:val="center"/>
          </w:tcPr>
          <w:p>
            <w:pPr>
              <w:spacing w:before="30" w:after="30"/>
            </w:pPr>
            <w:r>
              <w:rPr>
                <w:rFonts w:ascii="DM Sans" w:hAnsi="DM Sans" w:cs="DM Sans"/>
                <w:b/>
                <w:i w:val="0"/>
                <w:color w:val="050C2A"/>
                <w:sz w:val="20"/>
                <w:u w:val="none"/>
              </w:rPr>
              <w:t>Proficient (3)</w:t>
            </w:r>
          </w:p>
        </w:tc>
        <w:tc>
          <w:tcPr>
            <w:tcW w:type="dxa" w:w="7790"/>
            <w:shd w:fill="F5F5F5" w:val="clear"/>
            <w:vAlign w:val="center"/>
          </w:tcPr>
          <w:p>
            <w:pPr>
              <w:spacing w:before="30" w:after="30"/>
            </w:pPr>
            <w:r>
              <w:rPr>
                <w:rFonts w:ascii="DM Sans" w:hAnsi="DM Sans" w:cs="DM Sans"/>
                <w:b w:val="0"/>
                <w:i w:val="0"/>
                <w:color w:val="050C2A"/>
                <w:sz w:val="20"/>
                <w:u w:val="none"/>
              </w:rPr>
              <w:t>The presentation has a clear narrative structure that covers the key elements: what the team was asked to do, how they approached it, what they found, and what they recommend. The audience can follow the story from beginning to end. The team presents findings at an appropriate level of detail — enough to be substantive, not so much that the presentation becomes a read-through of the deliverable. The work is framed in terms relevant to the employer.</w:t>
            </w:r>
          </w:p>
        </w:tc>
      </w:tr>
      <w:tr>
        <w:tc>
          <w:tcPr>
            <w:tcW w:type="dxa" w:w="1570"/>
            <w:vAlign w:val="center"/>
          </w:tcPr>
          <w:p>
            <w:pPr>
              <w:spacing w:before="30" w:after="30"/>
            </w:pPr>
            <w:r>
              <w:rPr>
                <w:rFonts w:ascii="DM Sans" w:hAnsi="DM Sans" w:cs="DM Sans"/>
                <w:b/>
                <w:i w:val="0"/>
                <w:color w:val="050C2A"/>
                <w:sz w:val="20"/>
                <w:u w:val="none"/>
              </w:rPr>
              <w:t>Developing (2)</w:t>
            </w:r>
          </w:p>
        </w:tc>
        <w:tc>
          <w:tcPr>
            <w:tcW w:type="dxa" w:w="7790"/>
            <w:vAlign w:val="center"/>
          </w:tcPr>
          <w:p>
            <w:pPr>
              <w:spacing w:before="30" w:after="30"/>
            </w:pPr>
            <w:r>
              <w:rPr>
                <w:rFonts w:ascii="DM Sans" w:hAnsi="DM Sans" w:cs="DM Sans"/>
                <w:b w:val="0"/>
                <w:i w:val="0"/>
                <w:color w:val="050C2A"/>
                <w:sz w:val="20"/>
                <w:u w:val="none"/>
              </w:rPr>
              <w:t>The presentation covers the project but reads more as a sequential report of activities than a synthesized narrative. The audience gets the information but must assemble the story themselves. Key findings or recommendations may be present but are not clearly framed in terms of what matters to the employer. Some sections may be too detailed while others are underdeveloped.</w:t>
            </w:r>
          </w:p>
        </w:tc>
      </w:tr>
      <w:tr>
        <w:tc>
          <w:tcPr>
            <w:tcW w:type="dxa" w:w="1570"/>
            <w:shd w:fill="F5F5F5" w:val="clear"/>
            <w:vAlign w:val="center"/>
          </w:tcPr>
          <w:p>
            <w:pPr>
              <w:spacing w:before="30" w:after="30"/>
            </w:pPr>
            <w:r>
              <w:rPr>
                <w:rFonts w:ascii="DM Sans" w:hAnsi="DM Sans" w:cs="DM Sans"/>
                <w:b/>
                <w:i w:val="0"/>
                <w:color w:val="050C2A"/>
                <w:sz w:val="20"/>
                <w:u w:val="none"/>
              </w:rPr>
              <w:t>Emerging (1)</w:t>
            </w:r>
          </w:p>
        </w:tc>
        <w:tc>
          <w:tcPr>
            <w:tcW w:type="dxa" w:w="7790"/>
            <w:shd w:fill="F5F5F5" w:val="clear"/>
            <w:vAlign w:val="center"/>
          </w:tcPr>
          <w:p>
            <w:pPr>
              <w:spacing w:before="30" w:after="30"/>
            </w:pPr>
            <w:r>
              <w:rPr>
                <w:rFonts w:ascii="DM Sans" w:hAnsi="DM Sans" w:cs="DM Sans"/>
                <w:b w:val="0"/>
                <w:i w:val="0"/>
                <w:color w:val="050C2A"/>
                <w:sz w:val="20"/>
                <w:u w:val="none"/>
              </w:rPr>
              <w:t>The presentation lacks a coherent narrative. Content is disorganized, key elements are missing, or the presentation reads as a loosely connected series of updates rather than a synthesis of the work. The audience would struggle to understand what the team accomplished or why it matters.</w:t>
            </w:r>
          </w:p>
        </w:tc>
      </w:tr>
      <w:tr>
        <w:tc>
          <w:tcPr>
            <w:tcW w:type="dxa" w:w="1570"/>
            <w:vAlign w:val="center"/>
          </w:tcPr>
          <w:p>
            <w:pPr>
              <w:spacing w:before="30" w:after="30"/>
            </w:pPr>
            <w:r>
              <w:rPr>
                <w:rFonts w:ascii="DM Sans" w:hAnsi="DM Sans" w:cs="DM Sans"/>
                <w:b/>
                <w:i w:val="0"/>
                <w:color w:val="050C2A"/>
                <w:sz w:val="20"/>
                <w:u w:val="none"/>
              </w:rPr>
              <w:t>Not Acceptable (0)</w:t>
            </w:r>
          </w:p>
        </w:tc>
        <w:tc>
          <w:tcPr>
            <w:tcW w:type="dxa" w:w="7790"/>
            <w:vAlign w:val="center"/>
          </w:tcPr>
          <w:p>
            <w:pPr>
              <w:spacing w:before="30" w:after="30"/>
            </w:pPr>
            <w:r>
              <w:rPr>
                <w:rFonts w:ascii="DM Sans" w:hAnsi="DM Sans" w:cs="DM Sans"/>
                <w:b w:val="0"/>
                <w:i w:val="0"/>
                <w:color w:val="050C2A"/>
                <w:sz w:val="20"/>
                <w:u w:val="none"/>
              </w:rPr>
              <w:t>No meaningful attempt to communicate the project work. The content presented does not constitute a synthesis or narrative of the team's work.</w:t>
            </w:r>
          </w:p>
        </w:tc>
      </w:tr>
    </w:tbl>
    <w:p>
      <w:pPr>
        <w:spacing w:before="0" w:after="120"/>
      </w:pPr>
    </w:p>
    <w:p>
      <w:pPr>
        <w:spacing w:before="0" w:after="120" w:line="276" w:lineRule="auto"/>
      </w:pPr>
      <w:r>
        <w:rPr>
          <w:rFonts w:ascii="DM Sans" w:hAnsi="DM Sans" w:cs="DM Sans"/>
          <w:b/>
          <w:i w:val="0"/>
          <w:color w:val="050C2A"/>
          <w:sz w:val="20"/>
          <w:u w:val="none"/>
        </w:rPr>
        <w:t>Boundary principle:</w:t>
      </w:r>
      <w:r>
        <w:rPr>
          <w:rFonts w:ascii="DM Sans" w:hAnsi="DM Sans" w:cs="DM Sans"/>
          <w:b w:val="0"/>
          <w:i w:val="0"/>
          <w:color w:val="050C2A"/>
          <w:sz w:val="20"/>
          <w:u w:val="none"/>
        </w:rPr>
        <w:t xml:space="preserve"> Content &amp; Synthesis is silent on the quality of the speakers' delivery (Delivery &amp; Presence), the effectiveness of the slides (Visual Communication), and how the team handles questions (Q&amp;A Handling). It asks only: does the presentation tell a coherent story about the work and why it matters to the employer?</w:t>
      </w:r>
    </w:p>
    <w:p>
      <w:pPr>
        <w:spacing w:before="280" w:after="100"/>
      </w:pPr>
      <w:r>
        <w:rPr>
          <w:rFonts w:ascii="DM Sans" w:hAnsi="DM Sans" w:cs="DM Sans"/>
          <w:b/>
          <w:i w:val="0"/>
          <w:color w:val="050C2A"/>
          <w:sz w:val="28"/>
          <w:u w:val="none"/>
        </w:rPr>
        <w:t>Dimension 2: Delivery &amp; Presence</w:t>
      </w:r>
    </w:p>
    <w:p>
      <w:pPr>
        <w:spacing w:before="0" w:after="120" w:line="276" w:lineRule="auto"/>
      </w:pPr>
      <w:r>
        <w:rPr>
          <w:rFonts w:ascii="DM Sans" w:hAnsi="DM Sans" w:cs="DM Sans"/>
          <w:b w:val="0"/>
          <w:i/>
          <w:color w:val="050C2A"/>
          <w:sz w:val="20"/>
          <w:u w:val="none"/>
        </w:rPr>
        <w:t>Communication → Oral Presentation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speaker confidence, clarity, pacing, and team coordination</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618"/>
            <w:shd w:fill="FF7C0A" w:val="clear"/>
            <w:vAlign w:val="center"/>
          </w:tcPr>
          <w:p>
            <w:pPr>
              <w:jc w:val="left"/>
              <w:spacing w:before="40" w:after="40"/>
            </w:pPr>
            <w:r>
              <w:rPr>
                <w:rFonts w:ascii="DM Sans" w:hAnsi="DM Sans" w:cs="DM Sans"/>
                <w:b/>
                <w:i w:val="0"/>
                <w:color w:val="FFFFFF"/>
                <w:sz w:val="20"/>
                <w:u w:val="none"/>
              </w:rPr>
              <w:t>Level</w:t>
            </w:r>
          </w:p>
        </w:tc>
        <w:tc>
          <w:tcPr>
            <w:tcW w:type="dxa" w:w="7742"/>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618"/>
            <w:vAlign w:val="center"/>
          </w:tcPr>
          <w:p>
            <w:pPr>
              <w:spacing w:before="30" w:after="30"/>
            </w:pPr>
            <w:r>
              <w:rPr>
                <w:rFonts w:ascii="DM Sans" w:hAnsi="DM Sans" w:cs="DM Sans"/>
                <w:b/>
                <w:i w:val="0"/>
                <w:color w:val="050C2A"/>
                <w:sz w:val="20"/>
                <w:u w:val="none"/>
              </w:rPr>
              <w:t>Exemplary (4)</w:t>
            </w:r>
          </w:p>
        </w:tc>
        <w:tc>
          <w:tcPr>
            <w:tcW w:type="dxa" w:w="7742"/>
            <w:vAlign w:val="center"/>
          </w:tcPr>
          <w:p>
            <w:pPr>
              <w:spacing w:before="30" w:after="30"/>
            </w:pPr>
            <w:r>
              <w:rPr>
                <w:rFonts w:ascii="DM Sans" w:hAnsi="DM Sans" w:cs="DM Sans"/>
                <w:b w:val="0"/>
                <w:i w:val="0"/>
                <w:color w:val="050C2A"/>
                <w:sz w:val="20"/>
                <w:u w:val="none"/>
              </w:rPr>
              <w:t>Speakers are confident, well-paced, and engaging. They speak to the audience rather than reading from notes or slides. The team presents as a coordinated unit — handoffs between speakers are smooth, participation is balanced, and the presentation feels like one coherent delivery rather than separate segments stitched together. Speakers adjust their delivery based on audience cues (e.g., slowing down on complex points, checking for understanding). The overall impression is professional and polished.</w:t>
            </w:r>
          </w:p>
        </w:tc>
      </w:tr>
      <w:tr>
        <w:tc>
          <w:tcPr>
            <w:tcW w:type="dxa" w:w="1618"/>
            <w:shd w:fill="F5F5F5" w:val="clear"/>
            <w:vAlign w:val="center"/>
          </w:tcPr>
          <w:p>
            <w:pPr>
              <w:spacing w:before="30" w:after="30"/>
            </w:pPr>
            <w:r>
              <w:rPr>
                <w:rFonts w:ascii="DM Sans" w:hAnsi="DM Sans" w:cs="DM Sans"/>
                <w:b/>
                <w:i w:val="0"/>
                <w:color w:val="050C2A"/>
                <w:sz w:val="20"/>
                <w:u w:val="none"/>
              </w:rPr>
              <w:t>Proficient (3)</w:t>
            </w:r>
          </w:p>
        </w:tc>
        <w:tc>
          <w:tcPr>
            <w:tcW w:type="dxa" w:w="7742"/>
            <w:shd w:fill="F5F5F5" w:val="clear"/>
            <w:vAlign w:val="center"/>
          </w:tcPr>
          <w:p>
            <w:pPr>
              <w:spacing w:before="30" w:after="30"/>
            </w:pPr>
            <w:r>
              <w:rPr>
                <w:rFonts w:ascii="DM Sans" w:hAnsi="DM Sans" w:cs="DM Sans"/>
                <w:b w:val="0"/>
                <w:i w:val="0"/>
                <w:color w:val="050C2A"/>
                <w:sz w:val="20"/>
                <w:u w:val="none"/>
              </w:rPr>
              <w:t>Speakers are clear and generally confident. They rely on notes occasionally but maintain audience engagement. The team coordinates effectively — handoffs work, each member has a meaningful role, and the presentation flows as a unit. Minor delivery issues (occasional filler words, uneven pacing) do not significantly distract. The overall impression is competent and professional.</w:t>
            </w:r>
          </w:p>
        </w:tc>
      </w:tr>
      <w:tr>
        <w:tc>
          <w:tcPr>
            <w:tcW w:type="dxa" w:w="1618"/>
            <w:vAlign w:val="center"/>
          </w:tcPr>
          <w:p>
            <w:pPr>
              <w:spacing w:before="30" w:after="30"/>
            </w:pPr>
            <w:r>
              <w:rPr>
                <w:rFonts w:ascii="DM Sans" w:hAnsi="DM Sans" w:cs="DM Sans"/>
                <w:b/>
                <w:i w:val="0"/>
                <w:color w:val="050C2A"/>
                <w:sz w:val="20"/>
                <w:u w:val="none"/>
              </w:rPr>
              <w:t>Developing (2)</w:t>
            </w:r>
          </w:p>
        </w:tc>
        <w:tc>
          <w:tcPr>
            <w:tcW w:type="dxa" w:w="7742"/>
            <w:vAlign w:val="center"/>
          </w:tcPr>
          <w:p>
            <w:pPr>
              <w:spacing w:before="30" w:after="30"/>
            </w:pPr>
            <w:r>
              <w:rPr>
                <w:rFonts w:ascii="DM Sans" w:hAnsi="DM Sans" w:cs="DM Sans"/>
                <w:b w:val="0"/>
                <w:i w:val="0"/>
                <w:color w:val="050C2A"/>
                <w:sz w:val="20"/>
                <w:u w:val="none"/>
              </w:rPr>
              <w:t>Speakers are understandable but delivery issues are noticeable — heavy reliance on notes, uneven pacing, or visible discomfort. Team coordination is uneven: one speaker may dominate, handoffs may be awkward, or sections feel disconnected. The audience can follow but the delivery detracts from the content.</w:t>
            </w:r>
          </w:p>
        </w:tc>
      </w:tr>
      <w:tr>
        <w:tc>
          <w:tcPr>
            <w:tcW w:type="dxa" w:w="1618"/>
            <w:shd w:fill="F5F5F5" w:val="clear"/>
            <w:vAlign w:val="center"/>
          </w:tcPr>
          <w:p>
            <w:pPr>
              <w:spacing w:before="30" w:after="30"/>
            </w:pPr>
            <w:r>
              <w:rPr>
                <w:rFonts w:ascii="DM Sans" w:hAnsi="DM Sans" w:cs="DM Sans"/>
                <w:b/>
                <w:i w:val="0"/>
                <w:color w:val="050C2A"/>
                <w:sz w:val="20"/>
                <w:u w:val="none"/>
              </w:rPr>
              <w:t>Emerging (1)</w:t>
            </w:r>
          </w:p>
        </w:tc>
        <w:tc>
          <w:tcPr>
            <w:tcW w:type="dxa" w:w="7742"/>
            <w:shd w:fill="F5F5F5" w:val="clear"/>
            <w:vAlign w:val="center"/>
          </w:tcPr>
          <w:p>
            <w:pPr>
              <w:spacing w:before="30" w:after="30"/>
            </w:pPr>
            <w:r>
              <w:rPr>
                <w:rFonts w:ascii="DM Sans" w:hAnsi="DM Sans" w:cs="DM Sans"/>
                <w:b w:val="0"/>
                <w:i w:val="0"/>
                <w:color w:val="050C2A"/>
                <w:sz w:val="20"/>
                <w:u w:val="none"/>
              </w:rPr>
              <w:t>Speakers struggle with delivery — reading directly from slides or notes, speaking too quickly or quietly, or appearing unprepared. The team does not function as a coordinated unit: one person may present almost everything, handoffs are disjointed, or participation is clearly unbalanced. The delivery significantly impedes the audience's ability to engage with the content.</w:t>
            </w:r>
          </w:p>
        </w:tc>
      </w:tr>
      <w:tr>
        <w:tc>
          <w:tcPr>
            <w:tcW w:type="dxa" w:w="1618"/>
            <w:vAlign w:val="center"/>
          </w:tcPr>
          <w:p>
            <w:pPr>
              <w:spacing w:before="30" w:after="30"/>
            </w:pPr>
            <w:r>
              <w:rPr>
                <w:rFonts w:ascii="DM Sans" w:hAnsi="DM Sans" w:cs="DM Sans"/>
                <w:b/>
                <w:i w:val="0"/>
                <w:color w:val="050C2A"/>
                <w:sz w:val="20"/>
                <w:u w:val="none"/>
              </w:rPr>
              <w:t>Not Acceptable (0)</w:t>
            </w:r>
          </w:p>
        </w:tc>
        <w:tc>
          <w:tcPr>
            <w:tcW w:type="dxa" w:w="7742"/>
            <w:vAlign w:val="center"/>
          </w:tcPr>
          <w:p>
            <w:pPr>
              <w:spacing w:before="30" w:after="30"/>
            </w:pPr>
            <w:r>
              <w:rPr>
                <w:rFonts w:ascii="DM Sans" w:hAnsi="DM Sans" w:cs="DM Sans"/>
                <w:b w:val="0"/>
                <w:i w:val="0"/>
                <w:color w:val="050C2A"/>
                <w:sz w:val="20"/>
                <w:u w:val="none"/>
              </w:rPr>
              <w:t>No meaningful attempt at professional delivery. Speakers were unintelligible, entirely unprepared, or the presentation could not be evaluated as a spoken communication.</w:t>
            </w:r>
          </w:p>
        </w:tc>
      </w:tr>
    </w:tbl>
    <w:p>
      <w:pPr>
        <w:spacing w:before="0" w:after="120"/>
      </w:pPr>
    </w:p>
    <w:p>
      <w:pPr>
        <w:spacing w:before="0" w:after="120" w:line="276" w:lineRule="auto"/>
      </w:pPr>
      <w:r>
        <w:rPr>
          <w:rFonts w:ascii="DM Sans" w:hAnsi="DM Sans" w:cs="DM Sans"/>
          <w:b/>
          <w:i w:val="0"/>
          <w:color w:val="050C2A"/>
          <w:sz w:val="20"/>
          <w:u w:val="none"/>
        </w:rPr>
        <w:t>Boundary principle:</w:t>
      </w:r>
      <w:r>
        <w:rPr>
          <w:rFonts w:ascii="DM Sans" w:hAnsi="DM Sans" w:cs="DM Sans"/>
          <w:b w:val="0"/>
          <w:i w:val="0"/>
          <w:color w:val="050C2A"/>
          <w:sz w:val="20"/>
          <w:u w:val="none"/>
        </w:rPr>
        <w:t xml:space="preserve"> Delivery &amp; Presence is silent on the substance of what was presented (Content &amp; Synthesis), the quality of the slides (Visual Communication), and how the team handles questions (Q&amp;A Handling). It asks only: does the team communicate with confidence, clarity, and coordination?</w:t>
      </w:r>
    </w:p>
    <w:p>
      <w:pPr>
        <w:spacing w:before="280" w:after="100"/>
      </w:pPr>
      <w:r>
        <w:rPr>
          <w:rFonts w:ascii="DM Sans" w:hAnsi="DM Sans" w:cs="DM Sans"/>
          <w:b/>
          <w:i w:val="0"/>
          <w:color w:val="050C2A"/>
          <w:sz w:val="28"/>
          <w:u w:val="none"/>
        </w:rPr>
        <w:t>Dimension 3: Visual Communication</w:t>
      </w:r>
    </w:p>
    <w:p>
      <w:pPr>
        <w:spacing w:before="0" w:after="120" w:line="276" w:lineRule="auto"/>
      </w:pPr>
      <w:r>
        <w:rPr>
          <w:rFonts w:ascii="DM Sans" w:hAnsi="DM Sans" w:cs="DM Sans"/>
          <w:b w:val="0"/>
          <w:i/>
          <w:color w:val="050C2A"/>
          <w:sz w:val="20"/>
          <w:u w:val="none"/>
        </w:rPr>
        <w:t>Communication → Oral Presentation; Professionalism → Quality and Attention to Detail</w:t>
      </w:r>
      <w:r>
        <w:rPr>
          <w:rFonts w:ascii="DM Sans" w:hAnsi="DM Sans" w:cs="DM Sans"/>
          <w:b w:val="0"/>
          <w:i w:val="0"/>
          <w:color w:val="050C2A"/>
          <w:sz w:val="20"/>
          <w:u w:val="none"/>
        </w:rPr>
        <w:t xml:space="preserve"> </w:t>
      </w:r>
      <w:r>
        <w:rPr>
          <w:rFonts w:ascii="DM Sans" w:hAnsi="DM Sans" w:cs="DM Sans"/>
          <w:b w:val="0"/>
          <w:i/>
          <w:color w:val="050C2A"/>
          <w:sz w:val="20"/>
          <w:u w:val="none"/>
        </w:rPr>
        <w:t>Evaluates slide design and visual support for the narrative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691"/>
            <w:shd w:fill="FF7C0A" w:val="clear"/>
            <w:vAlign w:val="center"/>
          </w:tcPr>
          <w:p>
            <w:pPr>
              <w:jc w:val="left"/>
              <w:spacing w:before="40" w:after="40"/>
            </w:pPr>
            <w:r>
              <w:rPr>
                <w:rFonts w:ascii="DM Sans" w:hAnsi="DM Sans" w:cs="DM Sans"/>
                <w:b/>
                <w:i w:val="0"/>
                <w:color w:val="FFFFFF"/>
                <w:sz w:val="20"/>
                <w:u w:val="none"/>
              </w:rPr>
              <w:t>Level</w:t>
            </w:r>
          </w:p>
        </w:tc>
        <w:tc>
          <w:tcPr>
            <w:tcW w:type="dxa" w:w="7669"/>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691"/>
            <w:vAlign w:val="center"/>
          </w:tcPr>
          <w:p>
            <w:pPr>
              <w:spacing w:before="30" w:after="30"/>
            </w:pPr>
            <w:r>
              <w:rPr>
                <w:rFonts w:ascii="DM Sans" w:hAnsi="DM Sans" w:cs="DM Sans"/>
                <w:b/>
                <w:i w:val="0"/>
                <w:color w:val="050C2A"/>
                <w:sz w:val="20"/>
                <w:u w:val="none"/>
              </w:rPr>
              <w:t>Exemplary (4)</w:t>
            </w:r>
          </w:p>
        </w:tc>
        <w:tc>
          <w:tcPr>
            <w:tcW w:type="dxa" w:w="7669"/>
            <w:vAlign w:val="center"/>
          </w:tcPr>
          <w:p>
            <w:pPr>
              <w:spacing w:before="30" w:after="30"/>
            </w:pPr>
            <w:r>
              <w:rPr>
                <w:rFonts w:ascii="DM Sans" w:hAnsi="DM Sans" w:cs="DM Sans"/>
                <w:b w:val="0"/>
                <w:i w:val="0"/>
                <w:color w:val="050C2A"/>
                <w:sz w:val="20"/>
                <w:u w:val="none"/>
              </w:rPr>
              <w:t>Slides enhance the presentation rather than duplicating it — they visualize key data, reinforce the narrative structure, and give the audience visual anchors for complex points. Design is clean, consistent, and professional. Text is minimal and purposeful; the slides are not scripts. Visual choices (charts, diagrams, imagery) are appropriate for the content and audience. The slide deck functions as an effective companion to the spoken presentation.</w:t>
            </w:r>
          </w:p>
        </w:tc>
      </w:tr>
      <w:tr>
        <w:tc>
          <w:tcPr>
            <w:tcW w:type="dxa" w:w="1691"/>
            <w:shd w:fill="F5F5F5" w:val="clear"/>
            <w:vAlign w:val="center"/>
          </w:tcPr>
          <w:p>
            <w:pPr>
              <w:spacing w:before="30" w:after="30"/>
            </w:pPr>
            <w:r>
              <w:rPr>
                <w:rFonts w:ascii="DM Sans" w:hAnsi="DM Sans" w:cs="DM Sans"/>
                <w:b/>
                <w:i w:val="0"/>
                <w:color w:val="050C2A"/>
                <w:sz w:val="20"/>
                <w:u w:val="none"/>
              </w:rPr>
              <w:t>Proficient (3)</w:t>
            </w:r>
          </w:p>
        </w:tc>
        <w:tc>
          <w:tcPr>
            <w:tcW w:type="dxa" w:w="7669"/>
            <w:shd w:fill="F5F5F5" w:val="clear"/>
            <w:vAlign w:val="center"/>
          </w:tcPr>
          <w:p>
            <w:pPr>
              <w:spacing w:before="30" w:after="30"/>
            </w:pPr>
            <w:r>
              <w:rPr>
                <w:rFonts w:ascii="DM Sans" w:hAnsi="DM Sans" w:cs="DM Sans"/>
                <w:b w:val="0"/>
                <w:i w:val="0"/>
                <w:color w:val="050C2A"/>
                <w:sz w:val="20"/>
                <w:u w:val="none"/>
              </w:rPr>
              <w:t>Slides support the presentation and are clear, readable, and professionally formatted. Visual design is consistent. Most slides use visuals or concise text rather than dense paragraphs. The slide deck helps the audience follow the narrative and locate key information. Minor design inconsistencies do not distract.</w:t>
            </w:r>
          </w:p>
        </w:tc>
      </w:tr>
      <w:tr>
        <w:tc>
          <w:tcPr>
            <w:tcW w:type="dxa" w:w="1691"/>
            <w:vAlign w:val="center"/>
          </w:tcPr>
          <w:p>
            <w:pPr>
              <w:spacing w:before="30" w:after="30"/>
            </w:pPr>
            <w:r>
              <w:rPr>
                <w:rFonts w:ascii="DM Sans" w:hAnsi="DM Sans" w:cs="DM Sans"/>
                <w:b/>
                <w:i w:val="0"/>
                <w:color w:val="050C2A"/>
                <w:sz w:val="20"/>
                <w:u w:val="none"/>
              </w:rPr>
              <w:t>Developing (2)</w:t>
            </w:r>
          </w:p>
        </w:tc>
        <w:tc>
          <w:tcPr>
            <w:tcW w:type="dxa" w:w="7669"/>
            <w:vAlign w:val="center"/>
          </w:tcPr>
          <w:p>
            <w:pPr>
              <w:spacing w:before="30" w:after="30"/>
            </w:pPr>
            <w:r>
              <w:rPr>
                <w:rFonts w:ascii="DM Sans" w:hAnsi="DM Sans" w:cs="DM Sans"/>
                <w:b w:val="0"/>
                <w:i w:val="0"/>
                <w:color w:val="050C2A"/>
                <w:sz w:val="20"/>
                <w:u w:val="none"/>
              </w:rPr>
              <w:t>Slides are present but only partially support the presentation. Some slides may be text-heavy, visually inconsistent, or not clearly connected to what the speaker is saying. The audience can see the slides but they don't meaningfully enhance understanding. Design issues (cluttered layouts, inconsistent formatting, hard-to-read text) are noticeable.</w:t>
            </w:r>
          </w:p>
        </w:tc>
      </w:tr>
      <w:tr>
        <w:tc>
          <w:tcPr>
            <w:tcW w:type="dxa" w:w="1691"/>
            <w:shd w:fill="F5F5F5" w:val="clear"/>
            <w:vAlign w:val="center"/>
          </w:tcPr>
          <w:p>
            <w:pPr>
              <w:spacing w:before="30" w:after="30"/>
            </w:pPr>
            <w:r>
              <w:rPr>
                <w:rFonts w:ascii="DM Sans" w:hAnsi="DM Sans" w:cs="DM Sans"/>
                <w:b/>
                <w:i w:val="0"/>
                <w:color w:val="050C2A"/>
                <w:sz w:val="20"/>
                <w:u w:val="none"/>
              </w:rPr>
              <w:t>Emerging (1)</w:t>
            </w:r>
          </w:p>
        </w:tc>
        <w:tc>
          <w:tcPr>
            <w:tcW w:type="dxa" w:w="7669"/>
            <w:shd w:fill="F5F5F5" w:val="clear"/>
            <w:vAlign w:val="center"/>
          </w:tcPr>
          <w:p>
            <w:pPr>
              <w:spacing w:before="30" w:after="30"/>
            </w:pPr>
            <w:r>
              <w:rPr>
                <w:rFonts w:ascii="DM Sans" w:hAnsi="DM Sans" w:cs="DM Sans"/>
                <w:b w:val="0"/>
                <w:i w:val="0"/>
                <w:color w:val="050C2A"/>
                <w:sz w:val="20"/>
                <w:u w:val="none"/>
              </w:rPr>
              <w:t>Slides are poorly designed, difficult to read, or misaligned with the spoken content. The deck may feel like an afterthought — slides that were thrown together without attention to how they support the narrative. Design is unprofessional or inconsistent to the point of distraction.</w:t>
            </w:r>
          </w:p>
        </w:tc>
      </w:tr>
      <w:tr>
        <w:tc>
          <w:tcPr>
            <w:tcW w:type="dxa" w:w="1691"/>
            <w:vAlign w:val="center"/>
          </w:tcPr>
          <w:p>
            <w:pPr>
              <w:spacing w:before="30" w:after="30"/>
            </w:pPr>
            <w:r>
              <w:rPr>
                <w:rFonts w:ascii="DM Sans" w:hAnsi="DM Sans" w:cs="DM Sans"/>
                <w:b/>
                <w:i w:val="0"/>
                <w:color w:val="050C2A"/>
                <w:sz w:val="20"/>
                <w:u w:val="none"/>
              </w:rPr>
              <w:t>Not Acceptable (0)</w:t>
            </w:r>
          </w:p>
        </w:tc>
        <w:tc>
          <w:tcPr>
            <w:tcW w:type="dxa" w:w="7669"/>
            <w:vAlign w:val="center"/>
          </w:tcPr>
          <w:p>
            <w:pPr>
              <w:spacing w:before="30" w:after="30"/>
            </w:pPr>
            <w:r>
              <w:rPr>
                <w:rFonts w:ascii="DM Sans" w:hAnsi="DM Sans" w:cs="DM Sans"/>
                <w:b w:val="0"/>
                <w:i w:val="0"/>
                <w:color w:val="050C2A"/>
                <w:sz w:val="20"/>
                <w:u w:val="none"/>
              </w:rPr>
              <w:t>No meaningful attempt at visual communication. Slides are incomprehensible, blank, or completely unrelated to the presentation.</w:t>
            </w:r>
          </w:p>
        </w:tc>
      </w:tr>
    </w:tbl>
    <w:p>
      <w:pPr>
        <w:spacing w:before="0" w:after="120"/>
      </w:pPr>
    </w:p>
    <w:p>
      <w:pPr>
        <w:spacing w:before="0" w:after="120" w:line="276" w:lineRule="auto"/>
      </w:pPr>
      <w:r>
        <w:rPr>
          <w:rFonts w:ascii="DM Sans" w:hAnsi="DM Sans" w:cs="DM Sans"/>
          <w:b/>
          <w:i w:val="0"/>
          <w:color w:val="050C2A"/>
          <w:sz w:val="20"/>
          <w:u w:val="none"/>
        </w:rPr>
        <w:t>Boundary principle:</w:t>
      </w:r>
      <w:r>
        <w:rPr>
          <w:rFonts w:ascii="DM Sans" w:hAnsi="DM Sans" w:cs="DM Sans"/>
          <w:b w:val="0"/>
          <w:i w:val="0"/>
          <w:color w:val="050C2A"/>
          <w:sz w:val="20"/>
          <w:u w:val="none"/>
        </w:rPr>
        <w:t xml:space="preserve"> Visual Communication is silent on the substance of what was presented (Content &amp; Synthesis), the quality of the speakers' delivery (Delivery &amp; Presence), and how the team handles questions (Q&amp;A Handling). It asks only: do the visuals support the narrative and meet professional standards?</w:t>
      </w:r>
    </w:p>
    <w:p>
      <w:pPr>
        <w:spacing w:before="280" w:after="100"/>
      </w:pPr>
      <w:r>
        <w:rPr>
          <w:rFonts w:ascii="DM Sans" w:hAnsi="DM Sans" w:cs="DM Sans"/>
          <w:b/>
          <w:i w:val="0"/>
          <w:color w:val="050C2A"/>
          <w:sz w:val="28"/>
          <w:u w:val="none"/>
        </w:rPr>
        <w:t>Dimension 4: Q&amp;A Handling</w:t>
      </w:r>
    </w:p>
    <w:p>
      <w:pPr>
        <w:spacing w:before="0" w:after="120" w:line="276" w:lineRule="auto"/>
      </w:pPr>
      <w:r>
        <w:rPr>
          <w:rFonts w:ascii="DM Sans" w:hAnsi="DM Sans" w:cs="DM Sans"/>
          <w:b w:val="0"/>
          <w:i/>
          <w:color w:val="050C2A"/>
          <w:sz w:val="20"/>
          <w:u w:val="none"/>
        </w:rPr>
        <w:t>Communication → Active Listening; Critical Thinking → Evidence-Based Reasoning</w:t>
      </w:r>
      <w:r>
        <w:rPr>
          <w:rFonts w:ascii="DM Sans" w:hAnsi="DM Sans" w:cs="DM Sans"/>
          <w:b w:val="0"/>
          <w:i w:val="0"/>
          <w:color w:val="050C2A"/>
          <w:sz w:val="20"/>
          <w:u w:val="none"/>
        </w:rPr>
        <w:t xml:space="preserve"> </w:t>
      </w:r>
      <w:r>
        <w:rPr>
          <w:rFonts w:ascii="DM Sans" w:hAnsi="DM Sans" w:cs="DM Sans"/>
          <w:b w:val="0"/>
          <w:i/>
          <w:color w:val="050C2A"/>
          <w:sz w:val="20"/>
          <w:u w:val="none"/>
        </w:rPr>
        <w:t>Evaluates responsiveness to questions and depth of understanding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549"/>
            <w:shd w:fill="FF7C0A" w:val="clear"/>
            <w:vAlign w:val="center"/>
          </w:tcPr>
          <w:p>
            <w:pPr>
              <w:jc w:val="left"/>
              <w:spacing w:before="40" w:after="40"/>
            </w:pPr>
            <w:r>
              <w:rPr>
                <w:rFonts w:ascii="DM Sans" w:hAnsi="DM Sans" w:cs="DM Sans"/>
                <w:b/>
                <w:i w:val="0"/>
                <w:color w:val="FFFFFF"/>
                <w:sz w:val="20"/>
                <w:u w:val="none"/>
              </w:rPr>
              <w:t>Level</w:t>
            </w:r>
          </w:p>
        </w:tc>
        <w:tc>
          <w:tcPr>
            <w:tcW w:type="dxa" w:w="781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549"/>
            <w:vAlign w:val="center"/>
          </w:tcPr>
          <w:p>
            <w:pPr>
              <w:spacing w:before="30" w:after="30"/>
            </w:pPr>
            <w:r>
              <w:rPr>
                <w:rFonts w:ascii="DM Sans" w:hAnsi="DM Sans" w:cs="DM Sans"/>
                <w:b/>
                <w:i w:val="0"/>
                <w:color w:val="050C2A"/>
                <w:sz w:val="20"/>
                <w:u w:val="none"/>
              </w:rPr>
              <w:t>Exemplary (4)</w:t>
            </w:r>
          </w:p>
        </w:tc>
        <w:tc>
          <w:tcPr>
            <w:tcW w:type="dxa" w:w="7811"/>
            <w:vAlign w:val="center"/>
          </w:tcPr>
          <w:p>
            <w:pPr>
              <w:spacing w:before="30" w:after="30"/>
            </w:pPr>
            <w:r>
              <w:rPr>
                <w:rFonts w:ascii="DM Sans" w:hAnsi="DM Sans" w:cs="DM Sans"/>
                <w:b w:val="0"/>
                <w:i w:val="0"/>
                <w:color w:val="050C2A"/>
                <w:sz w:val="20"/>
                <w:u w:val="none"/>
              </w:rPr>
              <w:t>The team listens carefully to questions and responds to what was actually asked, not a rehearsed approximation. Answers demonstrate deep understanding of the research, analysis, and recommendations — speakers can explain the reasoning behind their work, not just restate conclusions. When a question goes beyond the prepared content, the team engages thoughtfully rather than deflecting. Multiple team members contribute to Q&amp;A, demonstrating shared ownership of the work. Where appropriate, the team acknowledges limitations or areas of uncertainty honestly.</w:t>
            </w:r>
          </w:p>
        </w:tc>
      </w:tr>
      <w:tr>
        <w:tc>
          <w:tcPr>
            <w:tcW w:type="dxa" w:w="1549"/>
            <w:shd w:fill="F5F5F5" w:val="clear"/>
            <w:vAlign w:val="center"/>
          </w:tcPr>
          <w:p>
            <w:pPr>
              <w:spacing w:before="30" w:after="30"/>
            </w:pPr>
            <w:r>
              <w:rPr>
                <w:rFonts w:ascii="DM Sans" w:hAnsi="DM Sans" w:cs="DM Sans"/>
                <w:b/>
                <w:i w:val="0"/>
                <w:color w:val="050C2A"/>
                <w:sz w:val="20"/>
                <w:u w:val="none"/>
              </w:rPr>
              <w:t>Proficient (3)</w:t>
            </w:r>
          </w:p>
        </w:tc>
        <w:tc>
          <w:tcPr>
            <w:tcW w:type="dxa" w:w="7811"/>
            <w:shd w:fill="F5F5F5" w:val="clear"/>
            <w:vAlign w:val="center"/>
          </w:tcPr>
          <w:p>
            <w:pPr>
              <w:spacing w:before="30" w:after="30"/>
            </w:pPr>
            <w:r>
              <w:rPr>
                <w:rFonts w:ascii="DM Sans" w:hAnsi="DM Sans" w:cs="DM Sans"/>
                <w:b w:val="0"/>
                <w:i w:val="0"/>
                <w:color w:val="050C2A"/>
                <w:sz w:val="20"/>
                <w:u w:val="none"/>
              </w:rPr>
              <w:t>The team listens to questions and provides relevant, substantive responses. Answers reflect genuine understanding of the work — speakers can explain their reasoning when asked. The team handles most questions competently, though some responses may lack depth or specificity. Team members share Q&amp;A responsibility. Honest acknowledgment of uncertainty is present when relevant.</w:t>
            </w:r>
          </w:p>
        </w:tc>
      </w:tr>
      <w:tr>
        <w:tc>
          <w:tcPr>
            <w:tcW w:type="dxa" w:w="1549"/>
            <w:vAlign w:val="center"/>
          </w:tcPr>
          <w:p>
            <w:pPr>
              <w:spacing w:before="30" w:after="30"/>
            </w:pPr>
            <w:r>
              <w:rPr>
                <w:rFonts w:ascii="DM Sans" w:hAnsi="DM Sans" w:cs="DM Sans"/>
                <w:b/>
                <w:i w:val="0"/>
                <w:color w:val="050C2A"/>
                <w:sz w:val="20"/>
                <w:u w:val="none"/>
              </w:rPr>
              <w:t>Developing (2)</w:t>
            </w:r>
          </w:p>
        </w:tc>
        <w:tc>
          <w:tcPr>
            <w:tcW w:type="dxa" w:w="7811"/>
            <w:vAlign w:val="center"/>
          </w:tcPr>
          <w:p>
            <w:pPr>
              <w:spacing w:before="30" w:after="30"/>
            </w:pPr>
            <w:r>
              <w:rPr>
                <w:rFonts w:ascii="DM Sans" w:hAnsi="DM Sans" w:cs="DM Sans"/>
                <w:b w:val="0"/>
                <w:i w:val="0"/>
                <w:color w:val="050C2A"/>
                <w:sz w:val="20"/>
                <w:u w:val="none"/>
              </w:rPr>
              <w:t>Responses address questions but sometimes miss the point or default to rehearsed talking points rather than engaging with the specific question asked. Some answers reveal surface-level understanding — the speaker can restate findings but struggles to explain the reasoning behind them. Q&amp;A responsibility may fall disproportionately on one team member. The team may avoid acknowledging uncertainty or limitations.</w:t>
            </w:r>
          </w:p>
        </w:tc>
      </w:tr>
      <w:tr>
        <w:tc>
          <w:tcPr>
            <w:tcW w:type="dxa" w:w="1549"/>
            <w:shd w:fill="F5F5F5" w:val="clear"/>
            <w:vAlign w:val="center"/>
          </w:tcPr>
          <w:p>
            <w:pPr>
              <w:spacing w:before="30" w:after="30"/>
            </w:pPr>
            <w:r>
              <w:rPr>
                <w:rFonts w:ascii="DM Sans" w:hAnsi="DM Sans" w:cs="DM Sans"/>
                <w:b/>
                <w:i w:val="0"/>
                <w:color w:val="050C2A"/>
                <w:sz w:val="20"/>
                <w:u w:val="none"/>
              </w:rPr>
              <w:t>Emerging (1)</w:t>
            </w:r>
          </w:p>
        </w:tc>
        <w:tc>
          <w:tcPr>
            <w:tcW w:type="dxa" w:w="7811"/>
            <w:shd w:fill="F5F5F5" w:val="clear"/>
            <w:vAlign w:val="center"/>
          </w:tcPr>
          <w:p>
            <w:pPr>
              <w:spacing w:before="30" w:after="30"/>
            </w:pPr>
            <w:r>
              <w:rPr>
                <w:rFonts w:ascii="DM Sans" w:hAnsi="DM Sans" w:cs="DM Sans"/>
                <w:b w:val="0"/>
                <w:i w:val="0"/>
                <w:color w:val="050C2A"/>
                <w:sz w:val="20"/>
                <w:u w:val="none"/>
              </w:rPr>
              <w:t>Responses are frequently off-target, vague, or reveal that speakers cannot explain their own team's work. Questions are deflected, answered with rehearsed content that doesn't address what was asked, or met with visible confusion. Q&amp;A is handled by one person while others remain silent. The team cannot engage meaningfully with questions about their work.</w:t>
            </w:r>
          </w:p>
        </w:tc>
      </w:tr>
      <w:tr>
        <w:tc>
          <w:tcPr>
            <w:tcW w:type="dxa" w:w="1549"/>
            <w:vAlign w:val="center"/>
          </w:tcPr>
          <w:p>
            <w:pPr>
              <w:spacing w:before="30" w:after="30"/>
            </w:pPr>
            <w:r>
              <w:rPr>
                <w:rFonts w:ascii="DM Sans" w:hAnsi="DM Sans" w:cs="DM Sans"/>
                <w:b/>
                <w:i w:val="0"/>
                <w:color w:val="050C2A"/>
                <w:sz w:val="20"/>
                <w:u w:val="none"/>
              </w:rPr>
              <w:t>Not Acceptable (0)</w:t>
            </w:r>
          </w:p>
        </w:tc>
        <w:tc>
          <w:tcPr>
            <w:tcW w:type="dxa" w:w="7811"/>
            <w:vAlign w:val="center"/>
          </w:tcPr>
          <w:p>
            <w:pPr>
              <w:spacing w:before="30" w:after="30"/>
            </w:pPr>
            <w:r>
              <w:rPr>
                <w:rFonts w:ascii="DM Sans" w:hAnsi="DM Sans" w:cs="DM Sans"/>
                <w:b w:val="0"/>
                <w:i w:val="0"/>
                <w:color w:val="050C2A"/>
                <w:sz w:val="20"/>
                <w:u w:val="none"/>
              </w:rPr>
              <w:t>No meaningful attempt to engage in Q&amp;A. The team was unable or unwilling to respond to questions about their work.</w:t>
            </w:r>
          </w:p>
        </w:tc>
      </w:tr>
    </w:tbl>
    <w:p>
      <w:pPr>
        <w:spacing w:before="0" w:after="120"/>
      </w:pPr>
    </w:p>
    <w:p>
      <w:pPr>
        <w:spacing w:before="0" w:after="120" w:line="276" w:lineRule="auto"/>
      </w:pPr>
      <w:r>
        <w:rPr>
          <w:rFonts w:ascii="DM Sans" w:hAnsi="DM Sans" w:cs="DM Sans"/>
          <w:b/>
          <w:i w:val="0"/>
          <w:color w:val="050C2A"/>
          <w:sz w:val="20"/>
          <w:u w:val="none"/>
        </w:rPr>
        <w:t>Boundary principle:</w:t>
      </w:r>
      <w:r>
        <w:rPr>
          <w:rFonts w:ascii="DM Sans" w:hAnsi="DM Sans" w:cs="DM Sans"/>
          <w:b w:val="0"/>
          <w:i w:val="0"/>
          <w:color w:val="050C2A"/>
          <w:sz w:val="20"/>
          <w:u w:val="none"/>
        </w:rPr>
        <w:t xml:space="preserve"> Q&amp;A Handling is silent on the substance of the prepared presentation (Content &amp; Synthesis), the quality of the speakers' delivery during the presentation (Delivery &amp; Presence), and the effectiveness of the slides (Visual Communication). It asks only: do responses demonstrate genuine understanding of the work?</w:t>
      </w:r>
    </w:p>
    <w:p>
      <w:pPr>
        <w:spacing w:before="280" w:after="100"/>
      </w:pPr>
      <w:r>
        <w:rPr>
          <w:rFonts w:ascii="DM Sans" w:hAnsi="DM Sans" w:cs="DM Sans"/>
          <w:b/>
          <w:i w:val="0"/>
          <w:color w:val="050C2A"/>
          <w:sz w:val="28"/>
          <w:u w:val="none"/>
        </w:rPr>
        <w:t>Design Principles</w:t>
      </w:r>
    </w:p>
    <w:p>
      <w:pPr>
        <w:spacing w:before="0" w:after="120" w:line="276" w:lineRule="auto"/>
      </w:pPr>
      <w:r>
        <w:rPr>
          <w:rFonts w:ascii="DM Sans" w:hAnsi="DM Sans" w:cs="DM Sans"/>
          <w:b w:val="0"/>
          <w:i w:val="0"/>
          <w:color w:val="050C2A"/>
          <w:sz w:val="20"/>
          <w:u w:val="none"/>
        </w:rPr>
        <w:t>The following principles guided rubric construction and should inform any future refinement.</w:t>
      </w:r>
    </w:p>
    <w:p>
      <w:pPr>
        <w:spacing w:before="0" w:after="120" w:line="276" w:lineRule="auto"/>
      </w:pPr>
      <w:r>
        <w:rPr>
          <w:rFonts w:ascii="DM Sans" w:hAnsi="DM Sans" w:cs="DM Sans"/>
          <w:b/>
          <w:i w:val="0"/>
          <w:color w:val="050C2A"/>
          <w:sz w:val="20"/>
          <w:u w:val="none"/>
        </w:rPr>
        <w:t>Proficient is the anchor.</w:t>
      </w:r>
      <w:r>
        <w:rPr>
          <w:rFonts w:ascii="DM Sans" w:hAnsi="DM Sans" w:cs="DM Sans"/>
          <w:b w:val="0"/>
          <w:i w:val="0"/>
          <w:color w:val="050C2A"/>
          <w:sz w:val="20"/>
          <w:u w:val="none"/>
        </w:rPr>
        <w:t xml:space="preserve"> Every dimension was written Proficient-first. Proficient describes a presentation a reasonable instructor would accept without hesitation but wouldn't single out as exceptional. All other levels calibrate off it.</w:t>
      </w:r>
    </w:p>
    <w:p>
      <w:pPr>
        <w:spacing w:before="0" w:after="120" w:line="276" w:lineRule="auto"/>
      </w:pPr>
      <w:r>
        <w:rPr>
          <w:rFonts w:ascii="DM Sans" w:hAnsi="DM Sans" w:cs="DM Sans"/>
          <w:b/>
          <w:i w:val="0"/>
          <w:color w:val="050C2A"/>
          <w:sz w:val="20"/>
          <w:u w:val="none"/>
        </w:rPr>
        <w:t>Every phrase is observable in the room.</w:t>
      </w:r>
      <w:r>
        <w:rPr>
          <w:rFonts w:ascii="DM Sans" w:hAnsi="DM Sans" w:cs="DM Sans"/>
          <w:b w:val="0"/>
          <w:i w:val="0"/>
          <w:color w:val="050C2A"/>
          <w:sz w:val="20"/>
          <w:u w:val="none"/>
        </w:rPr>
        <w:t xml:space="preserve"> Evaluators assess what they see and hear during the presentation and Q&amp;A, not what they remember from reading the deliverable. If a descriptor requires cross-referencing another document, it was reframed around what's visible in the presentation itself.</w:t>
      </w:r>
    </w:p>
    <w:p>
      <w:pPr>
        <w:spacing w:before="0" w:after="120" w:line="276" w:lineRule="auto"/>
      </w:pPr>
      <w:r>
        <w:rPr>
          <w:rFonts w:ascii="DM Sans" w:hAnsi="DM Sans" w:cs="DM Sans"/>
          <w:b/>
          <w:i w:val="0"/>
          <w:color w:val="050C2A"/>
          <w:sz w:val="20"/>
          <w:u w:val="none"/>
        </w:rPr>
        <w:t>The presentation is not the deliverable.</w:t>
      </w:r>
      <w:r>
        <w:rPr>
          <w:rFonts w:ascii="DM Sans" w:hAnsi="DM Sans" w:cs="DM Sans"/>
          <w:b w:val="0"/>
          <w:i w:val="0"/>
          <w:color w:val="050C2A"/>
          <w:sz w:val="20"/>
          <w:u w:val="none"/>
        </w:rPr>
        <w:t xml:space="preserve"> Content &amp; Synthesis assesses whether the team can tell a coherent story about their work — not whether the underlying work is good. A team with a strong deliverable might give a poor presentation; a team with a weaker deliverable might present it compellingly. Score what you see in the room, not what you read in the document.</w:t>
      </w:r>
    </w:p>
    <w:p>
      <w:pPr>
        <w:spacing w:before="0" w:after="120" w:line="276" w:lineRule="auto"/>
      </w:pPr>
      <w:r>
        <w:rPr>
          <w:rFonts w:ascii="DM Sans" w:hAnsi="DM Sans" w:cs="DM Sans"/>
          <w:b/>
          <w:i w:val="0"/>
          <w:color w:val="050C2A"/>
          <w:sz w:val="20"/>
          <w:u w:val="none"/>
        </w:rPr>
        <w:t>Descriptors are tight; the grading guide carries examples.</w:t>
      </w:r>
      <w:r>
        <w:rPr>
          <w:rFonts w:ascii="DM Sans" w:hAnsi="DM Sans" w:cs="DM Sans"/>
          <w:b w:val="0"/>
          <w:i w:val="0"/>
          <w:color w:val="050C2A"/>
          <w:sz w:val="20"/>
          <w:u w:val="none"/>
        </w:rPr>
        <w:t xml:space="preserve"> The rubric is precise but not exhaustive. Concrete illustrations of what descriptors look like in practice belong in the grading guide, not the rubric itself. This keeps the rubric usable for both students and evaluators.</w:t>
      </w:r>
    </w:p>
    <w:p>
      <w:pPr>
        <w:spacing w:before="0" w:after="120" w:line="276" w:lineRule="auto"/>
      </w:pPr>
      <w:r>
        <w:rPr>
          <w:rFonts w:ascii="DM Sans" w:hAnsi="DM Sans" w:cs="DM Sans"/>
          <w:b/>
          <w:i w:val="0"/>
          <w:color w:val="050C2A"/>
          <w:sz w:val="20"/>
          <w:u w:val="none"/>
        </w:rPr>
        <w:t>Dimensions have clean boundaries.</w:t>
      </w:r>
      <w:r>
        <w:rPr>
          <w:rFonts w:ascii="DM Sans" w:hAnsi="DM Sans" w:cs="DM Sans"/>
          <w:b w:val="0"/>
          <w:i w:val="0"/>
          <w:color w:val="050C2A"/>
          <w:sz w:val="20"/>
          <w:u w:val="none"/>
        </w:rPr>
        <w:t xml:space="preserve"> Each dimension assesses one thing and is silent on the others. Content &amp; Synthesis measures narrative and framing. Delivery &amp; Presence measures how the team communicates. Visual Communication measures slide design and visual support. Q&amp;A Handling measures responsiveness and depth of understanding. No dimension double-counts what another already captures.</w:t>
      </w:r>
    </w:p>
    <w:p>
      <w:pPr>
        <w:spacing w:before="0" w:after="120" w:line="276" w:lineRule="auto"/>
      </w:pPr>
      <w:r>
        <w:rPr>
          <w:rFonts w:ascii="DM Sans" w:hAnsi="DM Sans" w:cs="DM Sans"/>
          <w:b/>
          <w:i w:val="0"/>
          <w:color w:val="050C2A"/>
          <w:sz w:val="20"/>
          <w:u w:val="none"/>
        </w:rPr>
        <w:t>Team coordination is a communication quality.</w:t>
      </w:r>
      <w:r>
        <w:rPr>
          <w:rFonts w:ascii="DM Sans" w:hAnsi="DM Sans" w:cs="DM Sans"/>
          <w:b w:val="0"/>
          <w:i w:val="0"/>
          <w:color w:val="050C2A"/>
          <w:sz w:val="20"/>
          <w:u w:val="none"/>
        </w:rPr>
        <w:t xml:space="preserve"> Smooth handoffs, balanced participation, and the team functioning as a unit are assessed within Delivery &amp; Presence. Balanced participation does not mean equal time — what matters is that the team functions as a coordinated unit. Teamwork competencies are assessed exclusively through Professional Engagement (peer evaluation).</w:t>
      </w:r>
    </w:p>
    <w:p>
      <w:pPr>
        <w:spacing w:before="0" w:after="120" w:line="276" w:lineRule="auto"/>
      </w:pPr>
      <w:r>
        <w:rPr>
          <w:rFonts w:ascii="DM Sans" w:hAnsi="DM Sans" w:cs="DM Sans"/>
          <w:b/>
          <w:i w:val="0"/>
          <w:color w:val="050C2A"/>
          <w:sz w:val="20"/>
          <w:u w:val="none"/>
        </w:rPr>
        <w:t>Q&amp;A rewards understanding, not performance.</w:t>
      </w:r>
      <w:r>
        <w:rPr>
          <w:rFonts w:ascii="DM Sans" w:hAnsi="DM Sans" w:cs="DM Sans"/>
          <w:b w:val="0"/>
          <w:i w:val="0"/>
          <w:color w:val="050C2A"/>
          <w:sz w:val="20"/>
          <w:u w:val="none"/>
        </w:rPr>
        <w:t xml:space="preserve"> The defend-your-work standard means Q&amp;A assesses whether students can explain the reasoning behind their work, not whether they give polished answers. Honest acknowledgment of limitations is a sign of understanding, not a weakness.</w:t>
      </w:r>
    </w:p>
    <w:p>
      <w:pPr>
        <w:spacing w:before="0" w:after="120" w:line="276" w:lineRule="auto"/>
      </w:pPr>
      <w:r>
        <w:rPr>
          <w:rFonts w:ascii="DM Sans" w:hAnsi="DM Sans" w:cs="DM Sans"/>
          <w:b/>
          <w:i w:val="0"/>
          <w:color w:val="050C2A"/>
          <w:sz w:val="20"/>
          <w:u w:val="none"/>
        </w:rPr>
        <w:t>AI-assisted slide design is permitted with disclosure.</w:t>
      </w:r>
      <w:r>
        <w:rPr>
          <w:rFonts w:ascii="DM Sans" w:hAnsi="DM Sans" w:cs="DM Sans"/>
          <w:b w:val="0"/>
          <w:i w:val="0"/>
          <w:color w:val="050C2A"/>
          <w:sz w:val="20"/>
          <w:u w:val="none"/>
        </w:rPr>
        <w:t xml:space="preserve"> The rubric assesses whether slides effectively support the presentation — not whether they were hand-designed. A beautifully AI-generated deck that doesn't connect to what the speakers are saying scores lower than a simpler deck that effectively anchors the narrative.</w:t>
      </w:r>
    </w:p>
    <w:p>
      <w:pPr>
        <w:spacing w:before="0" w:after="120" w:line="276" w:lineRule="auto"/>
      </w:pPr>
      <w:r>
        <w:rPr>
          <w:rFonts w:ascii="DM Sans" w:hAnsi="DM Sans" w:cs="DM Sans"/>
          <w:b/>
          <w:i w:val="0"/>
          <w:color w:val="050C2A"/>
          <w:sz w:val="20"/>
          <w:u w:val="none"/>
        </w:rPr>
        <w:t>Calibration before the event is essential.</w:t>
      </w:r>
      <w:r>
        <w:rPr>
          <w:rFonts w:ascii="DM Sans" w:hAnsi="DM Sans" w:cs="DM Sans"/>
          <w:b w:val="0"/>
          <w:i w:val="0"/>
          <w:color w:val="050C2A"/>
          <w:sz w:val="20"/>
          <w:u w:val="none"/>
        </w:rPr>
        <w:t xml:space="preserve"> Live presentations cannot be re-watched. If multiple graders are evaluating presentations, conduct a norming session before presentation day. Graders should take contemporaneous notes on each dimension during the presentation to support their scoring.</w:t>
      </w:r>
    </w:p>
    <w:p>
      <w:pPr>
        <w:spacing w:before="0" w:after="120" w:line="276" w:lineRule="auto"/>
      </w:pPr>
      <w:r>
        <w:rPr>
          <w:rFonts w:ascii="DM Sans" w:hAnsi="DM Sans" w:cs="DM Sans"/>
          <w:b/>
          <w:i w:val="0"/>
          <w:color w:val="050C2A"/>
          <w:sz w:val="20"/>
          <w:u w:val="none"/>
        </w:rPr>
        <w:t>Unequal weights reflect scope and importance.</w:t>
      </w:r>
      <w:r>
        <w:rPr>
          <w:rFonts w:ascii="DM Sans" w:hAnsi="DM Sans" w:cs="DM Sans"/>
          <w:b w:val="0"/>
          <w:i w:val="0"/>
          <w:color w:val="050C2A"/>
          <w:sz w:val="20"/>
          <w:u w:val="none"/>
        </w:rPr>
        <w:t xml:space="preserve"> Content &amp; Synthesis (30%) carries the highest weight as the intellectual core. Delivery &amp; Presence and Q&amp;A Handling (25% each) capture two distinct communication skills — prepared and unrehearsed. Visual Communication (20%) is significant but weighted to avoid over-rewarding polish.</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