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Structured Reflection — Grading Guide</w:t>
      </w:r>
    </w:p>
    <w:p>
      <w:pPr>
        <w:spacing w:before="0" w:after="120" w:line="276" w:lineRule="auto"/>
      </w:pPr>
      <w:r>
        <w:rPr>
          <w:rFonts w:ascii="DM Sans" w:hAnsi="DM Sans" w:cs="DM Sans"/>
          <w:b w:val="0"/>
          <w:i/>
          <w:color w:val="050C2A"/>
          <w:sz w:val="20"/>
          <w:u w:val="none"/>
        </w:rPr>
        <w:t>Riipen Experience | Evaluator Reference Document</w:t>
      </w:r>
      <w:r>
        <w:rPr>
          <w:rFonts w:ascii="DM Sans" w:hAnsi="DM Sans" w:cs="DM Sans"/>
          <w:b w:val="0"/>
          <w:i w:val="0"/>
          <w:color w:val="050C2A"/>
          <w:sz w:val="20"/>
          <w:u w:val="none"/>
        </w:rPr>
        <w:t xml:space="preserve"> </w:t>
      </w:r>
      <w:r>
        <w:rPr>
          <w:rFonts w:ascii="DM Sans" w:hAnsi="DM Sans" w:cs="DM Sans"/>
          <w:b w:val="0"/>
          <w:i/>
          <w:color w:val="050C2A"/>
          <w:sz w:val="20"/>
          <w:u w:val="none"/>
        </w:rPr>
        <w:t>Companion to the Structured Reflection Assignment Framework &amp; Rubric</w:t>
      </w:r>
    </w:p>
    <w:p>
      <w:pPr>
        <w:pBdr>
          <w:bottom w:val="single" w:sz="6" w:space="1" w:color="ACACAC"/>
        </w:pBdr>
        <w:spacing w:before="120" w:after="120"/>
      </w:pPr>
    </w:p>
    <w:p>
      <w:pPr>
        <w:spacing w:before="280" w:after="100"/>
      </w:pPr>
      <w:r>
        <w:rPr>
          <w:rFonts w:ascii="DM Sans" w:hAnsi="DM Sans" w:cs="DM Sans"/>
          <w:b/>
          <w:i w:val="0"/>
          <w:color w:val="050C2A"/>
          <w:sz w:val="28"/>
          <w:u w:val="none"/>
        </w:rPr>
        <w:t>How to Use This Guide</w:t>
      </w:r>
    </w:p>
    <w:p>
      <w:pPr>
        <w:spacing w:before="0" w:after="120" w:line="276" w:lineRule="auto"/>
      </w:pPr>
      <w:r>
        <w:rPr>
          <w:rFonts w:ascii="DM Sans" w:hAnsi="DM Sans" w:cs="DM Sans"/>
          <w:b w:val="0"/>
          <w:i w:val="0"/>
          <w:color w:val="050C2A"/>
          <w:sz w:val="20"/>
          <w:u w:val="none"/>
        </w:rPr>
        <w:t>This guide is a calibration tool for evaluators applying the Structured Reflection rubric. It supplements — but does not replace — the rubric itself.</w:t>
      </w:r>
    </w:p>
    <w:p>
      <w:pPr>
        <w:spacing w:before="0" w:after="120" w:line="276" w:lineRule="auto"/>
      </w:pPr>
      <w:r>
        <w:rPr>
          <w:rFonts w:ascii="DM Sans" w:hAnsi="DM Sans" w:cs="DM Sans"/>
          <w:b w:val="0"/>
          <w:i w:val="0"/>
          <w:color w:val="050C2A"/>
          <w:sz w:val="20"/>
          <w:u w:val="none"/>
        </w:rPr>
        <w:t>The rubric descriptors are deliberately tight. They tell evaluators what to look for. This guide shows what those descriptors look like in practice by providing concrete examples at each level, flagging common edge cases, and clarifying boundary decisions between adjacent levels.</w:t>
      </w:r>
    </w:p>
    <w:p>
      <w:pPr>
        <w:spacing w:before="0" w:after="120" w:line="276" w:lineRule="auto"/>
      </w:pPr>
      <w:r>
        <w:rPr>
          <w:rFonts w:ascii="DM Sans" w:hAnsi="DM Sans" w:cs="DM Sans"/>
          <w:b w:val="0"/>
          <w:i w:val="0"/>
          <w:color w:val="050C2A"/>
          <w:sz w:val="20"/>
          <w:u w:val="none"/>
        </w:rPr>
        <w:t xml:space="preserve">All examples are drawn from </w:t>
      </w:r>
      <w:r>
        <w:rPr>
          <w:rFonts w:ascii="DM Sans" w:hAnsi="DM Sans" w:cs="DM Sans"/>
          <w:b/>
          <w:i w:val="0"/>
          <w:color w:val="050C2A"/>
          <w:sz w:val="20"/>
          <w:u w:val="none"/>
        </w:rPr>
        <w:t>Reflection #2 (Week 6)</w:t>
      </w:r>
      <w:r>
        <w:rPr>
          <w:rFonts w:ascii="DM Sans" w:hAnsi="DM Sans" w:cs="DM Sans"/>
          <w:b w:val="0"/>
          <w:i w:val="0"/>
          <w:color w:val="050C2A"/>
          <w:sz w:val="20"/>
          <w:u w:val="none"/>
        </w:rPr>
        <w:t>, which asks students to examine their encounter with ambiguity during the Discovery phase. Four fictional students on different projects are used — one per dimension — to illustrate how the rubric applies across project types and student profiles.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047"/>
            <w:shd w:fill="FF7C0A" w:val="clear"/>
            <w:vAlign w:val="center"/>
          </w:tcPr>
          <w:p>
            <w:pPr>
              <w:jc w:val="left"/>
              <w:spacing w:before="40" w:after="40"/>
            </w:pPr>
            <w:r>
              <w:rPr>
                <w:rFonts w:ascii="DM Sans" w:hAnsi="DM Sans" w:cs="DM Sans"/>
                <w:b/>
                <w:i w:val="0"/>
                <w:color w:val="FFFFFF"/>
                <w:sz w:val="20"/>
                <w:u w:val="none"/>
              </w:rPr>
              <w:t>Student</w:t>
            </w:r>
          </w:p>
        </w:tc>
        <w:tc>
          <w:tcPr>
            <w:tcW w:type="dxa" w:w="3644"/>
            <w:shd w:fill="FF7C0A" w:val="clear"/>
            <w:vAlign w:val="center"/>
          </w:tcPr>
          <w:p>
            <w:pPr>
              <w:jc w:val="left"/>
              <w:spacing w:before="40" w:after="40"/>
            </w:pPr>
            <w:r>
              <w:rPr>
                <w:rFonts w:ascii="DM Sans" w:hAnsi="DM Sans" w:cs="DM Sans"/>
                <w:b/>
                <w:i w:val="0"/>
                <w:color w:val="FFFFFF"/>
                <w:sz w:val="20"/>
                <w:u w:val="none"/>
              </w:rPr>
              <w:t>Project</w:t>
            </w:r>
          </w:p>
        </w:tc>
        <w:tc>
          <w:tcPr>
            <w:tcW w:type="dxa" w:w="3669"/>
            <w:shd w:fill="FF7C0A" w:val="clear"/>
            <w:vAlign w:val="center"/>
          </w:tcPr>
          <w:p>
            <w:pPr>
              <w:jc w:val="left"/>
              <w:spacing w:before="40" w:after="40"/>
            </w:pPr>
            <w:r>
              <w:rPr>
                <w:rFonts w:ascii="DM Sans" w:hAnsi="DM Sans" w:cs="DM Sans"/>
                <w:b/>
                <w:i w:val="0"/>
                <w:color w:val="FFFFFF"/>
                <w:sz w:val="20"/>
                <w:u w:val="none"/>
              </w:rPr>
              <w:t>Background</w:t>
            </w:r>
          </w:p>
        </w:tc>
      </w:tr>
      <w:tr>
        <w:tc>
          <w:tcPr>
            <w:tcW w:type="dxa" w:w="2047"/>
            <w:vAlign w:val="center"/>
          </w:tcPr>
          <w:p>
            <w:pPr>
              <w:spacing w:before="30" w:after="30"/>
            </w:pPr>
            <w:r>
              <w:rPr>
                <w:rFonts w:ascii="DM Sans" w:hAnsi="DM Sans" w:cs="DM Sans"/>
                <w:b/>
                <w:i w:val="0"/>
                <w:color w:val="050C2A"/>
                <w:sz w:val="20"/>
                <w:u w:val="none"/>
              </w:rPr>
              <w:t>Priya</w:t>
            </w:r>
            <w:r>
              <w:rPr>
                <w:rFonts w:ascii="DM Sans" w:hAnsi="DM Sans" w:cs="DM Sans"/>
                <w:b w:val="0"/>
                <w:i w:val="0"/>
                <w:color w:val="050C2A"/>
                <w:sz w:val="20"/>
                <w:u w:val="none"/>
              </w:rPr>
              <w:t xml:space="preserve"> (Dimension 1)</w:t>
            </w:r>
          </w:p>
        </w:tc>
        <w:tc>
          <w:tcPr>
            <w:tcW w:type="dxa" w:w="3644"/>
            <w:vAlign w:val="center"/>
          </w:tcPr>
          <w:p>
            <w:pPr>
              <w:spacing w:before="30" w:after="30"/>
            </w:pPr>
            <w:r>
              <w:rPr>
                <w:rFonts w:ascii="DM Sans" w:hAnsi="DM Sans" w:cs="DM Sans"/>
                <w:b w:val="0"/>
                <w:i w:val="0"/>
                <w:color w:val="050C2A"/>
                <w:sz w:val="20"/>
                <w:u w:val="none"/>
              </w:rPr>
              <w:t>Developing a social media content strategy for a regional food bank</w:t>
            </w:r>
          </w:p>
        </w:tc>
        <w:tc>
          <w:tcPr>
            <w:tcW w:type="dxa" w:w="3669"/>
            <w:vAlign w:val="center"/>
          </w:tcPr>
          <w:p>
            <w:pPr>
              <w:spacing w:before="30" w:after="30"/>
            </w:pPr>
            <w:r>
              <w:rPr>
                <w:rFonts w:ascii="DM Sans" w:hAnsi="DM Sans" w:cs="DM Sans"/>
                <w:b w:val="0"/>
                <w:i w:val="0"/>
                <w:color w:val="050C2A"/>
                <w:sz w:val="20"/>
                <w:u w:val="none"/>
              </w:rPr>
              <w:t>Communications major, comfortable with writing, first client-facing project</w:t>
            </w:r>
          </w:p>
        </w:tc>
      </w:tr>
      <w:tr>
        <w:tc>
          <w:tcPr>
            <w:tcW w:type="dxa" w:w="2047"/>
            <w:shd w:fill="F5F5F5" w:val="clear"/>
            <w:vAlign w:val="center"/>
          </w:tcPr>
          <w:p>
            <w:pPr>
              <w:spacing w:before="30" w:after="30"/>
            </w:pPr>
            <w:r>
              <w:rPr>
                <w:rFonts w:ascii="DM Sans" w:hAnsi="DM Sans" w:cs="DM Sans"/>
                <w:b/>
                <w:i w:val="0"/>
                <w:color w:val="050C2A"/>
                <w:sz w:val="20"/>
                <w:u w:val="none"/>
              </w:rPr>
              <w:t>Marcus</w:t>
            </w:r>
            <w:r>
              <w:rPr>
                <w:rFonts w:ascii="DM Sans" w:hAnsi="DM Sans" w:cs="DM Sans"/>
                <w:b w:val="0"/>
                <w:i w:val="0"/>
                <w:color w:val="050C2A"/>
                <w:sz w:val="20"/>
                <w:u w:val="none"/>
              </w:rPr>
              <w:t xml:space="preserve"> (Dimension 2)</w:t>
            </w:r>
          </w:p>
        </w:tc>
        <w:tc>
          <w:tcPr>
            <w:tcW w:type="dxa" w:w="3644"/>
            <w:shd w:fill="F5F5F5" w:val="clear"/>
            <w:vAlign w:val="center"/>
          </w:tcPr>
          <w:p>
            <w:pPr>
              <w:spacing w:before="30" w:after="30"/>
            </w:pPr>
            <w:r>
              <w:rPr>
                <w:rFonts w:ascii="DM Sans" w:hAnsi="DM Sans" w:cs="DM Sans"/>
                <w:b w:val="0"/>
                <w:i w:val="0"/>
                <w:color w:val="050C2A"/>
                <w:sz w:val="20"/>
                <w:u w:val="none"/>
              </w:rPr>
              <w:t>Creating a competitive analysis and recommendations for a small SaaS company</w:t>
            </w:r>
          </w:p>
        </w:tc>
        <w:tc>
          <w:tcPr>
            <w:tcW w:type="dxa" w:w="3669"/>
            <w:shd w:fill="F5F5F5" w:val="clear"/>
            <w:vAlign w:val="center"/>
          </w:tcPr>
          <w:p>
            <w:pPr>
              <w:spacing w:before="30" w:after="30"/>
            </w:pPr>
            <w:r>
              <w:rPr>
                <w:rFonts w:ascii="DM Sans" w:hAnsi="DM Sans" w:cs="DM Sans"/>
                <w:b w:val="0"/>
                <w:i w:val="0"/>
                <w:color w:val="050C2A"/>
                <w:sz w:val="20"/>
                <w:u w:val="none"/>
              </w:rPr>
              <w:t>Business major, data-oriented, tends to lead with confidence</w:t>
            </w:r>
          </w:p>
        </w:tc>
      </w:tr>
      <w:tr>
        <w:tc>
          <w:tcPr>
            <w:tcW w:type="dxa" w:w="2047"/>
            <w:vAlign w:val="center"/>
          </w:tcPr>
          <w:p>
            <w:pPr>
              <w:spacing w:before="30" w:after="30"/>
            </w:pPr>
            <w:r>
              <w:rPr>
                <w:rFonts w:ascii="DM Sans" w:hAnsi="DM Sans" w:cs="DM Sans"/>
                <w:b/>
                <w:i w:val="0"/>
                <w:color w:val="050C2A"/>
                <w:sz w:val="20"/>
                <w:u w:val="none"/>
              </w:rPr>
              <w:t>Jade</w:t>
            </w:r>
            <w:r>
              <w:rPr>
                <w:rFonts w:ascii="DM Sans" w:hAnsi="DM Sans" w:cs="DM Sans"/>
                <w:b w:val="0"/>
                <w:i w:val="0"/>
                <w:color w:val="050C2A"/>
                <w:sz w:val="20"/>
                <w:u w:val="none"/>
              </w:rPr>
              <w:t xml:space="preserve"> (Dimension 3)</w:t>
            </w:r>
          </w:p>
        </w:tc>
        <w:tc>
          <w:tcPr>
            <w:tcW w:type="dxa" w:w="3644"/>
            <w:vAlign w:val="center"/>
          </w:tcPr>
          <w:p>
            <w:pPr>
              <w:spacing w:before="30" w:after="30"/>
            </w:pPr>
            <w:r>
              <w:rPr>
                <w:rFonts w:ascii="DM Sans" w:hAnsi="DM Sans" w:cs="DM Sans"/>
                <w:b w:val="0"/>
                <w:i w:val="0"/>
                <w:color w:val="050C2A"/>
                <w:sz w:val="20"/>
                <w:u w:val="none"/>
              </w:rPr>
              <w:t>Designing an onboarding guide for a nonprofit's volunteer program</w:t>
            </w:r>
          </w:p>
        </w:tc>
        <w:tc>
          <w:tcPr>
            <w:tcW w:type="dxa" w:w="3669"/>
            <w:vAlign w:val="center"/>
          </w:tcPr>
          <w:p>
            <w:pPr>
              <w:spacing w:before="30" w:after="30"/>
            </w:pPr>
            <w:r>
              <w:rPr>
                <w:rFonts w:ascii="DM Sans" w:hAnsi="DM Sans" w:cs="DM Sans"/>
                <w:b w:val="0"/>
                <w:i w:val="0"/>
                <w:color w:val="050C2A"/>
                <w:sz w:val="20"/>
                <w:u w:val="none"/>
              </w:rPr>
              <w:t>Psychology major, quiet on the team, strong one-on-one but reserved in groups</w:t>
            </w:r>
          </w:p>
        </w:tc>
      </w:tr>
      <w:tr>
        <w:tc>
          <w:tcPr>
            <w:tcW w:type="dxa" w:w="2047"/>
            <w:shd w:fill="F5F5F5" w:val="clear"/>
            <w:vAlign w:val="center"/>
          </w:tcPr>
          <w:p>
            <w:pPr>
              <w:spacing w:before="30" w:after="30"/>
            </w:pPr>
            <w:r>
              <w:rPr>
                <w:rFonts w:ascii="DM Sans" w:hAnsi="DM Sans" w:cs="DM Sans"/>
                <w:b/>
                <w:i w:val="0"/>
                <w:color w:val="050C2A"/>
                <w:sz w:val="20"/>
                <w:u w:val="none"/>
              </w:rPr>
              <w:t>Tomás</w:t>
            </w:r>
            <w:r>
              <w:rPr>
                <w:rFonts w:ascii="DM Sans" w:hAnsi="DM Sans" w:cs="DM Sans"/>
                <w:b w:val="0"/>
                <w:i w:val="0"/>
                <w:color w:val="050C2A"/>
                <w:sz w:val="20"/>
                <w:u w:val="none"/>
              </w:rPr>
              <w:t xml:space="preserve"> (Dimension 4)</w:t>
            </w:r>
          </w:p>
        </w:tc>
        <w:tc>
          <w:tcPr>
            <w:tcW w:type="dxa" w:w="3644"/>
            <w:shd w:fill="F5F5F5" w:val="clear"/>
            <w:vAlign w:val="center"/>
          </w:tcPr>
          <w:p>
            <w:pPr>
              <w:spacing w:before="30" w:after="30"/>
            </w:pPr>
            <w:r>
              <w:rPr>
                <w:rFonts w:ascii="DM Sans" w:hAnsi="DM Sans" w:cs="DM Sans"/>
                <w:b w:val="0"/>
                <w:i w:val="0"/>
                <w:color w:val="050C2A"/>
                <w:sz w:val="20"/>
                <w:u w:val="none"/>
              </w:rPr>
              <w:t>Building a stakeholder engagement plan for a local transit authority</w:t>
            </w:r>
          </w:p>
        </w:tc>
        <w:tc>
          <w:tcPr>
            <w:tcW w:type="dxa" w:w="3669"/>
            <w:shd w:fill="F5F5F5" w:val="clear"/>
            <w:vAlign w:val="center"/>
          </w:tcPr>
          <w:p>
            <w:pPr>
              <w:spacing w:before="30" w:after="30"/>
            </w:pPr>
            <w:r>
              <w:rPr>
                <w:rFonts w:ascii="DM Sans" w:hAnsi="DM Sans" w:cs="DM Sans"/>
                <w:b w:val="0"/>
                <w:i w:val="0"/>
                <w:color w:val="050C2A"/>
                <w:sz w:val="20"/>
                <w:u w:val="none"/>
              </w:rPr>
              <w:t>Public policy major, experienced with research, first team-based project</w:t>
            </w:r>
          </w:p>
        </w:tc>
      </w:tr>
    </w:tbl>
    <w:p>
      <w:pPr>
        <w:spacing w:before="0" w:after="120"/>
      </w:pPr>
    </w:p>
    <w:p>
      <w:pPr>
        <w:spacing w:before="0" w:after="120" w:line="276" w:lineRule="auto"/>
      </w:pPr>
      <w:r>
        <w:rPr>
          <w:rFonts w:ascii="DM Sans" w:hAnsi="DM Sans" w:cs="DM Sans"/>
          <w:b/>
          <w:i w:val="0"/>
          <w:color w:val="050C2A"/>
          <w:sz w:val="20"/>
          <w:u w:val="none"/>
        </w:rPr>
        <w:t>Three principles govern every scoring decision:</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Score the document in front of you.</w:t>
      </w:r>
      <w:r>
        <w:rPr>
          <w:rFonts w:ascii="DM Sans" w:hAnsi="DM Sans" w:cs="DM Sans"/>
          <w:b w:val="0"/>
          <w:i w:val="0"/>
          <w:color w:val="050C2A"/>
          <w:sz w:val="20"/>
          <w:u w:val="none"/>
        </w:rPr>
        <w:t xml:space="preserve"> Every descriptor is observable from the submitted reflection alone. Evaluators should never cross-reference the student's intake questionnaire, peer evaluations, or employer feedback to determine a score. If the student mentions something from their intake, evaluate the quality of how they use it — not whether it matches what they actually wrote in Week 1.</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Each dimension is independent.</w:t>
      </w:r>
      <w:r>
        <w:rPr>
          <w:rFonts w:ascii="DM Sans" w:hAnsi="DM Sans" w:cs="DM Sans"/>
          <w:b w:val="0"/>
          <w:i w:val="0"/>
          <w:color w:val="050C2A"/>
          <w:sz w:val="20"/>
          <w:u w:val="none"/>
        </w:rPr>
        <w:t xml:space="preserve"> Descriptive Specificity is silent on analysis. Critical Examination is silent on self-implication. Personal Accountability is silent on transferable insight. Articulation of Learning is silent on description. Score each dimension on its own terms.</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Proficient is the anchor.</w:t>
      </w:r>
      <w:r>
        <w:rPr>
          <w:rFonts w:ascii="DM Sans" w:hAnsi="DM Sans" w:cs="DM Sans"/>
          <w:b w:val="0"/>
          <w:i w:val="0"/>
          <w:color w:val="050C2A"/>
          <w:sz w:val="20"/>
          <w:u w:val="none"/>
        </w:rPr>
        <w:t xml:space="preserve"> Proficient (3) describes a reflection a reasonable instructor would accept without hesitation but would not single out as exceptional. When in doubt, ask: "Would I accept this without concern?" If yes, it is at least Proficient. Then ask: "Is there something here that goes beyond what I'd expect?" If yes, consider Exemplary.</w:t>
      </w:r>
    </w:p>
    <w:p>
      <w:pPr>
        <w:spacing w:before="280" w:after="100"/>
      </w:pPr>
      <w:r>
        <w:rPr>
          <w:rFonts w:ascii="DM Sans" w:hAnsi="DM Sans" w:cs="DM Sans"/>
          <w:b/>
          <w:i w:val="0"/>
          <w:color w:val="050C2A"/>
          <w:sz w:val="28"/>
          <w:u w:val="none"/>
        </w:rPr>
        <w:t>Scoring Scale Reference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592"/>
            <w:shd w:fill="FF7C0A" w:val="clear"/>
            <w:vAlign w:val="center"/>
          </w:tcPr>
          <w:p>
            <w:pPr>
              <w:jc w:val="left"/>
              <w:spacing w:before="40" w:after="40"/>
            </w:pPr>
            <w:r>
              <w:rPr>
                <w:rFonts w:ascii="DM Sans" w:hAnsi="DM Sans" w:cs="DM Sans"/>
                <w:b/>
                <w:i w:val="0"/>
                <w:color w:val="FFFFFF"/>
                <w:sz w:val="20"/>
                <w:u w:val="none"/>
              </w:rPr>
              <w:t>Level</w:t>
            </w:r>
          </w:p>
        </w:tc>
        <w:tc>
          <w:tcPr>
            <w:tcW w:type="dxa" w:w="2665"/>
            <w:shd w:fill="FF7C0A" w:val="clear"/>
            <w:vAlign w:val="center"/>
          </w:tcPr>
          <w:p>
            <w:pPr>
              <w:jc w:val="left"/>
              <w:spacing w:before="40" w:after="40"/>
            </w:pPr>
            <w:r>
              <w:rPr>
                <w:rFonts w:ascii="DM Sans" w:hAnsi="DM Sans" w:cs="DM Sans"/>
                <w:b/>
                <w:i w:val="0"/>
                <w:color w:val="FFFFFF"/>
                <w:sz w:val="20"/>
                <w:u w:val="none"/>
              </w:rPr>
              <w:t>Label</w:t>
            </w:r>
          </w:p>
        </w:tc>
        <w:tc>
          <w:tcPr>
            <w:tcW w:type="dxa" w:w="2252"/>
            <w:shd w:fill="FF7C0A" w:val="clear"/>
            <w:vAlign w:val="center"/>
          </w:tcPr>
          <w:p>
            <w:pPr>
              <w:jc w:val="left"/>
              <w:spacing w:before="40" w:after="40"/>
            </w:pPr>
            <w:r>
              <w:rPr>
                <w:rFonts w:ascii="DM Sans" w:hAnsi="DM Sans" w:cs="DM Sans"/>
                <w:b/>
                <w:i w:val="0"/>
                <w:color w:val="FFFFFF"/>
                <w:sz w:val="20"/>
                <w:u w:val="none"/>
              </w:rPr>
              <w:t>Percentage</w:t>
            </w:r>
          </w:p>
        </w:tc>
        <w:tc>
          <w:tcPr>
            <w:tcW w:type="dxa" w:w="2851"/>
            <w:shd w:fill="FF7C0A" w:val="clear"/>
            <w:vAlign w:val="center"/>
          </w:tcPr>
          <w:p>
            <w:pPr>
              <w:jc w:val="left"/>
              <w:spacing w:before="40" w:after="40"/>
            </w:pPr>
            <w:r>
              <w:rPr>
                <w:rFonts w:ascii="DM Sans" w:hAnsi="DM Sans" w:cs="DM Sans"/>
                <w:b/>
                <w:i w:val="0"/>
                <w:color w:val="FFFFFF"/>
                <w:sz w:val="20"/>
                <w:u w:val="none"/>
              </w:rPr>
              <w:t>Grade Equivalent</w:t>
            </w:r>
          </w:p>
        </w:tc>
      </w:tr>
      <w:tr>
        <w:tc>
          <w:tcPr>
            <w:tcW w:type="dxa" w:w="1592"/>
            <w:vAlign w:val="center"/>
          </w:tcPr>
          <w:p>
            <w:pPr>
              <w:spacing w:before="30" w:after="30"/>
            </w:pPr>
            <w:r>
              <w:rPr>
                <w:rFonts w:ascii="DM Sans" w:hAnsi="DM Sans" w:cs="DM Sans"/>
                <w:b w:val="0"/>
                <w:i w:val="0"/>
                <w:color w:val="050C2A"/>
                <w:sz w:val="20"/>
                <w:u w:val="none"/>
              </w:rPr>
              <w:t>4</w:t>
            </w:r>
          </w:p>
        </w:tc>
        <w:tc>
          <w:tcPr>
            <w:tcW w:type="dxa" w:w="2665"/>
            <w:vAlign w:val="center"/>
          </w:tcPr>
          <w:p>
            <w:pPr>
              <w:spacing w:before="30" w:after="30"/>
            </w:pPr>
            <w:r>
              <w:rPr>
                <w:rFonts w:ascii="DM Sans" w:hAnsi="DM Sans" w:cs="DM Sans"/>
                <w:b w:val="0"/>
                <w:i w:val="0"/>
                <w:color w:val="050C2A"/>
                <w:sz w:val="20"/>
                <w:u w:val="none"/>
              </w:rPr>
              <w:t>Exemplary</w:t>
            </w:r>
          </w:p>
        </w:tc>
        <w:tc>
          <w:tcPr>
            <w:tcW w:type="dxa" w:w="2252"/>
            <w:vAlign w:val="center"/>
          </w:tcPr>
          <w:p>
            <w:pPr>
              <w:spacing w:before="30" w:after="30"/>
            </w:pPr>
            <w:r>
              <w:rPr>
                <w:rFonts w:ascii="DM Sans" w:hAnsi="DM Sans" w:cs="DM Sans"/>
                <w:b w:val="0"/>
                <w:i w:val="0"/>
                <w:color w:val="050C2A"/>
                <w:sz w:val="20"/>
                <w:u w:val="none"/>
              </w:rPr>
              <w:t>95%</w:t>
            </w:r>
          </w:p>
        </w:tc>
        <w:tc>
          <w:tcPr>
            <w:tcW w:type="dxa" w:w="2851"/>
            <w:vAlign w:val="center"/>
          </w:tcPr>
          <w:p>
            <w:pPr>
              <w:spacing w:before="30" w:after="30"/>
            </w:pPr>
            <w:r>
              <w:rPr>
                <w:rFonts w:ascii="DM Sans" w:hAnsi="DM Sans" w:cs="DM Sans"/>
                <w:b w:val="0"/>
                <w:i w:val="0"/>
                <w:color w:val="050C2A"/>
                <w:sz w:val="20"/>
                <w:u w:val="none"/>
              </w:rPr>
              <w:t>A</w:t>
            </w:r>
          </w:p>
        </w:tc>
      </w:tr>
      <w:tr>
        <w:tc>
          <w:tcPr>
            <w:tcW w:type="dxa" w:w="1592"/>
            <w:shd w:fill="F5F5F5" w:val="clear"/>
            <w:vAlign w:val="center"/>
          </w:tcPr>
          <w:p>
            <w:pPr>
              <w:spacing w:before="30" w:after="30"/>
            </w:pPr>
            <w:r>
              <w:rPr>
                <w:rFonts w:ascii="DM Sans" w:hAnsi="DM Sans" w:cs="DM Sans"/>
                <w:b w:val="0"/>
                <w:i w:val="0"/>
                <w:color w:val="050C2A"/>
                <w:sz w:val="20"/>
                <w:u w:val="none"/>
              </w:rPr>
              <w:t>3</w:t>
            </w:r>
          </w:p>
        </w:tc>
        <w:tc>
          <w:tcPr>
            <w:tcW w:type="dxa" w:w="2665"/>
            <w:shd w:fill="F5F5F5" w:val="clear"/>
            <w:vAlign w:val="center"/>
          </w:tcPr>
          <w:p>
            <w:pPr>
              <w:spacing w:before="30" w:after="30"/>
            </w:pPr>
            <w:r>
              <w:rPr>
                <w:rFonts w:ascii="DM Sans" w:hAnsi="DM Sans" w:cs="DM Sans"/>
                <w:b w:val="0"/>
                <w:i w:val="0"/>
                <w:color w:val="050C2A"/>
                <w:sz w:val="20"/>
                <w:u w:val="none"/>
              </w:rPr>
              <w:t>Proficient</w:t>
            </w:r>
          </w:p>
        </w:tc>
        <w:tc>
          <w:tcPr>
            <w:tcW w:type="dxa" w:w="2252"/>
            <w:shd w:fill="F5F5F5" w:val="clear"/>
            <w:vAlign w:val="center"/>
          </w:tcPr>
          <w:p>
            <w:pPr>
              <w:spacing w:before="30" w:after="30"/>
            </w:pPr>
            <w:r>
              <w:rPr>
                <w:rFonts w:ascii="DM Sans" w:hAnsi="DM Sans" w:cs="DM Sans"/>
                <w:b w:val="0"/>
                <w:i w:val="0"/>
                <w:color w:val="050C2A"/>
                <w:sz w:val="20"/>
                <w:u w:val="none"/>
              </w:rPr>
              <w:t>85%</w:t>
            </w:r>
          </w:p>
        </w:tc>
        <w:tc>
          <w:tcPr>
            <w:tcW w:type="dxa" w:w="2851"/>
            <w:shd w:fill="F5F5F5" w:val="clear"/>
            <w:vAlign w:val="center"/>
          </w:tcPr>
          <w:p>
            <w:pPr>
              <w:spacing w:before="30" w:after="30"/>
            </w:pPr>
            <w:r>
              <w:rPr>
                <w:rFonts w:ascii="DM Sans" w:hAnsi="DM Sans" w:cs="DM Sans"/>
                <w:b w:val="0"/>
                <w:i w:val="0"/>
                <w:color w:val="050C2A"/>
                <w:sz w:val="20"/>
                <w:u w:val="none"/>
              </w:rPr>
              <w:t>B</w:t>
            </w:r>
          </w:p>
        </w:tc>
      </w:tr>
      <w:tr>
        <w:tc>
          <w:tcPr>
            <w:tcW w:type="dxa" w:w="1592"/>
            <w:vAlign w:val="center"/>
          </w:tcPr>
          <w:p>
            <w:pPr>
              <w:spacing w:before="30" w:after="30"/>
            </w:pPr>
            <w:r>
              <w:rPr>
                <w:rFonts w:ascii="DM Sans" w:hAnsi="DM Sans" w:cs="DM Sans"/>
                <w:b w:val="0"/>
                <w:i w:val="0"/>
                <w:color w:val="050C2A"/>
                <w:sz w:val="20"/>
                <w:u w:val="none"/>
              </w:rPr>
              <w:t>2</w:t>
            </w:r>
          </w:p>
        </w:tc>
        <w:tc>
          <w:tcPr>
            <w:tcW w:type="dxa" w:w="2665"/>
            <w:vAlign w:val="center"/>
          </w:tcPr>
          <w:p>
            <w:pPr>
              <w:spacing w:before="30" w:after="30"/>
            </w:pPr>
            <w:r>
              <w:rPr>
                <w:rFonts w:ascii="DM Sans" w:hAnsi="DM Sans" w:cs="DM Sans"/>
                <w:b w:val="0"/>
                <w:i w:val="0"/>
                <w:color w:val="050C2A"/>
                <w:sz w:val="20"/>
                <w:u w:val="none"/>
              </w:rPr>
              <w:t>Developing</w:t>
            </w:r>
          </w:p>
        </w:tc>
        <w:tc>
          <w:tcPr>
            <w:tcW w:type="dxa" w:w="2252"/>
            <w:vAlign w:val="center"/>
          </w:tcPr>
          <w:p>
            <w:pPr>
              <w:spacing w:before="30" w:after="30"/>
            </w:pPr>
            <w:r>
              <w:rPr>
                <w:rFonts w:ascii="DM Sans" w:hAnsi="DM Sans" w:cs="DM Sans"/>
                <w:b w:val="0"/>
                <w:i w:val="0"/>
                <w:color w:val="050C2A"/>
                <w:sz w:val="20"/>
                <w:u w:val="none"/>
              </w:rPr>
              <w:t>75%</w:t>
            </w:r>
          </w:p>
        </w:tc>
        <w:tc>
          <w:tcPr>
            <w:tcW w:type="dxa" w:w="2851"/>
            <w:vAlign w:val="center"/>
          </w:tcPr>
          <w:p>
            <w:pPr>
              <w:spacing w:before="30" w:after="30"/>
            </w:pPr>
            <w:r>
              <w:rPr>
                <w:rFonts w:ascii="DM Sans" w:hAnsi="DM Sans" w:cs="DM Sans"/>
                <w:b w:val="0"/>
                <w:i w:val="0"/>
                <w:color w:val="050C2A"/>
                <w:sz w:val="20"/>
                <w:u w:val="none"/>
              </w:rPr>
              <w:t>C</w:t>
            </w:r>
          </w:p>
        </w:tc>
      </w:tr>
      <w:tr>
        <w:tc>
          <w:tcPr>
            <w:tcW w:type="dxa" w:w="1592"/>
            <w:shd w:fill="F5F5F5" w:val="clear"/>
            <w:vAlign w:val="center"/>
          </w:tcPr>
          <w:p>
            <w:pPr>
              <w:spacing w:before="30" w:after="30"/>
            </w:pPr>
            <w:r>
              <w:rPr>
                <w:rFonts w:ascii="DM Sans" w:hAnsi="DM Sans" w:cs="DM Sans"/>
                <w:b w:val="0"/>
                <w:i w:val="0"/>
                <w:color w:val="050C2A"/>
                <w:sz w:val="20"/>
                <w:u w:val="none"/>
              </w:rPr>
              <w:t>1</w:t>
            </w:r>
          </w:p>
        </w:tc>
        <w:tc>
          <w:tcPr>
            <w:tcW w:type="dxa" w:w="2665"/>
            <w:shd w:fill="F5F5F5" w:val="clear"/>
            <w:vAlign w:val="center"/>
          </w:tcPr>
          <w:p>
            <w:pPr>
              <w:spacing w:before="30" w:after="30"/>
            </w:pPr>
            <w:r>
              <w:rPr>
                <w:rFonts w:ascii="DM Sans" w:hAnsi="DM Sans" w:cs="DM Sans"/>
                <w:b w:val="0"/>
                <w:i w:val="0"/>
                <w:color w:val="050C2A"/>
                <w:sz w:val="20"/>
                <w:u w:val="none"/>
              </w:rPr>
              <w:t>Emerging</w:t>
            </w:r>
          </w:p>
        </w:tc>
        <w:tc>
          <w:tcPr>
            <w:tcW w:type="dxa" w:w="2252"/>
            <w:shd w:fill="F5F5F5" w:val="clear"/>
            <w:vAlign w:val="center"/>
          </w:tcPr>
          <w:p>
            <w:pPr>
              <w:spacing w:before="30" w:after="30"/>
            </w:pPr>
            <w:r>
              <w:rPr>
                <w:rFonts w:ascii="DM Sans" w:hAnsi="DM Sans" w:cs="DM Sans"/>
                <w:b w:val="0"/>
                <w:i w:val="0"/>
                <w:color w:val="050C2A"/>
                <w:sz w:val="20"/>
                <w:u w:val="none"/>
              </w:rPr>
              <w:t>65%</w:t>
            </w:r>
          </w:p>
        </w:tc>
        <w:tc>
          <w:tcPr>
            <w:tcW w:type="dxa" w:w="2851"/>
            <w:shd w:fill="F5F5F5" w:val="clear"/>
            <w:vAlign w:val="center"/>
          </w:tcPr>
          <w:p>
            <w:pPr>
              <w:spacing w:before="30" w:after="30"/>
            </w:pPr>
            <w:r>
              <w:rPr>
                <w:rFonts w:ascii="DM Sans" w:hAnsi="DM Sans" w:cs="DM Sans"/>
                <w:b w:val="0"/>
                <w:i w:val="0"/>
                <w:color w:val="050C2A"/>
                <w:sz w:val="20"/>
                <w:u w:val="none"/>
              </w:rPr>
              <w:t>D</w:t>
            </w:r>
          </w:p>
        </w:tc>
      </w:tr>
      <w:tr>
        <w:tc>
          <w:tcPr>
            <w:tcW w:type="dxa" w:w="1592"/>
            <w:vAlign w:val="center"/>
          </w:tcPr>
          <w:p>
            <w:pPr>
              <w:spacing w:before="30" w:after="30"/>
            </w:pPr>
            <w:r>
              <w:rPr>
                <w:rFonts w:ascii="DM Sans" w:hAnsi="DM Sans" w:cs="DM Sans"/>
                <w:b w:val="0"/>
                <w:i w:val="0"/>
                <w:color w:val="050C2A"/>
                <w:sz w:val="20"/>
                <w:u w:val="none"/>
              </w:rPr>
              <w:t>0</w:t>
            </w:r>
          </w:p>
        </w:tc>
        <w:tc>
          <w:tcPr>
            <w:tcW w:type="dxa" w:w="2665"/>
            <w:vAlign w:val="center"/>
          </w:tcPr>
          <w:p>
            <w:pPr>
              <w:spacing w:before="30" w:after="30"/>
            </w:pPr>
            <w:r>
              <w:rPr>
                <w:rFonts w:ascii="DM Sans" w:hAnsi="DM Sans" w:cs="DM Sans"/>
                <w:b w:val="0"/>
                <w:i w:val="0"/>
                <w:color w:val="050C2A"/>
                <w:sz w:val="20"/>
                <w:u w:val="none"/>
              </w:rPr>
              <w:t>Not Acceptable</w:t>
            </w:r>
          </w:p>
        </w:tc>
        <w:tc>
          <w:tcPr>
            <w:tcW w:type="dxa" w:w="2252"/>
            <w:vAlign w:val="center"/>
          </w:tcPr>
          <w:p>
            <w:pPr>
              <w:spacing w:before="30" w:after="30"/>
            </w:pPr>
            <w:r>
              <w:rPr>
                <w:rFonts w:ascii="DM Sans" w:hAnsi="DM Sans" w:cs="DM Sans"/>
                <w:b w:val="0"/>
                <w:i w:val="0"/>
                <w:color w:val="050C2A"/>
                <w:sz w:val="20"/>
                <w:u w:val="none"/>
              </w:rPr>
              <w:t>0%</w:t>
            </w:r>
          </w:p>
        </w:tc>
        <w:tc>
          <w:tcPr>
            <w:tcW w:type="dxa" w:w="2851"/>
            <w:vAlign w:val="center"/>
          </w:tcPr>
          <w:p>
            <w:pPr>
              <w:spacing w:before="30" w:after="30"/>
            </w:pPr>
            <w:r>
              <w:rPr>
                <w:rFonts w:ascii="DM Sans" w:hAnsi="DM Sans" w:cs="DM Sans"/>
                <w:b w:val="0"/>
                <w:i w:val="0"/>
                <w:color w:val="050C2A"/>
                <w:sz w:val="20"/>
                <w:u w:val="none"/>
              </w:rPr>
              <w:t>F</w:t>
            </w:r>
          </w:p>
        </w:tc>
      </w:tr>
    </w:tbl>
    <w:p>
      <w:pPr>
        <w:spacing w:before="0" w:after="120"/>
      </w:pPr>
    </w:p>
    <w:p>
      <w:pPr>
        <w:spacing w:before="0" w:after="120" w:line="276" w:lineRule="auto"/>
      </w:pPr>
      <w:r>
        <w:rPr>
          <w:rFonts w:ascii="DM Sans" w:hAnsi="DM Sans" w:cs="DM Sans"/>
          <w:b w:val="0"/>
          <w:i w:val="0"/>
          <w:color w:val="050C2A"/>
          <w:sz w:val="20"/>
          <w:u w:val="none"/>
        </w:rPr>
        <w:t>The 0 anchor captures submitted work that makes no real attempt — it is distinct from weak work. The 65% floor for Emerging prevents the mathematical penalty of a zero from disproportionately punishing students who submit genuine but struggling work.</w:t>
      </w:r>
    </w:p>
    <w:p>
      <w:pPr>
        <w:spacing w:before="280" w:after="100"/>
      </w:pPr>
      <w:r>
        <w:rPr>
          <w:rFonts w:ascii="DM Sans" w:hAnsi="DM Sans" w:cs="DM Sans"/>
          <w:b/>
          <w:i w:val="0"/>
          <w:color w:val="050C2A"/>
          <w:sz w:val="28"/>
          <w:u w:val="none"/>
        </w:rPr>
        <w:t>Dimension 1: Descriptive Specificity</w:t>
      </w:r>
    </w:p>
    <w:p>
      <w:pPr>
        <w:spacing w:before="0" w:after="120" w:line="276" w:lineRule="auto"/>
      </w:pPr>
      <w:r>
        <w:rPr>
          <w:rFonts w:ascii="DM Sans" w:hAnsi="DM Sans" w:cs="DM Sans"/>
          <w:b w:val="0"/>
          <w:i/>
          <w:color w:val="050C2A"/>
          <w:sz w:val="20"/>
          <w:u w:val="none"/>
        </w:rPr>
        <w:t>Career &amp; Self-Development → Self-Awareness</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Describe stage</w:t>
      </w:r>
      <w:r>
        <w:rPr>
          <w:rFonts w:ascii="DM Sans" w:hAnsi="DM Sans" w:cs="DM Sans"/>
          <w:b w:val="0"/>
          <w:i w:val="0"/>
          <w:color w:val="050C2A"/>
          <w:sz w:val="20"/>
          <w:u w:val="none"/>
        </w:rPr>
        <w:t xml:space="preserve"> </w:t>
      </w:r>
      <w:r>
        <w:rPr>
          <w:rFonts w:ascii="DM Sans" w:hAnsi="DM Sans" w:cs="DM Sans"/>
          <w:b w:val="0"/>
          <w:i/>
          <w:color w:val="050C2A"/>
          <w:sz w:val="20"/>
          <w:u w:val="none"/>
        </w:rPr>
        <w:t>Weight: 25%</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Can the evaluator tell what actually happened — who was involved, what was said or done, and in what context — or does the description read as a general summary?</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911"/>
            <w:shd w:fill="FF7C0A" w:val="clear"/>
            <w:vAlign w:val="center"/>
          </w:tcPr>
          <w:p>
            <w:pPr>
              <w:jc w:val="left"/>
              <w:spacing w:before="40" w:after="40"/>
            </w:pPr>
            <w:r>
              <w:rPr>
                <w:rFonts w:ascii="DM Sans" w:hAnsi="DM Sans" w:cs="DM Sans"/>
                <w:b/>
                <w:i w:val="0"/>
                <w:color w:val="FFFFFF"/>
                <w:sz w:val="20"/>
                <w:u w:val="none"/>
              </w:rPr>
              <w:t>Level</w:t>
            </w:r>
          </w:p>
        </w:tc>
        <w:tc>
          <w:tcPr>
            <w:tcW w:type="dxa" w:w="7449"/>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911"/>
            <w:vAlign w:val="center"/>
          </w:tcPr>
          <w:p>
            <w:pPr>
              <w:spacing w:before="30" w:after="30"/>
            </w:pPr>
            <w:r>
              <w:rPr>
                <w:rFonts w:ascii="DM Sans" w:hAnsi="DM Sans" w:cs="DM Sans"/>
                <w:b/>
                <w:i w:val="0"/>
                <w:color w:val="050C2A"/>
                <w:sz w:val="20"/>
                <w:u w:val="none"/>
              </w:rPr>
              <w:t>Exemplary (4)</w:t>
            </w:r>
          </w:p>
        </w:tc>
        <w:tc>
          <w:tcPr>
            <w:tcW w:type="dxa" w:w="7449"/>
            <w:vAlign w:val="center"/>
          </w:tcPr>
          <w:p>
            <w:pPr>
              <w:spacing w:before="30" w:after="30"/>
            </w:pPr>
            <w:r>
              <w:rPr>
                <w:rFonts w:ascii="DM Sans" w:hAnsi="DM Sans" w:cs="DM Sans"/>
                <w:b w:val="0"/>
                <w:i w:val="0"/>
                <w:color w:val="050C2A"/>
                <w:sz w:val="20"/>
                <w:u w:val="none"/>
              </w:rPr>
              <w:t>The experience is described with enough specificity that a reader who wasn't there could understand what happened. Details are concrete — who was involved, what was said or done, what the context was. The description is focused on a specific experience or tightly connected set of experiences rather than a broad summary of the phase.</w:t>
            </w:r>
          </w:p>
        </w:tc>
      </w:tr>
      <w:tr>
        <w:tc>
          <w:tcPr>
            <w:tcW w:type="dxa" w:w="1911"/>
            <w:shd w:fill="F5F5F5" w:val="clear"/>
            <w:vAlign w:val="center"/>
          </w:tcPr>
          <w:p>
            <w:pPr>
              <w:spacing w:before="30" w:after="30"/>
            </w:pPr>
            <w:r>
              <w:rPr>
                <w:rFonts w:ascii="DM Sans" w:hAnsi="DM Sans" w:cs="DM Sans"/>
                <w:b/>
                <w:i w:val="0"/>
                <w:color w:val="050C2A"/>
                <w:sz w:val="20"/>
                <w:u w:val="none"/>
              </w:rPr>
              <w:t>Proficient (3)</w:t>
            </w:r>
          </w:p>
        </w:tc>
        <w:tc>
          <w:tcPr>
            <w:tcW w:type="dxa" w:w="7449"/>
            <w:shd w:fill="F5F5F5" w:val="clear"/>
            <w:vAlign w:val="center"/>
          </w:tcPr>
          <w:p>
            <w:pPr>
              <w:spacing w:before="30" w:after="30"/>
            </w:pPr>
            <w:r>
              <w:rPr>
                <w:rFonts w:ascii="DM Sans" w:hAnsi="DM Sans" w:cs="DM Sans"/>
                <w:b w:val="0"/>
                <w:i w:val="0"/>
                <w:color w:val="050C2A"/>
                <w:sz w:val="20"/>
                <w:u w:val="none"/>
              </w:rPr>
              <w:t>The experience is identifiable and includes concrete details. A reader can follow what happened. The description is reasonably focused, though it may cover slightly more ground than necessary.</w:t>
            </w:r>
          </w:p>
        </w:tc>
      </w:tr>
      <w:tr>
        <w:tc>
          <w:tcPr>
            <w:tcW w:type="dxa" w:w="1911"/>
            <w:vAlign w:val="center"/>
          </w:tcPr>
          <w:p>
            <w:pPr>
              <w:spacing w:before="30" w:after="30"/>
            </w:pPr>
            <w:r>
              <w:rPr>
                <w:rFonts w:ascii="DM Sans" w:hAnsi="DM Sans" w:cs="DM Sans"/>
                <w:b/>
                <w:i w:val="0"/>
                <w:color w:val="050C2A"/>
                <w:sz w:val="20"/>
                <w:u w:val="none"/>
              </w:rPr>
              <w:t>Developing (2)</w:t>
            </w:r>
          </w:p>
        </w:tc>
        <w:tc>
          <w:tcPr>
            <w:tcW w:type="dxa" w:w="7449"/>
            <w:vAlign w:val="center"/>
          </w:tcPr>
          <w:p>
            <w:pPr>
              <w:spacing w:before="30" w:after="30"/>
            </w:pPr>
            <w:r>
              <w:rPr>
                <w:rFonts w:ascii="DM Sans" w:hAnsi="DM Sans" w:cs="DM Sans"/>
                <w:b w:val="0"/>
                <w:i w:val="0"/>
                <w:color w:val="050C2A"/>
                <w:sz w:val="20"/>
                <w:u w:val="none"/>
              </w:rPr>
              <w:t>The experience is described in general terms. A reader gets the gist but lacks the specifics needed to fully understand what happened. The description may be too broad — summarizing a phase rather than focusing on a specific experience.</w:t>
            </w:r>
          </w:p>
        </w:tc>
      </w:tr>
      <w:tr>
        <w:tc>
          <w:tcPr>
            <w:tcW w:type="dxa" w:w="1911"/>
            <w:shd w:fill="F5F5F5" w:val="clear"/>
            <w:vAlign w:val="center"/>
          </w:tcPr>
          <w:p>
            <w:pPr>
              <w:spacing w:before="30" w:after="30"/>
            </w:pPr>
            <w:r>
              <w:rPr>
                <w:rFonts w:ascii="DM Sans" w:hAnsi="DM Sans" w:cs="DM Sans"/>
                <w:b/>
                <w:i w:val="0"/>
                <w:color w:val="050C2A"/>
                <w:sz w:val="20"/>
                <w:u w:val="none"/>
              </w:rPr>
              <w:t>Emerging (1)</w:t>
            </w:r>
          </w:p>
        </w:tc>
        <w:tc>
          <w:tcPr>
            <w:tcW w:type="dxa" w:w="7449"/>
            <w:shd w:fill="F5F5F5" w:val="clear"/>
            <w:vAlign w:val="center"/>
          </w:tcPr>
          <w:p>
            <w:pPr>
              <w:spacing w:before="30" w:after="30"/>
            </w:pPr>
            <w:r>
              <w:rPr>
                <w:rFonts w:ascii="DM Sans" w:hAnsi="DM Sans" w:cs="DM Sans"/>
                <w:b w:val="0"/>
                <w:i w:val="0"/>
                <w:color w:val="050C2A"/>
                <w:sz w:val="20"/>
                <w:u w:val="none"/>
              </w:rPr>
              <w:t>The description is vague or abstract. It reads as a general account of the course phase rather than a specific experience. A reader cannot determine what actually happened.</w:t>
            </w:r>
          </w:p>
        </w:tc>
      </w:tr>
      <w:tr>
        <w:tc>
          <w:tcPr>
            <w:tcW w:type="dxa" w:w="1911"/>
            <w:vAlign w:val="center"/>
          </w:tcPr>
          <w:p>
            <w:pPr>
              <w:spacing w:before="30" w:after="30"/>
            </w:pPr>
            <w:r>
              <w:rPr>
                <w:rFonts w:ascii="DM Sans" w:hAnsi="DM Sans" w:cs="DM Sans"/>
                <w:b/>
                <w:i w:val="0"/>
                <w:color w:val="050C2A"/>
                <w:sz w:val="20"/>
                <w:u w:val="none"/>
              </w:rPr>
              <w:t>Not Acceptable (0)</w:t>
            </w:r>
          </w:p>
        </w:tc>
        <w:tc>
          <w:tcPr>
            <w:tcW w:type="dxa" w:w="7449"/>
            <w:vAlign w:val="center"/>
          </w:tcPr>
          <w:p>
            <w:pPr>
              <w:spacing w:before="30" w:after="30"/>
            </w:pPr>
            <w:r>
              <w:rPr>
                <w:rFonts w:ascii="DM Sans" w:hAnsi="DM Sans" w:cs="DM Sans"/>
                <w:b w:val="0"/>
                <w:i w:val="0"/>
                <w:color w:val="050C2A"/>
                <w:sz w:val="20"/>
                <w:u w:val="none"/>
              </w:rPr>
              <w:t>No meaningful description is provided. The Describe stage is missing, or the content is entirely generic — it could apply to any student in any project.</w:t>
            </w:r>
          </w:p>
        </w:tc>
      </w:tr>
    </w:tbl>
    <w:p>
      <w:pPr>
        <w:spacing w:before="0" w:after="120"/>
      </w:pPr>
    </w:p>
    <w:p>
      <w:pPr>
        <w:spacing w:before="240" w:after="80"/>
      </w:pPr>
      <w:r>
        <w:rPr>
          <w:rFonts w:ascii="DM Sans" w:hAnsi="DM Sans" w:cs="DM Sans"/>
          <w:b/>
          <w:i w:val="0"/>
          <w:color w:val="050C2A"/>
          <w:sz w:val="24"/>
          <w:u w:val="none"/>
        </w:rPr>
        <w:t>What Each Level Looks Like — Priya's Examples</w:t>
      </w:r>
    </w:p>
    <w:p>
      <w:pPr>
        <w:spacing w:before="0" w:after="120" w:line="276" w:lineRule="auto"/>
      </w:pPr>
      <w:r>
        <w:rPr>
          <w:rFonts w:ascii="DM Sans" w:hAnsi="DM Sans" w:cs="DM Sans"/>
          <w:b/>
          <w:i w:val="0"/>
          <w:color w:val="050C2A"/>
          <w:sz w:val="20"/>
          <w:u w:val="none"/>
        </w:rPr>
        <w:t>Priya</w:t>
      </w:r>
      <w:r>
        <w:rPr>
          <w:rFonts w:ascii="DM Sans" w:hAnsi="DM Sans" w:cs="DM Sans"/>
          <w:b w:val="0"/>
          <w:i w:val="0"/>
          <w:color w:val="050C2A"/>
          <w:sz w:val="20"/>
          <w:u w:val="none"/>
        </w:rPr>
        <w:t xml:space="preserve"> is a communications major working on a social media content strategy for a regional food bank. Her Direction Check happened in Week 5, and the employer — the food bank's development director — redirected her team's approach significantly.</w:t>
      </w:r>
    </w:p>
    <w:p>
      <w:pPr>
        <w:spacing w:before="0" w:after="120" w:line="276" w:lineRule="auto"/>
      </w:pPr>
      <w:r>
        <w:rPr>
          <w:rFonts w:ascii="DM Sans" w:hAnsi="DM Sans" w:cs="DM Sans"/>
          <w:b/>
          <w:i w:val="0"/>
          <w:color w:val="050C2A"/>
          <w:sz w:val="20"/>
          <w:u w:val="none"/>
        </w:rPr>
        <w:t>Exemplary (4):</w:t>
      </w:r>
    </w:p>
    <w:p>
      <w:pPr>
        <w:pBdr>
          <w:left w:val="single" w:sz="18" w:space="8" w:color="FF7C0A"/>
        </w:pBdr>
        <w:ind w:left="720"/>
        <w:spacing w:before="120" w:after="120" w:line="276" w:lineRule="auto"/>
      </w:pPr>
      <w:r>
        <w:rPr>
          <w:rFonts w:ascii="DM Sans" w:hAnsi="DM Sans" w:cs="DM Sans"/>
          <w:b w:val="0"/>
          <w:i w:val="0"/>
          <w:color w:val="ACACAC"/>
          <w:sz w:val="20"/>
          <w:u w:val="none"/>
        </w:rPr>
        <w:t>"During our Direction Check on Thursday, we presented what we thought was a strong content strategy: three platform-specific calendars with sample posts, a visual style guide, and a posting schedule. We'd spent about twelve hours on it across the team. About five minutes in, the development director, Angela, stopped us and said something like, 'This is polished, but you're solving the wrong problem. We don't need more content — we need to understand why our current content isn't reaching food-insecure families who don't already know about us.' She pulled up their Instagram analytics on her phone and showed us that their posts were getting good engagement from existing donors but almost zero reach into the communities they actually serve. I remember looking at my teammates and realizing none of us had even considered who wasn't seeing the content — we'd been so focused on making the content better that we hadn't questioned who it was for."</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reader can reconstruct the scene. There's a specific day, a named person, a direct account of what was said, a concrete detail (Angela pulling up analytics on her phone), and a precise description of the moment the student's understanding shifted. The description is focused on one experience — the Direction Check conversation — and gives enough detail for a reader who wasn't there to understand what happened and why it mattered.</w:t>
      </w:r>
    </w:p>
    <w:p>
      <w:pPr>
        <w:spacing w:before="0" w:after="120" w:line="276" w:lineRule="auto"/>
      </w:pPr>
      <w:r>
        <w:rPr>
          <w:rFonts w:ascii="DM Sans" w:hAnsi="DM Sans" w:cs="DM Sans"/>
          <w:b/>
          <w:i w:val="0"/>
          <w:color w:val="050C2A"/>
          <w:sz w:val="20"/>
          <w:u w:val="none"/>
        </w:rPr>
        <w:t>Proficient (3):</w:t>
      </w:r>
    </w:p>
    <w:p>
      <w:pPr>
        <w:pBdr>
          <w:left w:val="single" w:sz="18" w:space="8" w:color="FF7C0A"/>
        </w:pBdr>
        <w:ind w:left="720"/>
        <w:spacing w:before="120" w:after="120" w:line="276" w:lineRule="auto"/>
      </w:pPr>
      <w:r>
        <w:rPr>
          <w:rFonts w:ascii="DM Sans" w:hAnsi="DM Sans" w:cs="DM Sans"/>
          <w:b w:val="0"/>
          <w:i w:val="0"/>
          <w:color w:val="ACACAC"/>
          <w:sz w:val="20"/>
          <w:u w:val="none"/>
        </w:rPr>
        <w:t>"In our Direction Check, we presented our content strategy to the food bank's development director. She told us that our approach was too focused on improving existing content and that the real challenge was reaching new audiences — specifically food-insecure families who aren't already connected to the organization. She showed us some analytics that revealed their social media posts were only engaging people who already followed them. This was a surprise because we'd spent a lot of time on the content plan and thought we were on track."</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The experience is identifiable — a reader knows what happened (the Direction Check), who was involved (development director), and what the key moment was (the redirect). There are concrete details (reaching new audiences, analytics showing existing followers). But the description covers the experience in slightly more compressed, summarized terms. "She showed us some analytics" versus Priya's more specific "pulled up their Instagram analytics on her phone and showed us." The event is clear; the scene is not quite as vivid.</w:t>
      </w:r>
    </w:p>
    <w:p>
      <w:pPr>
        <w:spacing w:before="0" w:after="120" w:line="276" w:lineRule="auto"/>
      </w:pPr>
      <w:r>
        <w:rPr>
          <w:rFonts w:ascii="DM Sans" w:hAnsi="DM Sans" w:cs="DM Sans"/>
          <w:b/>
          <w:i w:val="0"/>
          <w:color w:val="050C2A"/>
          <w:sz w:val="20"/>
          <w:u w:val="none"/>
        </w:rPr>
        <w:t>Developing (2):</w:t>
      </w:r>
    </w:p>
    <w:p>
      <w:pPr>
        <w:pBdr>
          <w:left w:val="single" w:sz="18" w:space="8" w:color="FF7C0A"/>
        </w:pBdr>
        <w:ind w:left="720"/>
        <w:spacing w:before="120" w:after="120" w:line="276" w:lineRule="auto"/>
      </w:pPr>
      <w:r>
        <w:rPr>
          <w:rFonts w:ascii="DM Sans" w:hAnsi="DM Sans" w:cs="DM Sans"/>
          <w:b w:val="0"/>
          <w:i w:val="0"/>
          <w:color w:val="ACACAC"/>
          <w:sz w:val="20"/>
          <w:u w:val="none"/>
        </w:rPr>
        <w:t>"During the Discovery phase, we worked on our content strategy and presented it to the employer during the Direction Check. The employer had a different perspective on what we should be focusing on and suggested we rethink our approach. This was frustrating because we had put a lot of work into what we'd already done. We had to go back and reconsider our strategy based on their feedback."</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A reader gets the gist — the team presented, the employer redirected, the student was frustrated. But the specifics are thin: what was the different perspective? What did "rethink our approach" mean concretely? Who said what? The description could apply to almost any team that received redirecting feedback in any Direction Check. It summarizes a sequence of events rather than describing a specific moment.</w:t>
      </w:r>
    </w:p>
    <w:p>
      <w:pPr>
        <w:spacing w:before="0" w:after="120" w:line="276" w:lineRule="auto"/>
      </w:pPr>
      <w:r>
        <w:rPr>
          <w:rFonts w:ascii="DM Sans" w:hAnsi="DM Sans" w:cs="DM Sans"/>
          <w:b/>
          <w:i w:val="0"/>
          <w:color w:val="050C2A"/>
          <w:sz w:val="20"/>
          <w:u w:val="none"/>
        </w:rPr>
        <w:t>Emerging (1):</w:t>
      </w:r>
    </w:p>
    <w:p>
      <w:pPr>
        <w:pBdr>
          <w:left w:val="single" w:sz="18" w:space="8" w:color="FF7C0A"/>
        </w:pBdr>
        <w:ind w:left="720"/>
        <w:spacing w:before="120" w:after="120" w:line="276" w:lineRule="auto"/>
      </w:pPr>
      <w:r>
        <w:rPr>
          <w:rFonts w:ascii="DM Sans" w:hAnsi="DM Sans" w:cs="DM Sans"/>
          <w:b w:val="0"/>
          <w:i w:val="0"/>
          <w:color w:val="ACACAC"/>
          <w:sz w:val="20"/>
          <w:u w:val="none"/>
        </w:rPr>
        <w:t>"The past few weeks have been challenging as our team has been working through the Discovery phase. We did research, put together our analysis, and presented to our employer. The feedback we received was different from what we expected and we had to adjust our plans."</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This is a phase summary, not a description of an experience. A reader cannot determine what actually happened — what research, what analysis, what feedback, what adjustment? Every phrase is general enough to apply to any student on any project. There is no specific moment, no named individuals, no concrete details.</w:t>
      </w:r>
    </w:p>
    <w:p>
      <w:pPr>
        <w:spacing w:before="0" w:after="120" w:line="276" w:lineRule="auto"/>
      </w:pPr>
      <w:r>
        <w:rPr>
          <w:rFonts w:ascii="DM Sans" w:hAnsi="DM Sans" w:cs="DM Sans"/>
          <w:b/>
          <w:i w:val="0"/>
          <w:color w:val="050C2A"/>
          <w:sz w:val="20"/>
          <w:u w:val="none"/>
        </w:rPr>
        <w:t>Not Acceptable (0):</w:t>
      </w:r>
    </w:p>
    <w:p>
      <w:pPr>
        <w:spacing w:before="0" w:after="120" w:line="276" w:lineRule="auto"/>
      </w:pPr>
      <w:r>
        <w:rPr>
          <w:rFonts w:ascii="DM Sans" w:hAnsi="DM Sans" w:cs="DM Sans"/>
          <w:b w:val="0"/>
          <w:i w:val="0"/>
          <w:color w:val="050C2A"/>
          <w:sz w:val="20"/>
          <w:u w:val="none"/>
        </w:rPr>
        <w:t>The Describe stage is missing entirely, or contains only a sentence or two that convey no specific experience (e.g., "We've been doing our project and learning a lot about working with clients").</w:t>
      </w:r>
    </w:p>
    <w:p>
      <w:pPr>
        <w:spacing w:before="240" w:after="80"/>
      </w:pPr>
      <w:r>
        <w:rPr>
          <w:rFonts w:ascii="DM Sans" w:hAnsi="DM Sans" w:cs="DM Sans"/>
          <w:b/>
          <w:i w:val="0"/>
          <w:color w:val="050C2A"/>
          <w:sz w:val="24"/>
          <w:u w:val="none"/>
        </w:rPr>
        <w:t>Calibration Notes for Descriptive Specificity</w:t>
      </w:r>
    </w:p>
    <w:p>
      <w:pPr>
        <w:spacing w:before="0" w:after="120" w:line="276" w:lineRule="auto"/>
      </w:pPr>
      <w:r>
        <w:rPr>
          <w:rFonts w:ascii="DM Sans" w:hAnsi="DM Sans" w:cs="DM Sans"/>
          <w:b/>
          <w:i w:val="0"/>
          <w:color w:val="050C2A"/>
          <w:sz w:val="20"/>
          <w:u w:val="none"/>
        </w:rPr>
        <w:t>The specificity gradient is the primary lever.</w:t>
      </w:r>
      <w:r>
        <w:rPr>
          <w:rFonts w:ascii="DM Sans" w:hAnsi="DM Sans" w:cs="DM Sans"/>
          <w:b w:val="0"/>
          <w:i w:val="0"/>
          <w:color w:val="050C2A"/>
          <w:sz w:val="20"/>
          <w:u w:val="none"/>
        </w:rPr>
        <w:t xml:space="preserve"> The difference between levels is how concrete and particular the description is: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Exemplary = a reader who wasn't there could reconstruct the scene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Proficient = a reader can follow what happened with reasonable clarity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Developing = a reader gets the gist but can't picture the specifics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Emerging = a reader can't determine what actually happened</w:t>
      </w:r>
    </w:p>
    <w:p>
      <w:pPr>
        <w:spacing w:before="0" w:after="120" w:line="276" w:lineRule="auto"/>
      </w:pPr>
      <w:r>
        <w:rPr>
          <w:rFonts w:ascii="DM Sans" w:hAnsi="DM Sans" w:cs="DM Sans"/>
          <w:b/>
          <w:i w:val="0"/>
          <w:color w:val="050C2A"/>
          <w:sz w:val="20"/>
          <w:u w:val="none"/>
        </w:rPr>
        <w:t>Focus matters as much as detail.</w:t>
      </w:r>
      <w:r>
        <w:rPr>
          <w:rFonts w:ascii="DM Sans" w:hAnsi="DM Sans" w:cs="DM Sans"/>
          <w:b w:val="0"/>
          <w:i w:val="0"/>
          <w:color w:val="050C2A"/>
          <w:sz w:val="20"/>
          <w:u w:val="none"/>
        </w:rPr>
        <w:t xml:space="preserve"> A student who describes three different experiences in surface-level terms is not more specific than a student who describes one experience in depth. Breadth without depth is a Developing indicator. The prompt asks for "one specific moment" — evaluators should note when students ignore this framing and instead summarize an entire phase.</w:t>
      </w:r>
    </w:p>
    <w:p>
      <w:pPr>
        <w:spacing w:before="0" w:after="120" w:line="276" w:lineRule="auto"/>
      </w:pPr>
      <w:r>
        <w:rPr>
          <w:rFonts w:ascii="DM Sans" w:hAnsi="DM Sans" w:cs="DM Sans"/>
          <w:b/>
          <w:i w:val="0"/>
          <w:color w:val="050C2A"/>
          <w:sz w:val="20"/>
          <w:u w:val="none"/>
        </w:rPr>
        <w:t>Don't assess the quality of the experience.</w:t>
      </w:r>
      <w:r>
        <w:rPr>
          <w:rFonts w:ascii="DM Sans" w:hAnsi="DM Sans" w:cs="DM Sans"/>
          <w:b w:val="0"/>
          <w:i w:val="0"/>
          <w:color w:val="050C2A"/>
          <w:sz w:val="20"/>
          <w:u w:val="none"/>
        </w:rPr>
        <w:t xml:space="preserve"> Descriptive Specificity is about how well the student describes what happened, not about whether the experience they chose was important or interesting. A precisely described minor interaction scores higher than a vaguely described major event. The quality of the choice is reflected in the other dimensions.</w:t>
      </w:r>
    </w:p>
    <w:p>
      <w:pPr>
        <w:spacing w:before="0" w:after="120" w:line="276" w:lineRule="auto"/>
      </w:pPr>
      <w:r>
        <w:rPr>
          <w:rFonts w:ascii="DM Sans" w:hAnsi="DM Sans" w:cs="DM Sans"/>
          <w:b/>
          <w:i w:val="0"/>
          <w:color w:val="050C2A"/>
          <w:sz w:val="20"/>
          <w:u w:val="none"/>
        </w:rPr>
        <w:t>Named people and direct accounts signal specificity.</w:t>
      </w:r>
      <w:r>
        <w:rPr>
          <w:rFonts w:ascii="DM Sans" w:hAnsi="DM Sans" w:cs="DM Sans"/>
          <w:b w:val="0"/>
          <w:i w:val="0"/>
          <w:color w:val="050C2A"/>
          <w:sz w:val="20"/>
          <w:u w:val="none"/>
        </w:rPr>
        <w:t xml:space="preserve"> Exemplary descriptions tend to include who was involved (by name or role), what was said or done (with enough detail to be verifiable), and what the student noticed in the moment. These are not requirements, but their absence at Developing and below is a consistent pattern.</w:t>
      </w:r>
    </w:p>
    <w:p>
      <w:pPr>
        <w:spacing w:before="0" w:after="120" w:line="276" w:lineRule="auto"/>
      </w:pPr>
      <w:r>
        <w:rPr>
          <w:rFonts w:ascii="DM Sans" w:hAnsi="DM Sans" w:cs="DM Sans"/>
          <w:b/>
          <w:i w:val="0"/>
          <w:color w:val="050C2A"/>
          <w:sz w:val="20"/>
          <w:u w:val="none"/>
        </w:rPr>
        <w:t>Do not assess examination here.</w:t>
      </w:r>
      <w:r>
        <w:rPr>
          <w:rFonts w:ascii="DM Sans" w:hAnsi="DM Sans" w:cs="DM Sans"/>
          <w:b w:val="0"/>
          <w:i w:val="0"/>
          <w:color w:val="050C2A"/>
          <w:sz w:val="20"/>
          <w:u w:val="none"/>
        </w:rPr>
        <w:t xml:space="preserve"> If the student starts analyzing or interpreting the experience within the Describe stage, that's fine — don't penalize it, but don't credit it here either. The quality of analysis is assessed in Dimension 2.</w:t>
      </w:r>
    </w:p>
    <w:p>
      <w:pPr>
        <w:spacing w:before="280" w:after="100"/>
      </w:pPr>
      <w:r>
        <w:rPr>
          <w:rFonts w:ascii="DM Sans" w:hAnsi="DM Sans" w:cs="DM Sans"/>
          <w:b/>
          <w:i w:val="0"/>
          <w:color w:val="050C2A"/>
          <w:sz w:val="28"/>
          <w:u w:val="none"/>
        </w:rPr>
        <w:t>Dimension 2: Critical Examination</w:t>
      </w:r>
    </w:p>
    <w:p>
      <w:pPr>
        <w:spacing w:before="0" w:after="120" w:line="276" w:lineRule="auto"/>
      </w:pPr>
      <w:r>
        <w:rPr>
          <w:rFonts w:ascii="DM Sans" w:hAnsi="DM Sans" w:cs="DM Sans"/>
          <w:b w:val="0"/>
          <w:i/>
          <w:color w:val="050C2A"/>
          <w:sz w:val="20"/>
          <w:u w:val="none"/>
        </w:rPr>
        <w:t>Career &amp; Self-Development → Reflection; Critical Thinking</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Examine stage</w:t>
      </w:r>
      <w:r>
        <w:rPr>
          <w:rFonts w:ascii="DM Sans" w:hAnsi="DM Sans" w:cs="DM Sans"/>
          <w:b w:val="0"/>
          <w:i w:val="0"/>
          <w:color w:val="050C2A"/>
          <w:sz w:val="20"/>
          <w:u w:val="none"/>
        </w:rPr>
        <w:t xml:space="preserve"> </w:t>
      </w:r>
      <w:r>
        <w:rPr>
          <w:rFonts w:ascii="DM Sans" w:hAnsi="DM Sans" w:cs="DM Sans"/>
          <w:b w:val="0"/>
          <w:i/>
          <w:color w:val="050C2A"/>
          <w:sz w:val="20"/>
          <w:u w:val="none"/>
        </w:rPr>
        <w:t>Weight: 25%</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Does the examination produce insight — does the student surface something they didn't fully see during the experience — or does it restate the description with evaluative language?</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800"/>
            <w:shd w:fill="FF7C0A" w:val="clear"/>
            <w:vAlign w:val="center"/>
          </w:tcPr>
          <w:p>
            <w:pPr>
              <w:jc w:val="left"/>
              <w:spacing w:before="40" w:after="40"/>
            </w:pPr>
            <w:r>
              <w:rPr>
                <w:rFonts w:ascii="DM Sans" w:hAnsi="DM Sans" w:cs="DM Sans"/>
                <w:b/>
                <w:i w:val="0"/>
                <w:color w:val="FFFFFF"/>
                <w:sz w:val="20"/>
                <w:u w:val="none"/>
              </w:rPr>
              <w:t>Level</w:t>
            </w:r>
          </w:p>
        </w:tc>
        <w:tc>
          <w:tcPr>
            <w:tcW w:type="dxa" w:w="7560"/>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800"/>
            <w:vAlign w:val="center"/>
          </w:tcPr>
          <w:p>
            <w:pPr>
              <w:spacing w:before="30" w:after="30"/>
            </w:pPr>
            <w:r>
              <w:rPr>
                <w:rFonts w:ascii="DM Sans" w:hAnsi="DM Sans" w:cs="DM Sans"/>
                <w:b/>
                <w:i w:val="0"/>
                <w:color w:val="050C2A"/>
                <w:sz w:val="20"/>
                <w:u w:val="none"/>
              </w:rPr>
              <w:t>Exemplary (4)</w:t>
            </w:r>
          </w:p>
        </w:tc>
        <w:tc>
          <w:tcPr>
            <w:tcW w:type="dxa" w:w="7560"/>
            <w:vAlign w:val="center"/>
          </w:tcPr>
          <w:p>
            <w:pPr>
              <w:spacing w:before="30" w:after="30"/>
            </w:pPr>
            <w:r>
              <w:rPr>
                <w:rFonts w:ascii="DM Sans" w:hAnsi="DM Sans" w:cs="DM Sans"/>
                <w:b w:val="0"/>
                <w:i w:val="0"/>
                <w:color w:val="050C2A"/>
                <w:sz w:val="20"/>
                <w:u w:val="none"/>
              </w:rPr>
              <w:t>The examination goes beyond narration to genuine analysis. The student identifies assumptions they were operating under, surfaces patterns or tensions they didn't fully see during the experience, and connects the experience to broader professional or personal understanding. The examination reveals something — it produces insight that wasn't obvious before the student sat down to write.</w:t>
            </w:r>
          </w:p>
        </w:tc>
      </w:tr>
      <w:tr>
        <w:tc>
          <w:tcPr>
            <w:tcW w:type="dxa" w:w="1800"/>
            <w:shd w:fill="F5F5F5" w:val="clear"/>
            <w:vAlign w:val="center"/>
          </w:tcPr>
          <w:p>
            <w:pPr>
              <w:spacing w:before="30" w:after="30"/>
            </w:pPr>
            <w:r>
              <w:rPr>
                <w:rFonts w:ascii="DM Sans" w:hAnsi="DM Sans" w:cs="DM Sans"/>
                <w:b/>
                <w:i w:val="0"/>
                <w:color w:val="050C2A"/>
                <w:sz w:val="20"/>
                <w:u w:val="none"/>
              </w:rPr>
              <w:t>Proficient (3)</w:t>
            </w:r>
          </w:p>
        </w:tc>
        <w:tc>
          <w:tcPr>
            <w:tcW w:type="dxa" w:w="7560"/>
            <w:shd w:fill="F5F5F5" w:val="clear"/>
            <w:vAlign w:val="center"/>
          </w:tcPr>
          <w:p>
            <w:pPr>
              <w:spacing w:before="30" w:after="30"/>
            </w:pPr>
            <w:r>
              <w:rPr>
                <w:rFonts w:ascii="DM Sans" w:hAnsi="DM Sans" w:cs="DM Sans"/>
                <w:b w:val="0"/>
                <w:i w:val="0"/>
                <w:color w:val="050C2A"/>
                <w:sz w:val="20"/>
                <w:u w:val="none"/>
              </w:rPr>
              <w:t>The examination engages meaningfully with the experience. The student identifies at least one assumption, pattern, or connection that moves beyond surface observation. The analysis is grounded in the specific experience described rather than in general principles.</w:t>
            </w:r>
          </w:p>
        </w:tc>
      </w:tr>
      <w:tr>
        <w:tc>
          <w:tcPr>
            <w:tcW w:type="dxa" w:w="1800"/>
            <w:vAlign w:val="center"/>
          </w:tcPr>
          <w:p>
            <w:pPr>
              <w:spacing w:before="30" w:after="30"/>
            </w:pPr>
            <w:r>
              <w:rPr>
                <w:rFonts w:ascii="DM Sans" w:hAnsi="DM Sans" w:cs="DM Sans"/>
                <w:b/>
                <w:i w:val="0"/>
                <w:color w:val="050C2A"/>
                <w:sz w:val="20"/>
                <w:u w:val="none"/>
              </w:rPr>
              <w:t>Developing (2)</w:t>
            </w:r>
          </w:p>
        </w:tc>
        <w:tc>
          <w:tcPr>
            <w:tcW w:type="dxa" w:w="7560"/>
            <w:vAlign w:val="center"/>
          </w:tcPr>
          <w:p>
            <w:pPr>
              <w:spacing w:before="30" w:after="30"/>
            </w:pPr>
            <w:r>
              <w:rPr>
                <w:rFonts w:ascii="DM Sans" w:hAnsi="DM Sans" w:cs="DM Sans"/>
                <w:b w:val="0"/>
                <w:i w:val="0"/>
                <w:color w:val="050C2A"/>
                <w:sz w:val="20"/>
                <w:u w:val="none"/>
              </w:rPr>
              <w:t>The examination stays at the surface. The student may restate the description with evaluative language added ("this was challenging," "I learned a lot") but does not interrogate the experience — assumptions are not identified, patterns are not surfaced, and connections to broader understanding are generic.</w:t>
            </w:r>
          </w:p>
        </w:tc>
      </w:tr>
      <w:tr>
        <w:tc>
          <w:tcPr>
            <w:tcW w:type="dxa" w:w="1800"/>
            <w:shd w:fill="F5F5F5" w:val="clear"/>
            <w:vAlign w:val="center"/>
          </w:tcPr>
          <w:p>
            <w:pPr>
              <w:spacing w:before="30" w:after="30"/>
            </w:pPr>
            <w:r>
              <w:rPr>
                <w:rFonts w:ascii="DM Sans" w:hAnsi="DM Sans" w:cs="DM Sans"/>
                <w:b/>
                <w:i w:val="0"/>
                <w:color w:val="050C2A"/>
                <w:sz w:val="20"/>
                <w:u w:val="none"/>
              </w:rPr>
              <w:t>Emerging (1)</w:t>
            </w:r>
          </w:p>
        </w:tc>
        <w:tc>
          <w:tcPr>
            <w:tcW w:type="dxa" w:w="7560"/>
            <w:shd w:fill="F5F5F5" w:val="clear"/>
            <w:vAlign w:val="center"/>
          </w:tcPr>
          <w:p>
            <w:pPr>
              <w:spacing w:before="30" w:after="30"/>
            </w:pPr>
            <w:r>
              <w:rPr>
                <w:rFonts w:ascii="DM Sans" w:hAnsi="DM Sans" w:cs="DM Sans"/>
                <w:b w:val="0"/>
                <w:i w:val="0"/>
                <w:color w:val="050C2A"/>
                <w:sz w:val="20"/>
                <w:u w:val="none"/>
              </w:rPr>
              <w:t>The examination is minimal or absent. The reflection moves directly from description to learning claims without meaningful analysis. What is presented as examination reads as continued description or as unsupported assertions about what the experience meant.</w:t>
            </w:r>
          </w:p>
        </w:tc>
      </w:tr>
      <w:tr>
        <w:tc>
          <w:tcPr>
            <w:tcW w:type="dxa" w:w="1800"/>
            <w:vAlign w:val="center"/>
          </w:tcPr>
          <w:p>
            <w:pPr>
              <w:spacing w:before="30" w:after="30"/>
            </w:pPr>
            <w:r>
              <w:rPr>
                <w:rFonts w:ascii="DM Sans" w:hAnsi="DM Sans" w:cs="DM Sans"/>
                <w:b/>
                <w:i w:val="0"/>
                <w:color w:val="050C2A"/>
                <w:sz w:val="20"/>
                <w:u w:val="none"/>
              </w:rPr>
              <w:t>Not Acceptable (0)</w:t>
            </w:r>
          </w:p>
        </w:tc>
        <w:tc>
          <w:tcPr>
            <w:tcW w:type="dxa" w:w="7560"/>
            <w:vAlign w:val="center"/>
          </w:tcPr>
          <w:p>
            <w:pPr>
              <w:spacing w:before="30" w:after="30"/>
            </w:pPr>
            <w:r>
              <w:rPr>
                <w:rFonts w:ascii="DM Sans" w:hAnsi="DM Sans" w:cs="DM Sans"/>
                <w:b w:val="0"/>
                <w:i w:val="0"/>
                <w:color w:val="050C2A"/>
                <w:sz w:val="20"/>
                <w:u w:val="none"/>
              </w:rPr>
              <w:t>No meaningful examination is present. The Examine stage is missing, or the content does not engage with the described experience in any analytical way.</w:t>
            </w:r>
          </w:p>
        </w:tc>
      </w:tr>
    </w:tbl>
    <w:p>
      <w:pPr>
        <w:spacing w:before="0" w:after="120"/>
      </w:pPr>
    </w:p>
    <w:p>
      <w:pPr>
        <w:spacing w:before="240" w:after="80"/>
      </w:pPr>
      <w:r>
        <w:rPr>
          <w:rFonts w:ascii="DM Sans" w:hAnsi="DM Sans" w:cs="DM Sans"/>
          <w:b/>
          <w:i w:val="0"/>
          <w:color w:val="050C2A"/>
          <w:sz w:val="24"/>
          <w:u w:val="none"/>
        </w:rPr>
        <w:t>What Each Level Looks Like — Marcus's Examples</w:t>
      </w:r>
    </w:p>
    <w:p>
      <w:pPr>
        <w:spacing w:before="0" w:after="120" w:line="276" w:lineRule="auto"/>
      </w:pPr>
      <w:r>
        <w:rPr>
          <w:rFonts w:ascii="DM Sans" w:hAnsi="DM Sans" w:cs="DM Sans"/>
          <w:b/>
          <w:i w:val="0"/>
          <w:color w:val="050C2A"/>
          <w:sz w:val="20"/>
          <w:u w:val="none"/>
        </w:rPr>
        <w:t>Marcus</w:t>
      </w:r>
      <w:r>
        <w:rPr>
          <w:rFonts w:ascii="DM Sans" w:hAnsi="DM Sans" w:cs="DM Sans"/>
          <w:b w:val="0"/>
          <w:i w:val="0"/>
          <w:color w:val="050C2A"/>
          <w:sz w:val="20"/>
          <w:u w:val="none"/>
        </w:rPr>
        <w:t xml:space="preserve"> is a business major working on a competitive analysis for a small SaaS company. His team presented a market positioning framework during the Direction Check, and the CEO pointed out that their analysis missed the company's actual competitive set — they'd benchmarked against large enterprise players rather than the niche tools the company actually competes with.</w:t>
      </w:r>
    </w:p>
    <w:p>
      <w:pPr>
        <w:spacing w:before="0" w:after="120" w:line="276" w:lineRule="auto"/>
      </w:pPr>
      <w:r>
        <w:rPr>
          <w:rFonts w:ascii="DM Sans" w:hAnsi="DM Sans" w:cs="DM Sans"/>
          <w:b/>
          <w:i w:val="0"/>
          <w:color w:val="050C2A"/>
          <w:sz w:val="20"/>
          <w:u w:val="none"/>
        </w:rPr>
        <w:t>Exemplary (4):</w:t>
      </w:r>
    </w:p>
    <w:p>
      <w:pPr>
        <w:pBdr>
          <w:left w:val="single" w:sz="18" w:space="8" w:color="FF7C0A"/>
        </w:pBdr>
        <w:ind w:left="720"/>
        <w:spacing w:before="120" w:after="120" w:line="276" w:lineRule="auto"/>
      </w:pPr>
      <w:r>
        <w:rPr>
          <w:rFonts w:ascii="DM Sans" w:hAnsi="DM Sans" w:cs="DM Sans"/>
          <w:b w:val="0"/>
          <w:i w:val="0"/>
          <w:color w:val="ACACAC"/>
          <w:sz w:val="20"/>
          <w:u w:val="none"/>
        </w:rPr>
        <w:t>"What I keep coming back to is why we got the competitive set wrong in the first place. It wasn't that we couldn't find the right competitors — it's that we defaulted to the companies we recognized. I'd studied market analysis frameworks in my strategy class, and every case study used well-known brands as examples. So when I started the competitive analysis, I instinctively reached for the names I'd seen in textbooks — Salesforce, HubSpot, Monday.com. I assumed that a 'good' analysis meant benchmarking against established players. What I didn't question was whether that approach made sense for a 15-person company selling to independent insurance agents. The CEO wasn't just telling us to look at different companies — she was telling us that we'd applied a framework designed for one context to a completely different one without adjusting it. That's a pattern I've noticed before but never had to confront: I tend to reach for the 'impressive' answer rather than the accurate one. In a classroom, benchmarking against Salesforce gets you a good grade. In this project, it got us a Direction Check that was essentially 'start over on this section.'"</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Marcus doesn't just note that they got the competitive set wrong — he interrogates </w:t>
      </w:r>
      <w:r>
        <w:rPr>
          <w:rFonts w:ascii="DM Sans" w:hAnsi="DM Sans" w:cs="DM Sans"/>
          <w:b w:val="0"/>
          <w:i/>
          <w:color w:val="050C2A"/>
          <w:sz w:val="20"/>
          <w:u w:val="none"/>
        </w:rPr>
        <w:t>why</w:t>
      </w:r>
      <w:r>
        <w:rPr>
          <w:rFonts w:ascii="DM Sans" w:hAnsi="DM Sans" w:cs="DM Sans"/>
          <w:b w:val="0"/>
          <w:i w:val="0"/>
          <w:color w:val="050C2A"/>
          <w:sz w:val="20"/>
          <w:u w:val="none"/>
        </w:rPr>
        <w:t>. He identifies a specific assumption (benchmarking against recognized names = quality analysis), traces its origin (classroom case studies), and surfaces a pattern he recognizes in his own behavior (reaching for the impressive answer over the accurate one). The examination produces a genuine insight: that frameworks learned in academic contexts may not transfer directly to real-world application without critical adjustment. He connects the specific experience to a broader pattern in his own professional approach.</w:t>
      </w:r>
    </w:p>
    <w:p>
      <w:pPr>
        <w:spacing w:before="0" w:after="120" w:line="276" w:lineRule="auto"/>
      </w:pPr>
      <w:r>
        <w:rPr>
          <w:rFonts w:ascii="DM Sans" w:hAnsi="DM Sans" w:cs="DM Sans"/>
          <w:b/>
          <w:i w:val="0"/>
          <w:color w:val="050C2A"/>
          <w:sz w:val="20"/>
          <w:u w:val="none"/>
        </w:rPr>
        <w:t>Proficient (3):</w:t>
      </w:r>
    </w:p>
    <w:p>
      <w:pPr>
        <w:pBdr>
          <w:left w:val="single" w:sz="18" w:space="8" w:color="FF7C0A"/>
        </w:pBdr>
        <w:ind w:left="720"/>
        <w:spacing w:before="120" w:after="120" w:line="276" w:lineRule="auto"/>
      </w:pPr>
      <w:r>
        <w:rPr>
          <w:rFonts w:ascii="DM Sans" w:hAnsi="DM Sans" w:cs="DM Sans"/>
          <w:b w:val="0"/>
          <w:i w:val="0"/>
          <w:color w:val="ACACAC"/>
          <w:sz w:val="20"/>
          <w:u w:val="none"/>
        </w:rPr>
        <w:t>"Looking back, I think the reason we got the competitive set wrong was that we defaulted to companies we already knew rather than researching the actual market. We assumed that a SaaS competitive analysis should include the big names, without stopping to ask whether a 15-person niche tool actually competes with Salesforce. The CEO's feedback made me realize that knowing a framework isn't the same as knowing when to apply it. Our analysis technically followed the steps we'd learned, but we skipped the most important step — understanding who this company is actually competing against for the same customers."</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Marcus identifies the assumption (big names = right competitive set) and connects the experience to a meaningful observation (knowing a framework isn't the same as knowing when to apply it). The analysis is grounded in this specific experience, not general principles. But the examination doesn't push as far — he doesn't trace why he made the assumption, doesn't surface a broader pattern in his own behavior, and doesn't explore the tension between academic training and professional practice. He names the mistake and draws a reasonable conclusion from it; he doesn't interrogate what it reveals about how he approaches analysis more broadly.</w:t>
      </w:r>
    </w:p>
    <w:p>
      <w:pPr>
        <w:spacing w:before="0" w:after="120" w:line="276" w:lineRule="auto"/>
      </w:pPr>
      <w:r>
        <w:rPr>
          <w:rFonts w:ascii="DM Sans" w:hAnsi="DM Sans" w:cs="DM Sans"/>
          <w:b/>
          <w:i w:val="0"/>
          <w:color w:val="050C2A"/>
          <w:sz w:val="20"/>
          <w:u w:val="none"/>
        </w:rPr>
        <w:t>Developing (2):</w:t>
      </w:r>
    </w:p>
    <w:p>
      <w:pPr>
        <w:pBdr>
          <w:left w:val="single" w:sz="18" w:space="8" w:color="FF7C0A"/>
        </w:pBdr>
        <w:ind w:left="720"/>
        <w:spacing w:before="120" w:after="120" w:line="276" w:lineRule="auto"/>
      </w:pPr>
      <w:r>
        <w:rPr>
          <w:rFonts w:ascii="DM Sans" w:hAnsi="DM Sans" w:cs="DM Sans"/>
          <w:b w:val="0"/>
          <w:i w:val="0"/>
          <w:color w:val="ACACAC"/>
          <w:sz w:val="20"/>
          <w:u w:val="none"/>
        </w:rPr>
        <w:t>"This experience taught me that it's really important to understand the client's actual competitive landscape before jumping into an analysis. We should have asked more questions at the kickoff about who the company's real competitors are. The Direction Check was a challenging experience but ultimately valuable because it showed us that we needed to do more research. Communication with the client is key to making sure you're on the right track."</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The student restates what happened using evaluative language ("challenging," "valuable," "key") but doesn't examine it. "We should have asked more questions" is a correct observation, but it's a description of the mistake, not an examination of why they didn't ask questions in the first place. "Communication with the client is key" is a generic principle, not an insight that emerged from interrogating this experience. The passage narrates a lesson rather than producing one through examination.</w:t>
      </w:r>
    </w:p>
    <w:p>
      <w:pPr>
        <w:spacing w:before="0" w:after="120" w:line="276" w:lineRule="auto"/>
      </w:pPr>
      <w:r>
        <w:rPr>
          <w:rFonts w:ascii="DM Sans" w:hAnsi="DM Sans" w:cs="DM Sans"/>
          <w:b/>
          <w:i w:val="0"/>
          <w:color w:val="050C2A"/>
          <w:sz w:val="20"/>
          <w:u w:val="none"/>
        </w:rPr>
        <w:t>Emerging (1):</w:t>
      </w:r>
    </w:p>
    <w:p>
      <w:pPr>
        <w:pBdr>
          <w:left w:val="single" w:sz="18" w:space="8" w:color="FF7C0A"/>
        </w:pBdr>
        <w:ind w:left="720"/>
        <w:spacing w:before="120" w:after="120" w:line="276" w:lineRule="auto"/>
      </w:pPr>
      <w:r>
        <w:rPr>
          <w:rFonts w:ascii="DM Sans" w:hAnsi="DM Sans" w:cs="DM Sans"/>
          <w:b w:val="0"/>
          <w:i w:val="0"/>
          <w:color w:val="ACACAC"/>
          <w:sz w:val="20"/>
          <w:u w:val="none"/>
        </w:rPr>
        <w:t>"The Direction Check showed us that our analysis was off track. We had to redo parts of our competitive analysis with different companies. This was frustrating because we'd spent a lot of time on it, but the employer's feedback was helpful and we were able to make the changes they suggested."</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There is no examination. The passage continues the description — recounting what happened after the Direction Check — without any analytical engagement. There's no identification of assumptions, no exploration of why the team went off track, no connection to anything beyond the immediate event. It reads as the final paragraph of the Describe stage, not as an Examine stage.</w:t>
      </w:r>
    </w:p>
    <w:p>
      <w:pPr>
        <w:spacing w:before="0" w:after="120" w:line="276" w:lineRule="auto"/>
      </w:pPr>
      <w:r>
        <w:rPr>
          <w:rFonts w:ascii="DM Sans" w:hAnsi="DM Sans" w:cs="DM Sans"/>
          <w:b/>
          <w:i w:val="0"/>
          <w:color w:val="050C2A"/>
          <w:sz w:val="20"/>
          <w:u w:val="none"/>
        </w:rPr>
        <w:t>Not Acceptable (0):</w:t>
      </w:r>
    </w:p>
    <w:p>
      <w:pPr>
        <w:spacing w:before="0" w:after="120" w:line="276" w:lineRule="auto"/>
      </w:pPr>
      <w:r>
        <w:rPr>
          <w:rFonts w:ascii="DM Sans" w:hAnsi="DM Sans" w:cs="DM Sans"/>
          <w:b w:val="0"/>
          <w:i w:val="0"/>
          <w:color w:val="050C2A"/>
          <w:sz w:val="20"/>
          <w:u w:val="none"/>
        </w:rPr>
        <w:t>The Examine stage is missing entirely, or the content is purely descriptive with no analytical engagement (e.g., "After the Direction Check, we regrouped as a team and divided up the new research tasks").</w:t>
      </w:r>
    </w:p>
    <w:p>
      <w:pPr>
        <w:spacing w:before="240" w:after="80"/>
      </w:pPr>
      <w:r>
        <w:rPr>
          <w:rFonts w:ascii="DM Sans" w:hAnsi="DM Sans" w:cs="DM Sans"/>
          <w:b/>
          <w:i w:val="0"/>
          <w:color w:val="050C2A"/>
          <w:sz w:val="24"/>
          <w:u w:val="none"/>
        </w:rPr>
        <w:t>Calibration Notes for Critical Examination</w:t>
      </w:r>
    </w:p>
    <w:p>
      <w:pPr>
        <w:spacing w:before="0" w:after="120" w:line="276" w:lineRule="auto"/>
      </w:pPr>
      <w:r>
        <w:rPr>
          <w:rFonts w:ascii="DM Sans" w:hAnsi="DM Sans" w:cs="DM Sans"/>
          <w:b/>
          <w:i w:val="0"/>
          <w:color w:val="050C2A"/>
          <w:sz w:val="20"/>
          <w:u w:val="none"/>
        </w:rPr>
        <w:t>The insight test is the primary lever.</w:t>
      </w:r>
      <w:r>
        <w:rPr>
          <w:rFonts w:ascii="DM Sans" w:hAnsi="DM Sans" w:cs="DM Sans"/>
          <w:b w:val="0"/>
          <w:i w:val="0"/>
          <w:color w:val="050C2A"/>
          <w:sz w:val="20"/>
          <w:u w:val="none"/>
        </w:rPr>
        <w:t xml:space="preserve"> Ask: "Did the student surface something they didn't fully see during the experience?" If yes, they are at least Proficient. If the examination produces a genuine surprise or a connection the student hadn't made before, consider Exemplary. If the examination restates known information with evaluative adjectives, it is Developing at best.</w:t>
      </w:r>
    </w:p>
    <w:p>
      <w:pPr>
        <w:spacing w:before="0" w:after="120" w:line="276" w:lineRule="auto"/>
      </w:pPr>
      <w:r>
        <w:rPr>
          <w:rFonts w:ascii="DM Sans" w:hAnsi="DM Sans" w:cs="DM Sans"/>
          <w:b/>
          <w:i w:val="0"/>
          <w:color w:val="050C2A"/>
          <w:sz w:val="20"/>
          <w:u w:val="none"/>
        </w:rPr>
        <w:t>Watch for evaluative language masquerading as analysis.</w:t>
      </w:r>
      <w:r>
        <w:rPr>
          <w:rFonts w:ascii="DM Sans" w:hAnsi="DM Sans" w:cs="DM Sans"/>
          <w:b w:val="0"/>
          <w:i w:val="0"/>
          <w:color w:val="050C2A"/>
          <w:sz w:val="20"/>
          <w:u w:val="none"/>
        </w:rPr>
        <w:t xml:space="preserve"> "This was challenging," "I learned a lot," "Communication is important" — these are judgments, not examinations. Students at the Developing level often believe they are analyzing when they are actually summarizing and evaluating. The tell is that you could delete the Examine section and the Describe section would still convey the same understanding.</w:t>
      </w:r>
    </w:p>
    <w:p>
      <w:pPr>
        <w:spacing w:before="0" w:after="120" w:line="276" w:lineRule="auto"/>
      </w:pPr>
      <w:r>
        <w:rPr>
          <w:rFonts w:ascii="DM Sans" w:hAnsi="DM Sans" w:cs="DM Sans"/>
          <w:b/>
          <w:i w:val="0"/>
          <w:color w:val="050C2A"/>
          <w:sz w:val="20"/>
          <w:u w:val="none"/>
        </w:rPr>
        <w:t>The Exemplary/Proficient boundary is depth, not polish.</w:t>
      </w:r>
      <w:r>
        <w:rPr>
          <w:rFonts w:ascii="DM Sans" w:hAnsi="DM Sans" w:cs="DM Sans"/>
          <w:b w:val="0"/>
          <w:i w:val="0"/>
          <w:color w:val="050C2A"/>
          <w:sz w:val="20"/>
          <w:u w:val="none"/>
        </w:rPr>
        <w:t xml:space="preserve"> A Proficient examination identifies an assumption or pattern. An Exemplary examination traces that assumption to its origin, connects it to a broader pattern, or reveals a tension the student is still working through. It's the difference between naming a thing and interrogating it.</w:t>
      </w:r>
    </w:p>
    <w:p>
      <w:pPr>
        <w:spacing w:before="0" w:after="120" w:line="276" w:lineRule="auto"/>
      </w:pPr>
      <w:r>
        <w:rPr>
          <w:rFonts w:ascii="DM Sans" w:hAnsi="DM Sans" w:cs="DM Sans"/>
          <w:b/>
          <w:i w:val="0"/>
          <w:color w:val="050C2A"/>
          <w:sz w:val="20"/>
          <w:u w:val="none"/>
        </w:rPr>
        <w:t>Don't penalize imperfect articulation.</w:t>
      </w:r>
      <w:r>
        <w:rPr>
          <w:rFonts w:ascii="DM Sans" w:hAnsi="DM Sans" w:cs="DM Sans"/>
          <w:b w:val="0"/>
          <w:i w:val="0"/>
          <w:color w:val="050C2A"/>
          <w:sz w:val="20"/>
          <w:u w:val="none"/>
        </w:rPr>
        <w:t xml:space="preserve"> A student who is clearly working through a complex idea — even if the prose is rough — may be doing deeper examination than a student who states a clean, well-formed observation. Evaluate the quality of thinking, not the quality of writing.</w:t>
      </w:r>
    </w:p>
    <w:p>
      <w:pPr>
        <w:spacing w:before="0" w:after="120" w:line="276" w:lineRule="auto"/>
      </w:pPr>
      <w:r>
        <w:rPr>
          <w:rFonts w:ascii="DM Sans" w:hAnsi="DM Sans" w:cs="DM Sans"/>
          <w:b/>
          <w:i w:val="0"/>
          <w:color w:val="050C2A"/>
          <w:sz w:val="20"/>
          <w:u w:val="none"/>
        </w:rPr>
        <w:t>This dimension is asymmetric with Descriptive Specificity.</w:t>
      </w:r>
      <w:r>
        <w:rPr>
          <w:rFonts w:ascii="DM Sans" w:hAnsi="DM Sans" w:cs="DM Sans"/>
          <w:b w:val="0"/>
          <w:i w:val="0"/>
          <w:color w:val="050C2A"/>
          <w:sz w:val="20"/>
          <w:u w:val="none"/>
        </w:rPr>
        <w:t xml:space="preserve"> A vivid description is a prerequisite for strong examination (it's hard to examine an experience you've described only vaguely), but vivid description doesn't guarantee good analysis. Score these independently.</w:t>
      </w:r>
    </w:p>
    <w:p>
      <w:pPr>
        <w:spacing w:before="280" w:after="100"/>
      </w:pPr>
      <w:r>
        <w:rPr>
          <w:rFonts w:ascii="DM Sans" w:hAnsi="DM Sans" w:cs="DM Sans"/>
          <w:b/>
          <w:i w:val="0"/>
          <w:color w:val="050C2A"/>
          <w:sz w:val="28"/>
          <w:u w:val="none"/>
        </w:rPr>
        <w:t>Dimension 3: Personal Accountability</w:t>
      </w:r>
    </w:p>
    <w:p>
      <w:pPr>
        <w:spacing w:before="0" w:after="120" w:line="276" w:lineRule="auto"/>
      </w:pPr>
      <w:r>
        <w:rPr>
          <w:rFonts w:ascii="DM Sans" w:hAnsi="DM Sans" w:cs="DM Sans"/>
          <w:b w:val="0"/>
          <w:i/>
          <w:color w:val="050C2A"/>
          <w:sz w:val="20"/>
          <w:u w:val="none"/>
        </w:rPr>
        <w:t>Career &amp; Self-Development → Self-Awareness</w:t>
      </w:r>
      <w:r>
        <w:rPr>
          <w:rFonts w:ascii="DM Sans" w:hAnsi="DM Sans" w:cs="DM Sans"/>
          <w:b w:val="0"/>
          <w:i w:val="0"/>
          <w:color w:val="050C2A"/>
          <w:sz w:val="20"/>
          <w:u w:val="none"/>
        </w:rPr>
        <w:t xml:space="preserve"> </w:t>
      </w:r>
      <w:r>
        <w:rPr>
          <w:rFonts w:ascii="DM Sans" w:hAnsi="DM Sans" w:cs="DM Sans"/>
          <w:b w:val="0"/>
          <w:i/>
          <w:color w:val="050C2A"/>
          <w:sz w:val="20"/>
          <w:u w:val="none"/>
        </w:rPr>
        <w:t>Evaluates across all stages — whether the student examines their own role, assumptions, and limitations</w:t>
      </w:r>
      <w:r>
        <w:rPr>
          <w:rFonts w:ascii="DM Sans" w:hAnsi="DM Sans" w:cs="DM Sans"/>
          <w:b w:val="0"/>
          <w:i w:val="0"/>
          <w:color w:val="050C2A"/>
          <w:sz w:val="20"/>
          <w:u w:val="none"/>
        </w:rPr>
        <w:t xml:space="preserve"> </w:t>
      </w:r>
      <w:r>
        <w:rPr>
          <w:rFonts w:ascii="DM Sans" w:hAnsi="DM Sans" w:cs="DM Sans"/>
          <w:b w:val="0"/>
          <w:i/>
          <w:color w:val="050C2A"/>
          <w:sz w:val="20"/>
          <w:u w:val="none"/>
        </w:rPr>
        <w:t>Weight: 25%</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Does the student place themselves inside the experience as an actor — examining their own assumptions, decisions, and reactions — or do they remain outside it as a narrator of events that happened around them?</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595"/>
            <w:shd w:fill="FF7C0A" w:val="clear"/>
            <w:vAlign w:val="center"/>
          </w:tcPr>
          <w:p>
            <w:pPr>
              <w:jc w:val="left"/>
              <w:spacing w:before="40" w:after="40"/>
            </w:pPr>
            <w:r>
              <w:rPr>
                <w:rFonts w:ascii="DM Sans" w:hAnsi="DM Sans" w:cs="DM Sans"/>
                <w:b/>
                <w:i w:val="0"/>
                <w:color w:val="FFFFFF"/>
                <w:sz w:val="20"/>
                <w:u w:val="none"/>
              </w:rPr>
              <w:t>Level</w:t>
            </w:r>
          </w:p>
        </w:tc>
        <w:tc>
          <w:tcPr>
            <w:tcW w:type="dxa" w:w="7765"/>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595"/>
            <w:vAlign w:val="center"/>
          </w:tcPr>
          <w:p>
            <w:pPr>
              <w:spacing w:before="30" w:after="30"/>
            </w:pPr>
            <w:r>
              <w:rPr>
                <w:rFonts w:ascii="DM Sans" w:hAnsi="DM Sans" w:cs="DM Sans"/>
                <w:b/>
                <w:i w:val="0"/>
                <w:color w:val="050C2A"/>
                <w:sz w:val="20"/>
                <w:u w:val="none"/>
              </w:rPr>
              <w:t>Exemplary (4)</w:t>
            </w:r>
          </w:p>
        </w:tc>
        <w:tc>
          <w:tcPr>
            <w:tcW w:type="dxa" w:w="7765"/>
            <w:vAlign w:val="center"/>
          </w:tcPr>
          <w:p>
            <w:pPr>
              <w:spacing w:before="30" w:after="30"/>
            </w:pPr>
            <w:r>
              <w:rPr>
                <w:rFonts w:ascii="DM Sans" w:hAnsi="DM Sans" w:cs="DM Sans"/>
                <w:b w:val="0"/>
                <w:i w:val="0"/>
                <w:color w:val="050C2A"/>
                <w:sz w:val="20"/>
                <w:u w:val="none"/>
              </w:rPr>
              <w:t>The student places themselves inside the experience as an actor — examining their own assumptions, decisions, reactions, and limitations rather than only describing what happened around them. The self-examination is specific rather than formulaic, referencing particular moments or choices rather than broad self-characterizations. The student names difficulty, uncertainty, or shortcoming in concrete terms and examines their own contribution to the situation rather than attributing outcomes solely to external factors.</w:t>
            </w:r>
          </w:p>
        </w:tc>
      </w:tr>
      <w:tr>
        <w:tc>
          <w:tcPr>
            <w:tcW w:type="dxa" w:w="1595"/>
            <w:shd w:fill="F5F5F5" w:val="clear"/>
            <w:vAlign w:val="center"/>
          </w:tcPr>
          <w:p>
            <w:pPr>
              <w:spacing w:before="30" w:after="30"/>
            </w:pPr>
            <w:r>
              <w:rPr>
                <w:rFonts w:ascii="DM Sans" w:hAnsi="DM Sans" w:cs="DM Sans"/>
                <w:b/>
                <w:i w:val="0"/>
                <w:color w:val="050C2A"/>
                <w:sz w:val="20"/>
                <w:u w:val="none"/>
              </w:rPr>
              <w:t>Proficient (3)</w:t>
            </w:r>
          </w:p>
        </w:tc>
        <w:tc>
          <w:tcPr>
            <w:tcW w:type="dxa" w:w="7765"/>
            <w:shd w:fill="F5F5F5" w:val="clear"/>
            <w:vAlign w:val="center"/>
          </w:tcPr>
          <w:p>
            <w:pPr>
              <w:spacing w:before="30" w:after="30"/>
            </w:pPr>
            <w:r>
              <w:rPr>
                <w:rFonts w:ascii="DM Sans" w:hAnsi="DM Sans" w:cs="DM Sans"/>
                <w:b w:val="0"/>
                <w:i w:val="0"/>
                <w:color w:val="050C2A"/>
                <w:sz w:val="20"/>
                <w:u w:val="none"/>
              </w:rPr>
              <w:t>The student examines their own role in the experience, including areas of difficulty or uncertainty. The self-examination is grounded in specific aspects of the experience rather than purely general statements. The student looks inward at some point in the reflection rather than remaining entirely focused on external events.</w:t>
            </w:r>
          </w:p>
        </w:tc>
      </w:tr>
      <w:tr>
        <w:tc>
          <w:tcPr>
            <w:tcW w:type="dxa" w:w="1595"/>
            <w:vAlign w:val="center"/>
          </w:tcPr>
          <w:p>
            <w:pPr>
              <w:spacing w:before="30" w:after="30"/>
            </w:pPr>
            <w:r>
              <w:rPr>
                <w:rFonts w:ascii="DM Sans" w:hAnsi="DM Sans" w:cs="DM Sans"/>
                <w:b/>
                <w:i w:val="0"/>
                <w:color w:val="050C2A"/>
                <w:sz w:val="20"/>
                <w:u w:val="none"/>
              </w:rPr>
              <w:t>Developing (2)</w:t>
            </w:r>
          </w:p>
        </w:tc>
        <w:tc>
          <w:tcPr>
            <w:tcW w:type="dxa" w:w="7765"/>
            <w:vAlign w:val="center"/>
          </w:tcPr>
          <w:p>
            <w:pPr>
              <w:spacing w:before="30" w:after="30"/>
            </w:pPr>
            <w:r>
              <w:rPr>
                <w:rFonts w:ascii="DM Sans" w:hAnsi="DM Sans" w:cs="DM Sans"/>
                <w:b w:val="0"/>
                <w:i w:val="0"/>
                <w:color w:val="050C2A"/>
                <w:sz w:val="20"/>
                <w:u w:val="none"/>
              </w:rPr>
              <w:t>The student acknowledges their role in broad terms ("I struggled with time management") but does not examine specific decisions, assumptions, or reactions with any depth. Self-examination reads as obligatory — the student names a limitation but does not engage with what drove it or what it reveals.</w:t>
            </w:r>
          </w:p>
        </w:tc>
      </w:tr>
      <w:tr>
        <w:tc>
          <w:tcPr>
            <w:tcW w:type="dxa" w:w="1595"/>
            <w:shd w:fill="F5F5F5" w:val="clear"/>
            <w:vAlign w:val="center"/>
          </w:tcPr>
          <w:p>
            <w:pPr>
              <w:spacing w:before="30" w:after="30"/>
            </w:pPr>
            <w:r>
              <w:rPr>
                <w:rFonts w:ascii="DM Sans" w:hAnsi="DM Sans" w:cs="DM Sans"/>
                <w:b/>
                <w:i w:val="0"/>
                <w:color w:val="050C2A"/>
                <w:sz w:val="20"/>
                <w:u w:val="none"/>
              </w:rPr>
              <w:t>Emerging (1)</w:t>
            </w:r>
          </w:p>
        </w:tc>
        <w:tc>
          <w:tcPr>
            <w:tcW w:type="dxa" w:w="7765"/>
            <w:shd w:fill="F5F5F5" w:val="clear"/>
            <w:vAlign w:val="center"/>
          </w:tcPr>
          <w:p>
            <w:pPr>
              <w:spacing w:before="30" w:after="30"/>
            </w:pPr>
            <w:r>
              <w:rPr>
                <w:rFonts w:ascii="DM Sans" w:hAnsi="DM Sans" w:cs="DM Sans"/>
                <w:b w:val="0"/>
                <w:i w:val="0"/>
                <w:color w:val="050C2A"/>
                <w:sz w:val="20"/>
                <w:u w:val="none"/>
              </w:rPr>
              <w:t>The student remains largely external to the experience. The account focuses on what happened around them — team dynamics, employer behavior, project circumstances — without examining their own thinking, choices, or role in shaping the outcome.</w:t>
            </w:r>
          </w:p>
        </w:tc>
      </w:tr>
      <w:tr>
        <w:tc>
          <w:tcPr>
            <w:tcW w:type="dxa" w:w="1595"/>
            <w:vAlign w:val="center"/>
          </w:tcPr>
          <w:p>
            <w:pPr>
              <w:spacing w:before="30" w:after="30"/>
            </w:pPr>
            <w:r>
              <w:rPr>
                <w:rFonts w:ascii="DM Sans" w:hAnsi="DM Sans" w:cs="DM Sans"/>
                <w:b/>
                <w:i w:val="0"/>
                <w:color w:val="050C2A"/>
                <w:sz w:val="20"/>
                <w:u w:val="none"/>
              </w:rPr>
              <w:t>Not Acceptable (0)</w:t>
            </w:r>
          </w:p>
        </w:tc>
        <w:tc>
          <w:tcPr>
            <w:tcW w:type="dxa" w:w="7765"/>
            <w:vAlign w:val="center"/>
          </w:tcPr>
          <w:p>
            <w:pPr>
              <w:spacing w:before="30" w:after="30"/>
            </w:pPr>
            <w:r>
              <w:rPr>
                <w:rFonts w:ascii="DM Sans" w:hAnsi="DM Sans" w:cs="DM Sans"/>
                <w:b w:val="0"/>
                <w:i w:val="0"/>
                <w:color w:val="050C2A"/>
                <w:sz w:val="20"/>
                <w:u w:val="none"/>
              </w:rPr>
              <w:t>No self-examination is present. The reflection reads as a third-person account of events with no evidence that the student considered their own assumptions, decisions, or role in the experience.</w:t>
            </w:r>
          </w:p>
        </w:tc>
      </w:tr>
    </w:tbl>
    <w:p>
      <w:pPr>
        <w:spacing w:before="0" w:after="120"/>
      </w:pPr>
    </w:p>
    <w:p>
      <w:pPr>
        <w:spacing w:before="240" w:after="80"/>
      </w:pPr>
      <w:r>
        <w:rPr>
          <w:rFonts w:ascii="DM Sans" w:hAnsi="DM Sans" w:cs="DM Sans"/>
          <w:b/>
          <w:i w:val="0"/>
          <w:color w:val="050C2A"/>
          <w:sz w:val="24"/>
          <w:u w:val="none"/>
        </w:rPr>
        <w:t>What Each Level Looks Like — Jade's Examples</w:t>
      </w:r>
    </w:p>
    <w:p>
      <w:pPr>
        <w:spacing w:before="0" w:after="120" w:line="276" w:lineRule="auto"/>
      </w:pPr>
      <w:r>
        <w:rPr>
          <w:rFonts w:ascii="DM Sans" w:hAnsi="DM Sans" w:cs="DM Sans"/>
          <w:b/>
          <w:i w:val="0"/>
          <w:color w:val="050C2A"/>
          <w:sz w:val="20"/>
          <w:u w:val="none"/>
        </w:rPr>
        <w:t>Jade</w:t>
      </w:r>
      <w:r>
        <w:rPr>
          <w:rFonts w:ascii="DM Sans" w:hAnsi="DM Sans" w:cs="DM Sans"/>
          <w:b w:val="0"/>
          <w:i w:val="0"/>
          <w:color w:val="050C2A"/>
          <w:sz w:val="20"/>
          <w:u w:val="none"/>
        </w:rPr>
        <w:t xml:space="preserve"> is a psychology major working on a volunteer onboarding guide for a nonprofit. She tends to be quiet in group settings but strong in one-on-one interactions. During the Discovery phase, her team struggled to divide the Context Analysis workload evenly, and Jade ended up doing significantly less of the client-facing communication than her teammates.</w:t>
      </w:r>
    </w:p>
    <w:p>
      <w:pPr>
        <w:spacing w:before="0" w:after="120" w:line="276" w:lineRule="auto"/>
      </w:pPr>
      <w:r>
        <w:rPr>
          <w:rFonts w:ascii="DM Sans" w:hAnsi="DM Sans" w:cs="DM Sans"/>
          <w:b/>
          <w:i w:val="0"/>
          <w:color w:val="050C2A"/>
          <w:sz w:val="20"/>
          <w:u w:val="none"/>
        </w:rPr>
        <w:t>Exemplary (4):</w:t>
      </w:r>
    </w:p>
    <w:p>
      <w:pPr>
        <w:pBdr>
          <w:left w:val="single" w:sz="18" w:space="8" w:color="FF7C0A"/>
        </w:pBdr>
        <w:ind w:left="720"/>
        <w:spacing w:before="120" w:after="120" w:line="276" w:lineRule="auto"/>
      </w:pPr>
      <w:r>
        <w:rPr>
          <w:rFonts w:ascii="DM Sans" w:hAnsi="DM Sans" w:cs="DM Sans"/>
          <w:b w:val="0"/>
          <w:i w:val="0"/>
          <w:color w:val="ACACAC"/>
          <w:sz w:val="20"/>
          <w:u w:val="none"/>
        </w:rPr>
        <w:t>"The thing I've been avoiding writing about — which probably means it's the thing I should write about — is that I let my teammates handle almost all the direct communication with the volunteer coordinator during the research phase. Every time we needed to send an email or schedule a follow-up question, I found a reason to volunteer for a different task instead. I told myself I was being strategic — playing to my strengths in research and writing — but that's not what was actually happening. What was actually happening was that I was nervous about saying the wrong thing to a real professional stakeholder, so I engineered my way out of it. My teammate Amir ended up doing most of the back-and-forth with the employer, and when I look at it honestly, that wasn't because he was better at it — it was because I never offered. I had a specific moment in Week 5 where we were debriefing after the Direction Check, and Amir said he wished more of us would take a turn on the emails. I felt called out but I didn't say anything. I just nodded and then volunteered to reformat the project plan instead."</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Jade places herself inside the experience as an actor making choices — and she examines those choices with uncomfortable specificity. She names the gap between her stated rationale ("playing to my strengths") and her actual motivation (anxiety about professional communication). She identifies a specific moment (Amir's comment) and her specific response (nodding and redirecting to a safer task). The self-examination references particular decisions rather than broad self-characterizations. Jade examines her own contribution to the team dynamic rather than framing it as something that happened to her.</w:t>
      </w:r>
    </w:p>
    <w:p>
      <w:pPr>
        <w:spacing w:before="0" w:after="120" w:line="276" w:lineRule="auto"/>
      </w:pPr>
      <w:r>
        <w:rPr>
          <w:rFonts w:ascii="DM Sans" w:hAnsi="DM Sans" w:cs="DM Sans"/>
          <w:b/>
          <w:i w:val="0"/>
          <w:color w:val="050C2A"/>
          <w:sz w:val="20"/>
          <w:u w:val="none"/>
        </w:rPr>
        <w:t>Proficient (3):</w:t>
      </w:r>
    </w:p>
    <w:p>
      <w:pPr>
        <w:pBdr>
          <w:left w:val="single" w:sz="18" w:space="8" w:color="FF7C0A"/>
        </w:pBdr>
        <w:ind w:left="720"/>
        <w:spacing w:before="120" w:after="120" w:line="276" w:lineRule="auto"/>
      </w:pPr>
      <w:r>
        <w:rPr>
          <w:rFonts w:ascii="DM Sans" w:hAnsi="DM Sans" w:cs="DM Sans"/>
          <w:b w:val="0"/>
          <w:i w:val="0"/>
          <w:color w:val="ACACAC"/>
          <w:sz w:val="20"/>
          <w:u w:val="none"/>
        </w:rPr>
        <w:t>"I realize that during the Discovery phase, I tended to avoid the client-facing parts of our project. When tasks came up that involved emailing the volunteer coordinator or scheduling calls, I would usually volunteer for research or writing tasks instead. I think part of this was that I wasn't confident about communicating with a professional stakeholder, which is something I identified in my intake as a growth area. After the Direction Check, when my teammate mentioned that the communication load wasn't evenly distributed, I recognized that I hadn't been pulling my weight in that area."</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Jade examines her own role — she identifies the avoidance pattern, connects it to a lack of confidence, and acknowledges that her teammate's comment was a fair observation. The self-examination is grounded in the specific experience (avoiding client emails, the post-Direction Check comment) rather than purely general statements. But she doesn't push as far into the specifics of particular moments or examine the gap between her stated reasoning and her actual behavior. The passage looks inward but stays at the level of pattern recognition rather than interrogating specific decisions.</w:t>
      </w:r>
    </w:p>
    <w:p>
      <w:pPr>
        <w:spacing w:before="0" w:after="120" w:line="276" w:lineRule="auto"/>
      </w:pPr>
      <w:r>
        <w:rPr>
          <w:rFonts w:ascii="DM Sans" w:hAnsi="DM Sans" w:cs="DM Sans"/>
          <w:b/>
          <w:i w:val="0"/>
          <w:color w:val="050C2A"/>
          <w:sz w:val="20"/>
          <w:u w:val="none"/>
        </w:rPr>
        <w:t>Developing (2):</w:t>
      </w:r>
    </w:p>
    <w:p>
      <w:pPr>
        <w:pBdr>
          <w:left w:val="single" w:sz="18" w:space="8" w:color="FF7C0A"/>
        </w:pBdr>
        <w:ind w:left="720"/>
        <w:spacing w:before="120" w:after="120" w:line="276" w:lineRule="auto"/>
      </w:pPr>
      <w:r>
        <w:rPr>
          <w:rFonts w:ascii="DM Sans" w:hAnsi="DM Sans" w:cs="DM Sans"/>
          <w:b w:val="0"/>
          <w:i w:val="0"/>
          <w:color w:val="ACACAC"/>
          <w:sz w:val="20"/>
          <w:u w:val="none"/>
        </w:rPr>
        <w:t>"I know I need to work on my communication skills, especially in professional settings. During this phase, I could have been more proactive about reaching out to the employer. Communication is an area I want to improve, and this experience showed me that I need to push myself more outside my comfort zone."</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Jade names a limitation ("communication skills," "need to push myself") but in broad, formulaic terms. "I could have been more proactive" and "push myself outside my comfort zone" are generic self-assessments that could apply to nearly anyone. There are no specific decisions, moments, or reactions examined. The self-examination reads as obligatory — acknowledging an area for growth without engaging with what specifically happened, what drove her choices, or what the pattern reveals.</w:t>
      </w:r>
    </w:p>
    <w:p>
      <w:pPr>
        <w:spacing w:before="0" w:after="120" w:line="276" w:lineRule="auto"/>
      </w:pPr>
      <w:r>
        <w:rPr>
          <w:rFonts w:ascii="DM Sans" w:hAnsi="DM Sans" w:cs="DM Sans"/>
          <w:b/>
          <w:i w:val="0"/>
          <w:color w:val="050C2A"/>
          <w:sz w:val="20"/>
          <w:u w:val="none"/>
        </w:rPr>
        <w:t>Emerging (1):</w:t>
      </w:r>
    </w:p>
    <w:p>
      <w:pPr>
        <w:pBdr>
          <w:left w:val="single" w:sz="18" w:space="8" w:color="FF7C0A"/>
        </w:pBdr>
        <w:ind w:left="720"/>
        <w:spacing w:before="120" w:after="120" w:line="276" w:lineRule="auto"/>
      </w:pPr>
      <w:r>
        <w:rPr>
          <w:rFonts w:ascii="DM Sans" w:hAnsi="DM Sans" w:cs="DM Sans"/>
          <w:b w:val="0"/>
          <w:i w:val="0"/>
          <w:color w:val="ACACAC"/>
          <w:sz w:val="20"/>
          <w:u w:val="none"/>
        </w:rPr>
        <w:t>"Our team worked well together during the Discovery phase, though dividing up the research was challenging. Amir took on a lot of the communication with the employer, which was helpful because he's naturally good at that kind of thing. The Direction Check went well overall, and the employer seemed satisfied with our research direction."</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Jade is entirely external to this account. The description focuses on team dynamics, Amir's strengths, and the employer's reaction — all external factors. There is no examination of her own role in the communication imbalance, no acknowledgment of her own choices, and no self-directed analysis. The framing ("Amir's naturally good at that") attributes the dynamic to others' traits rather than examining her own behavior.</w:t>
      </w:r>
    </w:p>
    <w:p>
      <w:pPr>
        <w:spacing w:before="0" w:after="120" w:line="276" w:lineRule="auto"/>
      </w:pPr>
      <w:r>
        <w:rPr>
          <w:rFonts w:ascii="DM Sans" w:hAnsi="DM Sans" w:cs="DM Sans"/>
          <w:b/>
          <w:i w:val="0"/>
          <w:color w:val="050C2A"/>
          <w:sz w:val="20"/>
          <w:u w:val="none"/>
        </w:rPr>
        <w:t>Not Acceptable (0):</w:t>
      </w:r>
    </w:p>
    <w:p>
      <w:pPr>
        <w:spacing w:before="0" w:after="120" w:line="276" w:lineRule="auto"/>
      </w:pPr>
      <w:r>
        <w:rPr>
          <w:rFonts w:ascii="DM Sans" w:hAnsi="DM Sans" w:cs="DM Sans"/>
          <w:b w:val="0"/>
          <w:i w:val="0"/>
          <w:color w:val="050C2A"/>
          <w:sz w:val="20"/>
          <w:u w:val="none"/>
        </w:rPr>
        <w:t>No self-examination is present. The reflection reads entirely as a third-person account of team or project events with no evidence the student considered their own role (e.g., "Our team completed the Context Analysis and received positive feedback during the Direction Check. The research phase went smoothly.").</w:t>
      </w:r>
    </w:p>
    <w:p>
      <w:pPr>
        <w:spacing w:before="240" w:after="80"/>
      </w:pPr>
      <w:r>
        <w:rPr>
          <w:rFonts w:ascii="DM Sans" w:hAnsi="DM Sans" w:cs="DM Sans"/>
          <w:b/>
          <w:i w:val="0"/>
          <w:color w:val="050C2A"/>
          <w:sz w:val="24"/>
          <w:u w:val="none"/>
        </w:rPr>
        <w:t>Calibration Notes for Personal Accountability</w:t>
      </w:r>
    </w:p>
    <w:p>
      <w:pPr>
        <w:spacing w:before="0" w:after="120" w:line="276" w:lineRule="auto"/>
      </w:pPr>
      <w:r>
        <w:rPr>
          <w:rFonts w:ascii="DM Sans" w:hAnsi="DM Sans" w:cs="DM Sans"/>
          <w:b/>
          <w:i w:val="0"/>
          <w:color w:val="050C2A"/>
          <w:sz w:val="20"/>
          <w:u w:val="none"/>
        </w:rPr>
        <w:t>The actor/narrator distinction is the primary lever.</w:t>
      </w:r>
      <w:r>
        <w:rPr>
          <w:rFonts w:ascii="DM Sans" w:hAnsi="DM Sans" w:cs="DM Sans"/>
          <w:b w:val="0"/>
          <w:i w:val="0"/>
          <w:color w:val="050C2A"/>
          <w:sz w:val="20"/>
          <w:u w:val="none"/>
        </w:rPr>
        <w:t xml:space="preserve"> Ask: "Is the student inside this experience — examining their own choices, reactions, and assumptions — or standing outside it, describing what happened around them?" An actor says "I avoided the emails because..." A narrator says "Amir handled the communication because he's good at it."</w:t>
      </w:r>
    </w:p>
    <w:p>
      <w:pPr>
        <w:spacing w:before="0" w:after="120" w:line="276" w:lineRule="auto"/>
      </w:pPr>
      <w:r>
        <w:rPr>
          <w:rFonts w:ascii="DM Sans" w:hAnsi="DM Sans" w:cs="DM Sans"/>
          <w:b/>
          <w:i w:val="0"/>
          <w:color w:val="050C2A"/>
          <w:sz w:val="20"/>
          <w:u w:val="none"/>
        </w:rPr>
        <w:t>Self-implication is not self-flagellation.</w:t>
      </w:r>
      <w:r>
        <w:rPr>
          <w:rFonts w:ascii="DM Sans" w:hAnsi="DM Sans" w:cs="DM Sans"/>
          <w:b w:val="0"/>
          <w:i w:val="0"/>
          <w:color w:val="050C2A"/>
          <w:sz w:val="20"/>
          <w:u w:val="none"/>
        </w:rPr>
        <w:t xml:space="preserve"> Exemplary does not mean the student must confess to failure. A student who examines how their strengths shaped the experience — including blind spots those strengths created — is demonstrating personal accountability. The key is that the student examines their own role, not that they frame themselves negatively.</w:t>
      </w:r>
    </w:p>
    <w:p>
      <w:pPr>
        <w:spacing w:before="0" w:after="120" w:line="276" w:lineRule="auto"/>
      </w:pPr>
      <w:r>
        <w:rPr>
          <w:rFonts w:ascii="DM Sans" w:hAnsi="DM Sans" w:cs="DM Sans"/>
          <w:b/>
          <w:i w:val="0"/>
          <w:color w:val="050C2A"/>
          <w:sz w:val="20"/>
          <w:u w:val="none"/>
        </w:rPr>
        <w:t>Watch for attribution patterns.</w:t>
      </w:r>
      <w:r>
        <w:rPr>
          <w:rFonts w:ascii="DM Sans" w:hAnsi="DM Sans" w:cs="DM Sans"/>
          <w:b w:val="0"/>
          <w:i w:val="0"/>
          <w:color w:val="050C2A"/>
          <w:sz w:val="20"/>
          <w:u w:val="none"/>
        </w:rPr>
        <w:t xml:space="preserve"> Students at Developing and Emerging consistently attribute outcomes to external factors — the employer's personality, the teammate's skills, the project's complexity, the timeline's pressure. Personal accountability shows up when the student examines their own contribution to the outcome alongside (not instead of) external factors.</w:t>
      </w:r>
    </w:p>
    <w:p>
      <w:pPr>
        <w:spacing w:before="0" w:after="120" w:line="276" w:lineRule="auto"/>
      </w:pPr>
      <w:r>
        <w:rPr>
          <w:rFonts w:ascii="DM Sans" w:hAnsi="DM Sans" w:cs="DM Sans"/>
          <w:b/>
          <w:i w:val="0"/>
          <w:color w:val="050C2A"/>
          <w:sz w:val="20"/>
          <w:u w:val="none"/>
        </w:rPr>
        <w:t>Formulaic self-assessment is a Developing signal.</w:t>
      </w:r>
      <w:r>
        <w:rPr>
          <w:rFonts w:ascii="DM Sans" w:hAnsi="DM Sans" w:cs="DM Sans"/>
          <w:b w:val="0"/>
          <w:i w:val="0"/>
          <w:color w:val="050C2A"/>
          <w:sz w:val="20"/>
          <w:u w:val="none"/>
        </w:rPr>
        <w:t xml:space="preserve"> "I need to work on X" and "I should have done Y" are common patterns that look like self-examination but aren't. The tell is that the statement could have been written before the experience happened — it doesn't require having actually examined what occurred. Proficient and above require the self-examination to be grounded in the specific experience described.</w:t>
      </w:r>
    </w:p>
    <w:p>
      <w:pPr>
        <w:spacing w:before="0" w:after="120" w:line="276" w:lineRule="auto"/>
      </w:pPr>
      <w:r>
        <w:rPr>
          <w:rFonts w:ascii="DM Sans" w:hAnsi="DM Sans" w:cs="DM Sans"/>
          <w:b/>
          <w:i w:val="0"/>
          <w:color w:val="050C2A"/>
          <w:sz w:val="20"/>
          <w:u w:val="none"/>
        </w:rPr>
        <w:t>This dimension is related to but distinct from Critical Examination.</w:t>
      </w:r>
      <w:r>
        <w:rPr>
          <w:rFonts w:ascii="DM Sans" w:hAnsi="DM Sans" w:cs="DM Sans"/>
          <w:b w:val="0"/>
          <w:i w:val="0"/>
          <w:color w:val="050C2A"/>
          <w:sz w:val="20"/>
          <w:u w:val="none"/>
        </w:rPr>
        <w:t xml:space="preserve"> A student can produce a sharp, analytical examination of events (scoring well on Dimension 2) while remaining entirely external to the analysis — treating themselves as a neutral observer of the experience. Personal Accountability asks specifically whether the analytical lens is turned inward. Score these independently.</w:t>
      </w:r>
    </w:p>
    <w:p>
      <w:pPr>
        <w:spacing w:before="280" w:after="100"/>
      </w:pPr>
      <w:r>
        <w:rPr>
          <w:rFonts w:ascii="DM Sans" w:hAnsi="DM Sans" w:cs="DM Sans"/>
          <w:b/>
          <w:i w:val="0"/>
          <w:color w:val="050C2A"/>
          <w:sz w:val="28"/>
          <w:u w:val="none"/>
        </w:rPr>
        <w:t>Dimension 4: Articulation of Learning</w:t>
      </w:r>
    </w:p>
    <w:p>
      <w:pPr>
        <w:spacing w:before="0" w:after="120" w:line="276" w:lineRule="auto"/>
      </w:pPr>
      <w:r>
        <w:rPr>
          <w:rFonts w:ascii="DM Sans" w:hAnsi="DM Sans" w:cs="DM Sans"/>
          <w:b w:val="0"/>
          <w:i/>
          <w:color w:val="050C2A"/>
          <w:sz w:val="20"/>
          <w:u w:val="none"/>
        </w:rPr>
        <w:t>Career &amp; Self-Development → Career Articulation, Growth Orientation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Articulate Learning stage</w:t>
      </w:r>
      <w:r>
        <w:rPr>
          <w:rFonts w:ascii="DM Sans" w:hAnsi="DM Sans" w:cs="DM Sans"/>
          <w:b w:val="0"/>
          <w:i w:val="0"/>
          <w:color w:val="050C2A"/>
          <w:sz w:val="20"/>
          <w:u w:val="none"/>
        </w:rPr>
        <w:t xml:space="preserve"> </w:t>
      </w:r>
      <w:r>
        <w:rPr>
          <w:rFonts w:ascii="DM Sans" w:hAnsi="DM Sans" w:cs="DM Sans"/>
          <w:b w:val="0"/>
          <w:i/>
          <w:color w:val="050C2A"/>
          <w:sz w:val="20"/>
          <w:u w:val="none"/>
        </w:rPr>
        <w:t>Weight: 25%</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Does the articulated learning emerge credibly from the examination, and is it specific enough to apply in a future context?</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776"/>
            <w:shd w:fill="FF7C0A" w:val="clear"/>
            <w:vAlign w:val="center"/>
          </w:tcPr>
          <w:p>
            <w:pPr>
              <w:jc w:val="left"/>
              <w:spacing w:before="40" w:after="40"/>
            </w:pPr>
            <w:r>
              <w:rPr>
                <w:rFonts w:ascii="DM Sans" w:hAnsi="DM Sans" w:cs="DM Sans"/>
                <w:b/>
                <w:i w:val="0"/>
                <w:color w:val="FFFFFF"/>
                <w:sz w:val="20"/>
                <w:u w:val="none"/>
              </w:rPr>
              <w:t>Level</w:t>
            </w:r>
          </w:p>
        </w:tc>
        <w:tc>
          <w:tcPr>
            <w:tcW w:type="dxa" w:w="7584"/>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776"/>
            <w:vAlign w:val="center"/>
          </w:tcPr>
          <w:p>
            <w:pPr>
              <w:spacing w:before="30" w:after="30"/>
            </w:pPr>
            <w:r>
              <w:rPr>
                <w:rFonts w:ascii="DM Sans" w:hAnsi="DM Sans" w:cs="DM Sans"/>
                <w:b/>
                <w:i w:val="0"/>
                <w:color w:val="050C2A"/>
                <w:sz w:val="20"/>
                <w:u w:val="none"/>
              </w:rPr>
              <w:t>Exemplary (4)</w:t>
            </w:r>
          </w:p>
        </w:tc>
        <w:tc>
          <w:tcPr>
            <w:tcW w:type="dxa" w:w="7584"/>
            <w:vAlign w:val="center"/>
          </w:tcPr>
          <w:p>
            <w:pPr>
              <w:spacing w:before="30" w:after="30"/>
            </w:pPr>
            <w:r>
              <w:rPr>
                <w:rFonts w:ascii="DM Sans" w:hAnsi="DM Sans" w:cs="DM Sans"/>
                <w:b w:val="0"/>
                <w:i w:val="0"/>
                <w:color w:val="050C2A"/>
                <w:sz w:val="20"/>
                <w:u w:val="none"/>
              </w:rPr>
              <w:t>The articulated learning is specific, transferable, and credibly derived from the examination. It identifies a principle, understanding, or capability that extends beyond this experience and this project. The student can name where and how this learning might apply in a future context. The learning statement is honest — it reflects what the student actually learned, not what sounds most impressive.</w:t>
            </w:r>
          </w:p>
        </w:tc>
      </w:tr>
      <w:tr>
        <w:tc>
          <w:tcPr>
            <w:tcW w:type="dxa" w:w="1776"/>
            <w:shd w:fill="F5F5F5" w:val="clear"/>
            <w:vAlign w:val="center"/>
          </w:tcPr>
          <w:p>
            <w:pPr>
              <w:spacing w:before="30" w:after="30"/>
            </w:pPr>
            <w:r>
              <w:rPr>
                <w:rFonts w:ascii="DM Sans" w:hAnsi="DM Sans" w:cs="DM Sans"/>
                <w:b/>
                <w:i w:val="0"/>
                <w:color w:val="050C2A"/>
                <w:sz w:val="20"/>
                <w:u w:val="none"/>
              </w:rPr>
              <w:t>Proficient (3)</w:t>
            </w:r>
          </w:p>
        </w:tc>
        <w:tc>
          <w:tcPr>
            <w:tcW w:type="dxa" w:w="7584"/>
            <w:shd w:fill="F5F5F5" w:val="clear"/>
            <w:vAlign w:val="center"/>
          </w:tcPr>
          <w:p>
            <w:pPr>
              <w:spacing w:before="30" w:after="30"/>
            </w:pPr>
            <w:r>
              <w:rPr>
                <w:rFonts w:ascii="DM Sans" w:hAnsi="DM Sans" w:cs="DM Sans"/>
                <w:b w:val="0"/>
                <w:i w:val="0"/>
                <w:color w:val="050C2A"/>
                <w:sz w:val="20"/>
                <w:u w:val="none"/>
              </w:rPr>
              <w:t>The articulated learning follows logically from the examination and identifies something the student will carry forward. It is specific enough to be meaningful, even if the application to future contexts is not fully developed.</w:t>
            </w:r>
          </w:p>
        </w:tc>
      </w:tr>
      <w:tr>
        <w:tc>
          <w:tcPr>
            <w:tcW w:type="dxa" w:w="1776"/>
            <w:vAlign w:val="center"/>
          </w:tcPr>
          <w:p>
            <w:pPr>
              <w:spacing w:before="30" w:after="30"/>
            </w:pPr>
            <w:r>
              <w:rPr>
                <w:rFonts w:ascii="DM Sans" w:hAnsi="DM Sans" w:cs="DM Sans"/>
                <w:b/>
                <w:i w:val="0"/>
                <w:color w:val="050C2A"/>
                <w:sz w:val="20"/>
                <w:u w:val="none"/>
              </w:rPr>
              <w:t>Developing (2)</w:t>
            </w:r>
          </w:p>
        </w:tc>
        <w:tc>
          <w:tcPr>
            <w:tcW w:type="dxa" w:w="7584"/>
            <w:vAlign w:val="center"/>
          </w:tcPr>
          <w:p>
            <w:pPr>
              <w:spacing w:before="30" w:after="30"/>
            </w:pPr>
            <w:r>
              <w:rPr>
                <w:rFonts w:ascii="DM Sans" w:hAnsi="DM Sans" w:cs="DM Sans"/>
                <w:b w:val="0"/>
                <w:i w:val="0"/>
                <w:color w:val="050C2A"/>
                <w:sz w:val="20"/>
                <w:u w:val="none"/>
              </w:rPr>
              <w:t>The articulated learning is present but generic. It could apply to almost any student in any experiential learning course ("I learned that teamwork is important," "Communication matters more than I thought"). The connection to the specific examination is loose — the learning statement doesn't clearly emerge from the analysis.</w:t>
            </w:r>
          </w:p>
        </w:tc>
      </w:tr>
      <w:tr>
        <w:tc>
          <w:tcPr>
            <w:tcW w:type="dxa" w:w="1776"/>
            <w:shd w:fill="F5F5F5" w:val="clear"/>
            <w:vAlign w:val="center"/>
          </w:tcPr>
          <w:p>
            <w:pPr>
              <w:spacing w:before="30" w:after="30"/>
            </w:pPr>
            <w:r>
              <w:rPr>
                <w:rFonts w:ascii="DM Sans" w:hAnsi="DM Sans" w:cs="DM Sans"/>
                <w:b/>
                <w:i w:val="0"/>
                <w:color w:val="050C2A"/>
                <w:sz w:val="20"/>
                <w:u w:val="none"/>
              </w:rPr>
              <w:t>Emerging (1)</w:t>
            </w:r>
          </w:p>
        </w:tc>
        <w:tc>
          <w:tcPr>
            <w:tcW w:type="dxa" w:w="7584"/>
            <w:shd w:fill="F5F5F5" w:val="clear"/>
            <w:vAlign w:val="center"/>
          </w:tcPr>
          <w:p>
            <w:pPr>
              <w:spacing w:before="30" w:after="30"/>
            </w:pPr>
            <w:r>
              <w:rPr>
                <w:rFonts w:ascii="DM Sans" w:hAnsi="DM Sans" w:cs="DM Sans"/>
                <w:b w:val="0"/>
                <w:i w:val="0"/>
                <w:color w:val="050C2A"/>
                <w:sz w:val="20"/>
                <w:u w:val="none"/>
              </w:rPr>
              <w:t>The articulated learning is vague, disconnected from the examination, or absent. What is presented as learning reads as a general statement about the value of the experience rather than a specific insight the student extracted.</w:t>
            </w:r>
          </w:p>
        </w:tc>
      </w:tr>
      <w:tr>
        <w:tc>
          <w:tcPr>
            <w:tcW w:type="dxa" w:w="1776"/>
            <w:vAlign w:val="center"/>
          </w:tcPr>
          <w:p>
            <w:pPr>
              <w:spacing w:before="30" w:after="30"/>
            </w:pPr>
            <w:r>
              <w:rPr>
                <w:rFonts w:ascii="DM Sans" w:hAnsi="DM Sans" w:cs="DM Sans"/>
                <w:b/>
                <w:i w:val="0"/>
                <w:color w:val="050C2A"/>
                <w:sz w:val="20"/>
                <w:u w:val="none"/>
              </w:rPr>
              <w:t>Not Acceptable (0)</w:t>
            </w:r>
          </w:p>
        </w:tc>
        <w:tc>
          <w:tcPr>
            <w:tcW w:type="dxa" w:w="7584"/>
            <w:vAlign w:val="center"/>
          </w:tcPr>
          <w:p>
            <w:pPr>
              <w:spacing w:before="30" w:after="30"/>
            </w:pPr>
            <w:r>
              <w:rPr>
                <w:rFonts w:ascii="DM Sans" w:hAnsi="DM Sans" w:cs="DM Sans"/>
                <w:b w:val="0"/>
                <w:i w:val="0"/>
                <w:color w:val="050C2A"/>
                <w:sz w:val="20"/>
                <w:u w:val="none"/>
              </w:rPr>
              <w:t>No meaningful articulation of learning is provided. The Articulate Learning stage is missing, or the content is entirely generic — it bears no visible relationship to the experience described or the examination conducted.</w:t>
            </w:r>
          </w:p>
        </w:tc>
      </w:tr>
    </w:tbl>
    <w:p>
      <w:pPr>
        <w:spacing w:before="0" w:after="120"/>
      </w:pPr>
    </w:p>
    <w:p>
      <w:pPr>
        <w:spacing w:before="240" w:after="80"/>
      </w:pPr>
      <w:r>
        <w:rPr>
          <w:rFonts w:ascii="DM Sans" w:hAnsi="DM Sans" w:cs="DM Sans"/>
          <w:b/>
          <w:i w:val="0"/>
          <w:color w:val="050C2A"/>
          <w:sz w:val="24"/>
          <w:u w:val="none"/>
        </w:rPr>
        <w:t>What Each Level Looks Like — Tomás's Examples</w:t>
      </w:r>
    </w:p>
    <w:p>
      <w:pPr>
        <w:spacing w:before="0" w:after="120" w:line="276" w:lineRule="auto"/>
      </w:pPr>
      <w:r>
        <w:rPr>
          <w:rFonts w:ascii="DM Sans" w:hAnsi="DM Sans" w:cs="DM Sans"/>
          <w:b/>
          <w:i w:val="0"/>
          <w:color w:val="050C2A"/>
          <w:sz w:val="20"/>
          <w:u w:val="none"/>
        </w:rPr>
        <w:t>Tomás</w:t>
      </w:r>
      <w:r>
        <w:rPr>
          <w:rFonts w:ascii="DM Sans" w:hAnsi="DM Sans" w:cs="DM Sans"/>
          <w:b w:val="0"/>
          <w:i w:val="0"/>
          <w:color w:val="050C2A"/>
          <w:sz w:val="20"/>
          <w:u w:val="none"/>
        </w:rPr>
        <w:t xml:space="preserve"> is a public policy major working on a stakeholder engagement plan for a local transit authority. During the Discovery phase, his research turned up conflicting priorities among different community groups. His Direction Check revealed that the transit authority already knew about these conflicts and wanted the team to propose how to navigate them — not just document them.</w:t>
      </w:r>
    </w:p>
    <w:p>
      <w:pPr>
        <w:spacing w:before="0" w:after="120" w:line="276" w:lineRule="auto"/>
      </w:pPr>
      <w:r>
        <w:rPr>
          <w:rFonts w:ascii="DM Sans" w:hAnsi="DM Sans" w:cs="DM Sans"/>
          <w:b/>
          <w:i w:val="0"/>
          <w:color w:val="050C2A"/>
          <w:sz w:val="20"/>
          <w:u w:val="none"/>
        </w:rPr>
        <w:t>Exemplary (4):</w:t>
      </w:r>
    </w:p>
    <w:p>
      <w:pPr>
        <w:pBdr>
          <w:left w:val="single" w:sz="18" w:space="8" w:color="FF7C0A"/>
        </w:pBdr>
        <w:ind w:left="720"/>
        <w:spacing w:before="120" w:after="120" w:line="276" w:lineRule="auto"/>
      </w:pPr>
      <w:r>
        <w:rPr>
          <w:rFonts w:ascii="DM Sans" w:hAnsi="DM Sans" w:cs="DM Sans"/>
          <w:b w:val="0"/>
          <w:i w:val="0"/>
          <w:color w:val="ACACAC"/>
          <w:sz w:val="20"/>
          <w:u w:val="none"/>
        </w:rPr>
        <w:t>"What I'm taking from this experience is a principle I didn't have before: the value of research isn't in the findings — it's in the framework you build for deciding what to do when the findings conflict. Before the Direction Check, I thought my job was to present the stakeholder landscape as clearly as possible and let the employer decide what to do with it. Carla's response — essentially, 'we already know it's complicated; tell us what you'd do about it' — reframed my understanding of what a consultant's research is supposed to produce. The next time I'm in a situation where my research turns up conflicting interests — which, in public policy, will be essentially every time — I want to move past documentation toward recommendation much earlier. Not because my recommendation will be right, but because having a proposed framework for navigating the conflict is more useful to a decision-maker than having a more detailed map of the conflict itself. I didn't understand that distinction six weeks ago."</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learning is specific (the value of research is in the decision framework, not the findings), transferable (applicable to any future policy research situation), and credibly derived from the examination (it follows directly from the employer's redirect). Tomás names a concrete future context ("the next time I'm in a situation where my research turns up conflicting interests") and articulates how he'd act differently. The learning is honest — he doesn't claim to have mastered anything, just to have understood a distinction he didn't see before.</w:t>
      </w:r>
    </w:p>
    <w:p>
      <w:pPr>
        <w:spacing w:before="0" w:after="120" w:line="276" w:lineRule="auto"/>
      </w:pPr>
      <w:r>
        <w:rPr>
          <w:rFonts w:ascii="DM Sans" w:hAnsi="DM Sans" w:cs="DM Sans"/>
          <w:b/>
          <w:i w:val="0"/>
          <w:color w:val="050C2A"/>
          <w:sz w:val="20"/>
          <w:u w:val="none"/>
        </w:rPr>
        <w:t>Proficient (3):</w:t>
      </w:r>
    </w:p>
    <w:p>
      <w:pPr>
        <w:pBdr>
          <w:left w:val="single" w:sz="18" w:space="8" w:color="FF7C0A"/>
        </w:pBdr>
        <w:ind w:left="720"/>
        <w:spacing w:before="120" w:after="120" w:line="276" w:lineRule="auto"/>
      </w:pPr>
      <w:r>
        <w:rPr>
          <w:rFonts w:ascii="DM Sans" w:hAnsi="DM Sans" w:cs="DM Sans"/>
          <w:b w:val="0"/>
          <w:i w:val="0"/>
          <w:color w:val="ACACAC"/>
          <w:sz w:val="20"/>
          <w:u w:val="none"/>
        </w:rPr>
        <w:t>"What I learned is that in a professional context, research needs to lead to recommendations, not just findings. The employer didn't need us to tell them what they already knew — they needed us to propose a way forward. In future projects, I want to push myself to move from 'here's what we found' to 'here's what we think you should do about it' earlier in the process, even when the situation is complicated and there isn't a clear answer."</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The learning follows logically from the examination — the employer wanted recommendations, not documentation, and Tomás draws a general principle from that. It's specific enough to be meaningful (research should lead to recommendations) and he identifies a future application (move to recommendations earlier). But the learning doesn't push as far — it stays at the level of "what I should do differently" without exploring the underlying principle about what makes research useful to decision-makers, or why his initial instinct was to stop at documentation.</w:t>
      </w:r>
    </w:p>
    <w:p>
      <w:pPr>
        <w:spacing w:before="0" w:after="120" w:line="276" w:lineRule="auto"/>
      </w:pPr>
      <w:r>
        <w:rPr>
          <w:rFonts w:ascii="DM Sans" w:hAnsi="DM Sans" w:cs="DM Sans"/>
          <w:b/>
          <w:i w:val="0"/>
          <w:color w:val="050C2A"/>
          <w:sz w:val="20"/>
          <w:u w:val="none"/>
        </w:rPr>
        <w:t>Developing (2):</w:t>
      </w:r>
    </w:p>
    <w:p>
      <w:pPr>
        <w:pBdr>
          <w:left w:val="single" w:sz="18" w:space="8" w:color="FF7C0A"/>
        </w:pBdr>
        <w:ind w:left="720"/>
        <w:spacing w:before="120" w:after="120" w:line="276" w:lineRule="auto"/>
      </w:pPr>
      <w:r>
        <w:rPr>
          <w:rFonts w:ascii="DM Sans" w:hAnsi="DM Sans" w:cs="DM Sans"/>
          <w:b w:val="0"/>
          <w:i w:val="0"/>
          <w:color w:val="ACACAC"/>
          <w:sz w:val="20"/>
          <w:u w:val="none"/>
        </w:rPr>
        <w:t>"This experience taught me that communication with the client is really important and that you need to make sure you understand what they're looking for before you invest a lot of time in research. I also learned that working with real stakeholders is more complicated than classroom projects. These are lessons I'll carry with me into my career."</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"Communication with the client is important" and "real work is more complicated than classroom projects" are generic observations that could emerge from any experiential learning course. They don't connect specifically to what Tomás examined — the tension between documenting complexity and recommending through it. The learning statements are loosely related to the experience but don't emerge from the analysis; they could have been written before the reflection was conducted.</w:t>
      </w:r>
    </w:p>
    <w:p>
      <w:pPr>
        <w:spacing w:before="0" w:after="120" w:line="276" w:lineRule="auto"/>
      </w:pPr>
      <w:r>
        <w:rPr>
          <w:rFonts w:ascii="DM Sans" w:hAnsi="DM Sans" w:cs="DM Sans"/>
          <w:b/>
          <w:i w:val="0"/>
          <w:color w:val="050C2A"/>
          <w:sz w:val="20"/>
          <w:u w:val="none"/>
        </w:rPr>
        <w:t>Emerging (1):</w:t>
      </w:r>
    </w:p>
    <w:p>
      <w:pPr>
        <w:pBdr>
          <w:left w:val="single" w:sz="18" w:space="8" w:color="FF7C0A"/>
        </w:pBdr>
        <w:ind w:left="720"/>
        <w:spacing w:before="120" w:after="120" w:line="276" w:lineRule="auto"/>
      </w:pPr>
      <w:r>
        <w:rPr>
          <w:rFonts w:ascii="DM Sans" w:hAnsi="DM Sans" w:cs="DM Sans"/>
          <w:b w:val="0"/>
          <w:i w:val="0"/>
          <w:color w:val="ACACAC"/>
          <w:sz w:val="20"/>
          <w:u w:val="none"/>
        </w:rPr>
        <w:t>"Overall, this has been a valuable learning experience and I feel like I've grown a lot as a researcher. Working with a real client has taught me skills I couldn't get in a classroom. I'm looking forward to applying what I've learned in the rest of the project."</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There is no specific learning articulated. "Valuable learning experience," "grown a lot," and "skills I couldn't get in a classroom" are general sentiments about the value of experiential learning, not insights extracted from the examination. The passage reads as a conclusion to a course evaluation rather than an articulation of transferable learning.</w:t>
      </w:r>
    </w:p>
    <w:p>
      <w:pPr>
        <w:spacing w:before="0" w:after="120" w:line="276" w:lineRule="auto"/>
      </w:pPr>
      <w:r>
        <w:rPr>
          <w:rFonts w:ascii="DM Sans" w:hAnsi="DM Sans" w:cs="DM Sans"/>
          <w:b/>
          <w:i w:val="0"/>
          <w:color w:val="050C2A"/>
          <w:sz w:val="20"/>
          <w:u w:val="none"/>
        </w:rPr>
        <w:t>Not Acceptable (0):</w:t>
      </w:r>
    </w:p>
    <w:p>
      <w:pPr>
        <w:spacing w:before="0" w:after="120" w:line="276" w:lineRule="auto"/>
      </w:pPr>
      <w:r>
        <w:rPr>
          <w:rFonts w:ascii="DM Sans" w:hAnsi="DM Sans" w:cs="DM Sans"/>
          <w:b w:val="0"/>
          <w:i w:val="0"/>
          <w:color w:val="050C2A"/>
          <w:sz w:val="20"/>
          <w:u w:val="none"/>
        </w:rPr>
        <w:t>No meaningful learning is articulated. The Articulate Learning stage is missing, or the content is purely valedictory (e.g., "I'm grateful for this experience and everything it's taught me").</w:t>
      </w:r>
    </w:p>
    <w:p>
      <w:pPr>
        <w:spacing w:before="240" w:after="80"/>
      </w:pPr>
      <w:r>
        <w:rPr>
          <w:rFonts w:ascii="DM Sans" w:hAnsi="DM Sans" w:cs="DM Sans"/>
          <w:b/>
          <w:i w:val="0"/>
          <w:color w:val="050C2A"/>
          <w:sz w:val="24"/>
          <w:u w:val="none"/>
        </w:rPr>
        <w:t>Calibration Notes for Articulation of Learning</w:t>
      </w:r>
    </w:p>
    <w:p>
      <w:pPr>
        <w:spacing w:before="0" w:after="120" w:line="276" w:lineRule="auto"/>
      </w:pPr>
      <w:r>
        <w:rPr>
          <w:rFonts w:ascii="DM Sans" w:hAnsi="DM Sans" w:cs="DM Sans"/>
          <w:b/>
          <w:i w:val="0"/>
          <w:color w:val="050C2A"/>
          <w:sz w:val="20"/>
          <w:u w:val="none"/>
        </w:rPr>
        <w:t>The derivation test is the primary lever.</w:t>
      </w:r>
      <w:r>
        <w:rPr>
          <w:rFonts w:ascii="DM Sans" w:hAnsi="DM Sans" w:cs="DM Sans"/>
          <w:b w:val="0"/>
          <w:i w:val="0"/>
          <w:color w:val="050C2A"/>
          <w:sz w:val="20"/>
          <w:u w:val="none"/>
        </w:rPr>
        <w:t xml:space="preserve"> Ask: "Could this learning statement have been written without the Describe and Examine stages?" If yes, it is Developing at best. At Proficient and above, the articulated learning follows visibly from the specific experience examined — it couldn't have been stated without having done the reflective work.</w:t>
      </w:r>
    </w:p>
    <w:p>
      <w:pPr>
        <w:spacing w:before="0" w:after="120" w:line="276" w:lineRule="auto"/>
      </w:pPr>
      <w:r>
        <w:rPr>
          <w:rFonts w:ascii="DM Sans" w:hAnsi="DM Sans" w:cs="DM Sans"/>
          <w:b/>
          <w:i w:val="0"/>
          <w:color w:val="050C2A"/>
          <w:sz w:val="20"/>
          <w:u w:val="none"/>
        </w:rPr>
        <w:t>Specificity and transferability are both required at Exemplary.</w:t>
      </w:r>
      <w:r>
        <w:rPr>
          <w:rFonts w:ascii="DM Sans" w:hAnsi="DM Sans" w:cs="DM Sans"/>
          <w:b w:val="0"/>
          <w:i w:val="0"/>
          <w:color w:val="050C2A"/>
          <w:sz w:val="20"/>
          <w:u w:val="none"/>
        </w:rPr>
        <w:t xml:space="preserve"> A highly specific insight that only applies to this project ("I learned that transit stakeholders in this city disagree about bus routes") is not transferable. A highly transferable insight that is too general ("Communication is important") is not specific. Exemplary learning is both — it extracts a principle that is concrete enough to act on and broad enough to apply elsewhere.</w:t>
      </w:r>
    </w:p>
    <w:p>
      <w:pPr>
        <w:spacing w:before="0" w:after="120" w:line="276" w:lineRule="auto"/>
      </w:pPr>
      <w:r>
        <w:rPr>
          <w:rFonts w:ascii="DM Sans" w:hAnsi="DM Sans" w:cs="DM Sans"/>
          <w:b/>
          <w:i w:val="0"/>
          <w:color w:val="050C2A"/>
          <w:sz w:val="20"/>
          <w:u w:val="none"/>
        </w:rPr>
        <w:t>Watch for learning that sounds impressive but doesn't emerge from the analysis.</w:t>
      </w:r>
      <w:r>
        <w:rPr>
          <w:rFonts w:ascii="DM Sans" w:hAnsi="DM Sans" w:cs="DM Sans"/>
          <w:b w:val="0"/>
          <w:i w:val="0"/>
          <w:color w:val="050C2A"/>
          <w:sz w:val="20"/>
          <w:u w:val="none"/>
        </w:rPr>
        <w:t xml:space="preserve"> Students sometimes bolt on a polished-sounding learning statement that doesn't connect to what they actually examined. The tell is a tonal shift — the Examine stage is exploratory and uncertain, and then the Articulate Learning stage suddenly produces a confident, aphoristic conclusion. If the learning reads as pre-formed rather than discovered through the reflection, it is likely Developing.</w:t>
      </w:r>
    </w:p>
    <w:p>
      <w:pPr>
        <w:spacing w:before="0" w:after="120" w:line="276" w:lineRule="auto"/>
      </w:pPr>
      <w:r>
        <w:rPr>
          <w:rFonts w:ascii="DM Sans" w:hAnsi="DM Sans" w:cs="DM Sans"/>
          <w:b/>
          <w:i w:val="0"/>
          <w:color w:val="050C2A"/>
          <w:sz w:val="20"/>
          <w:u w:val="none"/>
        </w:rPr>
        <w:t>"I learned that X is important" is the most common Developing pattern.</w:t>
      </w:r>
      <w:r>
        <w:rPr>
          <w:rFonts w:ascii="DM Sans" w:hAnsi="DM Sans" w:cs="DM Sans"/>
          <w:b w:val="0"/>
          <w:i w:val="0"/>
          <w:color w:val="050C2A"/>
          <w:sz w:val="20"/>
          <w:u w:val="none"/>
        </w:rPr>
        <w:t xml:space="preserve"> Virtually every Developing-level learning statement takes this form: "I learned that [competency] is important." Communication is important. Teamwork matters. Planning ahead saves time. These statements are true but non-diagnostic — they don't tell us what the student actually learned from this experience that they didn't already know.</w:t>
      </w:r>
    </w:p>
    <w:p>
      <w:pPr>
        <w:spacing w:before="0" w:after="120" w:line="276" w:lineRule="auto"/>
      </w:pPr>
      <w:r>
        <w:rPr>
          <w:rFonts w:ascii="DM Sans" w:hAnsi="DM Sans" w:cs="DM Sans"/>
          <w:b/>
          <w:i w:val="0"/>
          <w:color w:val="050C2A"/>
          <w:sz w:val="20"/>
          <w:u w:val="none"/>
        </w:rPr>
        <w:t>Honest limitations count.</w:t>
      </w:r>
      <w:r>
        <w:rPr>
          <w:rFonts w:ascii="DM Sans" w:hAnsi="DM Sans" w:cs="DM Sans"/>
          <w:b w:val="0"/>
          <w:i w:val="0"/>
          <w:color w:val="050C2A"/>
          <w:sz w:val="20"/>
          <w:u w:val="none"/>
        </w:rPr>
        <w:t xml:space="preserve"> A student who articulates "I thought I learned X, but I'm not sure it's that simple" may be demonstrating more sophisticated learning than a student who states a clean takeaway. The Articulation of Learning dimension rewards specificity and credibility, not polish. An insight the student is still working through can be Exemplary if it clearly emerges from the examination and extends beyond this experience.</w:t>
      </w:r>
    </w:p>
    <w:p>
      <w:pPr>
        <w:spacing w:before="0" w:after="120" w:line="276" w:lineRule="auto"/>
      </w:pPr>
      <w:r>
        <w:rPr>
          <w:rFonts w:ascii="DM Sans" w:hAnsi="DM Sans" w:cs="DM Sans"/>
          <w:b/>
          <w:i w:val="0"/>
          <w:color w:val="050C2A"/>
          <w:sz w:val="20"/>
          <w:u w:val="none"/>
        </w:rPr>
        <w:t>This dimension depends on the earlier stages.</w:t>
      </w:r>
      <w:r>
        <w:rPr>
          <w:rFonts w:ascii="DM Sans" w:hAnsi="DM Sans" w:cs="DM Sans"/>
          <w:b w:val="0"/>
          <w:i w:val="0"/>
          <w:color w:val="050C2A"/>
          <w:sz w:val="20"/>
          <w:u w:val="none"/>
        </w:rPr>
        <w:t xml:space="preserve"> Weak description and weak examination make strong articulation nearly impossible — a student can't extract specific, grounded learning from an experience they described vaguely and examined superficially. This dependency is by design; it reflects the logic of the DEAL framework itself.</w:t>
      </w:r>
    </w:p>
    <w:p>
      <w:pPr>
        <w:spacing w:before="280" w:after="100"/>
      </w:pPr>
      <w:r>
        <w:rPr>
          <w:rFonts w:ascii="DM Sans" w:hAnsi="DM Sans" w:cs="DM Sans"/>
          <w:b/>
          <w:i w:val="0"/>
          <w:color w:val="050C2A"/>
          <w:sz w:val="28"/>
          <w:u w:val="none"/>
        </w:rPr>
        <w:t>Cross-Dimension Calibration</w:t>
      </w:r>
    </w:p>
    <w:p>
      <w:pPr>
        <w:spacing w:before="240" w:after="80"/>
      </w:pPr>
      <w:r>
        <w:rPr>
          <w:rFonts w:ascii="DM Sans" w:hAnsi="DM Sans" w:cs="DM Sans"/>
          <w:b/>
          <w:i w:val="0"/>
          <w:color w:val="050C2A"/>
          <w:sz w:val="24"/>
          <w:u w:val="none"/>
        </w:rPr>
        <w:t>Common Score Profiles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1620"/>
            <w:shd w:fill="FF7C0A" w:val="clear"/>
            <w:vAlign w:val="center"/>
          </w:tcPr>
          <w:p>
            <w:pPr>
              <w:jc w:val="left"/>
              <w:spacing w:before="40" w:after="40"/>
            </w:pPr>
            <w:r>
              <w:rPr>
                <w:rFonts w:ascii="DM Sans" w:hAnsi="DM Sans" w:cs="DM Sans"/>
                <w:b/>
                <w:i w:val="0"/>
                <w:color w:val="FFFFFF"/>
                <w:sz w:val="20"/>
                <w:u w:val="none"/>
              </w:rPr>
              <w:t>Profile</w:t>
            </w:r>
          </w:p>
        </w:tc>
        <w:tc>
          <w:tcPr>
            <w:tcW w:type="dxa" w:w="648"/>
            <w:shd w:fill="FF7C0A" w:val="clear"/>
            <w:vAlign w:val="center"/>
          </w:tcPr>
          <w:p>
            <w:pPr>
              <w:jc w:val="left"/>
              <w:spacing w:before="40" w:after="40"/>
            </w:pPr>
            <w:r>
              <w:rPr>
                <w:rFonts w:ascii="DM Sans" w:hAnsi="DM Sans" w:cs="DM Sans"/>
                <w:b/>
                <w:i w:val="0"/>
                <w:color w:val="FFFFFF"/>
                <w:sz w:val="20"/>
                <w:u w:val="none"/>
              </w:rPr>
              <w:t>D1</w:t>
            </w:r>
          </w:p>
        </w:tc>
        <w:tc>
          <w:tcPr>
            <w:tcW w:type="dxa" w:w="648"/>
            <w:shd w:fill="FF7C0A" w:val="clear"/>
            <w:vAlign w:val="center"/>
          </w:tcPr>
          <w:p>
            <w:pPr>
              <w:jc w:val="left"/>
              <w:spacing w:before="40" w:after="40"/>
            </w:pPr>
            <w:r>
              <w:rPr>
                <w:rFonts w:ascii="DM Sans" w:hAnsi="DM Sans" w:cs="DM Sans"/>
                <w:b/>
                <w:i w:val="0"/>
                <w:color w:val="FFFFFF"/>
                <w:sz w:val="20"/>
                <w:u w:val="none"/>
              </w:rPr>
              <w:t>D2</w:t>
            </w:r>
          </w:p>
        </w:tc>
        <w:tc>
          <w:tcPr>
            <w:tcW w:type="dxa" w:w="793"/>
            <w:shd w:fill="FF7C0A" w:val="clear"/>
            <w:vAlign w:val="center"/>
          </w:tcPr>
          <w:p>
            <w:pPr>
              <w:jc w:val="left"/>
              <w:spacing w:before="40" w:after="40"/>
            </w:pPr>
            <w:r>
              <w:rPr>
                <w:rFonts w:ascii="DM Sans" w:hAnsi="DM Sans" w:cs="DM Sans"/>
                <w:b/>
                <w:i w:val="0"/>
                <w:color w:val="FFFFFF"/>
                <w:sz w:val="20"/>
                <w:u w:val="none"/>
              </w:rPr>
              <w:t>D3</w:t>
            </w:r>
          </w:p>
        </w:tc>
        <w:tc>
          <w:tcPr>
            <w:tcW w:type="dxa" w:w="648"/>
            <w:shd w:fill="FF7C0A" w:val="clear"/>
            <w:vAlign w:val="center"/>
          </w:tcPr>
          <w:p>
            <w:pPr>
              <w:jc w:val="left"/>
              <w:spacing w:before="40" w:after="40"/>
            </w:pPr>
            <w:r>
              <w:rPr>
                <w:rFonts w:ascii="DM Sans" w:hAnsi="DM Sans" w:cs="DM Sans"/>
                <w:b/>
                <w:i w:val="0"/>
                <w:color w:val="FFFFFF"/>
                <w:sz w:val="20"/>
                <w:u w:val="none"/>
              </w:rPr>
              <w:t>D4</w:t>
            </w:r>
          </w:p>
        </w:tc>
        <w:tc>
          <w:tcPr>
            <w:tcW w:type="dxa" w:w="5003"/>
            <w:shd w:fill="FF7C0A" w:val="clear"/>
            <w:vAlign w:val="center"/>
          </w:tcPr>
          <w:p>
            <w:pPr>
              <w:jc w:val="left"/>
              <w:spacing w:before="40" w:after="40"/>
            </w:pPr>
            <w:r>
              <w:rPr>
                <w:rFonts w:ascii="DM Sans" w:hAnsi="DM Sans" w:cs="DM Sans"/>
                <w:b/>
                <w:i w:val="0"/>
                <w:color w:val="FFFFFF"/>
                <w:sz w:val="20"/>
                <w:u w:val="none"/>
              </w:rPr>
              <w:t>What's Happening</w:t>
            </w:r>
          </w:p>
        </w:tc>
      </w:tr>
      <w:tr>
        <w:tc>
          <w:tcPr>
            <w:tcW w:type="dxa" w:w="1620"/>
            <w:vAlign w:val="center"/>
          </w:tcPr>
          <w:p>
            <w:pPr>
              <w:spacing w:before="30" w:after="30"/>
            </w:pPr>
            <w:r>
              <w:rPr>
                <w:rFonts w:ascii="DM Sans" w:hAnsi="DM Sans" w:cs="DM Sans"/>
                <w:b w:val="0"/>
                <w:i w:val="0"/>
                <w:color w:val="050C2A"/>
                <w:sz w:val="20"/>
                <w:u w:val="none"/>
              </w:rPr>
              <w:t>Strong across the board</w:t>
            </w:r>
          </w:p>
        </w:tc>
        <w:tc>
          <w:tcPr>
            <w:tcW w:type="dxa" w:w="648"/>
            <w:vAlign w:val="center"/>
          </w:tcPr>
          <w:p>
            <w:pPr>
              <w:spacing w:before="30" w:after="30"/>
            </w:pPr>
            <w:r>
              <w:rPr>
                <w:rFonts w:ascii="DM Sans" w:hAnsi="DM Sans" w:cs="DM Sans"/>
                <w:b w:val="0"/>
                <w:i w:val="0"/>
                <w:color w:val="050C2A"/>
                <w:sz w:val="20"/>
                <w:u w:val="none"/>
              </w:rPr>
              <w:t>3–4</w:t>
            </w:r>
          </w:p>
        </w:tc>
        <w:tc>
          <w:tcPr>
            <w:tcW w:type="dxa" w:w="648"/>
            <w:vAlign w:val="center"/>
          </w:tcPr>
          <w:p>
            <w:pPr>
              <w:spacing w:before="30" w:after="30"/>
            </w:pPr>
            <w:r>
              <w:rPr>
                <w:rFonts w:ascii="DM Sans" w:hAnsi="DM Sans" w:cs="DM Sans"/>
                <w:b w:val="0"/>
                <w:i w:val="0"/>
                <w:color w:val="050C2A"/>
                <w:sz w:val="20"/>
                <w:u w:val="none"/>
              </w:rPr>
              <w:t>3–4</w:t>
            </w:r>
          </w:p>
        </w:tc>
        <w:tc>
          <w:tcPr>
            <w:tcW w:type="dxa" w:w="793"/>
            <w:vAlign w:val="center"/>
          </w:tcPr>
          <w:p>
            <w:pPr>
              <w:spacing w:before="30" w:after="30"/>
            </w:pPr>
            <w:r>
              <w:rPr>
                <w:rFonts w:ascii="DM Sans" w:hAnsi="DM Sans" w:cs="DM Sans"/>
                <w:b w:val="0"/>
                <w:i w:val="0"/>
                <w:color w:val="050C2A"/>
                <w:sz w:val="20"/>
                <w:u w:val="none"/>
              </w:rPr>
              <w:t>3–4</w:t>
            </w:r>
          </w:p>
        </w:tc>
        <w:tc>
          <w:tcPr>
            <w:tcW w:type="dxa" w:w="648"/>
            <w:vAlign w:val="center"/>
          </w:tcPr>
          <w:p>
            <w:pPr>
              <w:spacing w:before="30" w:after="30"/>
            </w:pPr>
            <w:r>
              <w:rPr>
                <w:rFonts w:ascii="DM Sans" w:hAnsi="DM Sans" w:cs="DM Sans"/>
                <w:b w:val="0"/>
                <w:i w:val="0"/>
                <w:color w:val="050C2A"/>
                <w:sz w:val="20"/>
                <w:u w:val="none"/>
              </w:rPr>
              <w:t>3–4</w:t>
            </w:r>
          </w:p>
        </w:tc>
        <w:tc>
          <w:tcPr>
            <w:tcW w:type="dxa" w:w="5003"/>
            <w:vAlign w:val="center"/>
          </w:tcPr>
          <w:p>
            <w:pPr>
              <w:spacing w:before="30" w:after="30"/>
            </w:pPr>
            <w:r>
              <w:rPr>
                <w:rFonts w:ascii="DM Sans" w:hAnsi="DM Sans" w:cs="DM Sans"/>
                <w:b w:val="0"/>
                <w:i w:val="0"/>
                <w:color w:val="050C2A"/>
                <w:sz w:val="20"/>
                <w:u w:val="none"/>
              </w:rPr>
              <w:t>Student has internalized the DEAL framework and applies it with depth. Typical of strong Reflection #2 and later.</w:t>
            </w:r>
          </w:p>
        </w:tc>
      </w:tr>
      <w:tr>
        <w:tc>
          <w:tcPr>
            <w:tcW w:type="dxa" w:w="1620"/>
            <w:shd w:fill="F5F5F5" w:val="clear"/>
            <w:vAlign w:val="center"/>
          </w:tcPr>
          <w:p>
            <w:pPr>
              <w:spacing w:before="30" w:after="30"/>
            </w:pPr>
            <w:r>
              <w:rPr>
                <w:rFonts w:ascii="DM Sans" w:hAnsi="DM Sans" w:cs="DM Sans"/>
                <w:b w:val="0"/>
                <w:i w:val="0"/>
                <w:color w:val="050C2A"/>
                <w:sz w:val="20"/>
                <w:u w:val="none"/>
              </w:rPr>
              <w:t>Good story, weak analysis</w:t>
            </w:r>
          </w:p>
        </w:tc>
        <w:tc>
          <w:tcPr>
            <w:tcW w:type="dxa" w:w="648"/>
            <w:shd w:fill="F5F5F5" w:val="clear"/>
            <w:vAlign w:val="center"/>
          </w:tcPr>
          <w:p>
            <w:pPr>
              <w:spacing w:before="30" w:after="30"/>
            </w:pPr>
            <w:r>
              <w:rPr>
                <w:rFonts w:ascii="DM Sans" w:hAnsi="DM Sans" w:cs="DM Sans"/>
                <w:b w:val="0"/>
                <w:i w:val="0"/>
                <w:color w:val="050C2A"/>
                <w:sz w:val="20"/>
                <w:u w:val="none"/>
              </w:rPr>
              <w:t>3–4</w:t>
            </w:r>
          </w:p>
        </w:tc>
        <w:tc>
          <w:tcPr>
            <w:tcW w:type="dxa" w:w="648"/>
            <w:shd w:fill="F5F5F5" w:val="clear"/>
            <w:vAlign w:val="center"/>
          </w:tcPr>
          <w:p>
            <w:pPr>
              <w:spacing w:before="30" w:after="30"/>
            </w:pPr>
            <w:r>
              <w:rPr>
                <w:rFonts w:ascii="DM Sans" w:hAnsi="DM Sans" w:cs="DM Sans"/>
                <w:b w:val="0"/>
                <w:i w:val="0"/>
                <w:color w:val="050C2A"/>
                <w:sz w:val="20"/>
                <w:u w:val="none"/>
              </w:rPr>
              <w:t>1–2</w:t>
            </w:r>
          </w:p>
        </w:tc>
        <w:tc>
          <w:tcPr>
            <w:tcW w:type="dxa" w:w="793"/>
            <w:shd w:fill="F5F5F5" w:val="clear"/>
            <w:vAlign w:val="center"/>
          </w:tcPr>
          <w:p>
            <w:pPr>
              <w:spacing w:before="30" w:after="30"/>
            </w:pPr>
            <w:r>
              <w:rPr>
                <w:rFonts w:ascii="DM Sans" w:hAnsi="DM Sans" w:cs="DM Sans"/>
                <w:b w:val="0"/>
                <w:i w:val="0"/>
                <w:color w:val="050C2A"/>
                <w:sz w:val="20"/>
                <w:u w:val="none"/>
              </w:rPr>
              <w:t>varies</w:t>
            </w:r>
          </w:p>
        </w:tc>
        <w:tc>
          <w:tcPr>
            <w:tcW w:type="dxa" w:w="648"/>
            <w:shd w:fill="F5F5F5" w:val="clear"/>
            <w:vAlign w:val="center"/>
          </w:tcPr>
          <w:p>
            <w:pPr>
              <w:spacing w:before="30" w:after="30"/>
            </w:pPr>
            <w:r>
              <w:rPr>
                <w:rFonts w:ascii="DM Sans" w:hAnsi="DM Sans" w:cs="DM Sans"/>
                <w:b w:val="0"/>
                <w:i w:val="0"/>
                <w:color w:val="050C2A"/>
                <w:sz w:val="20"/>
                <w:u w:val="none"/>
              </w:rPr>
              <w:t>1–2</w:t>
            </w:r>
          </w:p>
        </w:tc>
        <w:tc>
          <w:tcPr>
            <w:tcW w:type="dxa" w:w="5003"/>
            <w:shd w:fill="F5F5F5" w:val="clear"/>
            <w:vAlign w:val="center"/>
          </w:tcPr>
          <w:p>
            <w:pPr>
              <w:spacing w:before="30" w:after="30"/>
            </w:pPr>
            <w:r>
              <w:rPr>
                <w:rFonts w:ascii="DM Sans" w:hAnsi="DM Sans" w:cs="DM Sans"/>
                <w:b w:val="0"/>
                <w:i w:val="0"/>
                <w:color w:val="050C2A"/>
                <w:sz w:val="20"/>
                <w:u w:val="none"/>
              </w:rPr>
              <w:t>Student can describe vividly but doesn't examine. Common in early reflections from strong writers who haven't yet learned to analyze experience.</w:t>
            </w:r>
          </w:p>
        </w:tc>
      </w:tr>
      <w:tr>
        <w:tc>
          <w:tcPr>
            <w:tcW w:type="dxa" w:w="1620"/>
            <w:vAlign w:val="center"/>
          </w:tcPr>
          <w:p>
            <w:pPr>
              <w:spacing w:before="30" w:after="30"/>
            </w:pPr>
            <w:r>
              <w:rPr>
                <w:rFonts w:ascii="DM Sans" w:hAnsi="DM Sans" w:cs="DM Sans"/>
                <w:b w:val="0"/>
                <w:i w:val="0"/>
                <w:color w:val="050C2A"/>
                <w:sz w:val="20"/>
                <w:u w:val="none"/>
              </w:rPr>
              <w:t>Analytical but external</w:t>
            </w:r>
          </w:p>
        </w:tc>
        <w:tc>
          <w:tcPr>
            <w:tcW w:type="dxa" w:w="648"/>
            <w:vAlign w:val="center"/>
          </w:tcPr>
          <w:p>
            <w:pPr>
              <w:spacing w:before="30" w:after="30"/>
            </w:pPr>
            <w:r>
              <w:rPr>
                <w:rFonts w:ascii="DM Sans" w:hAnsi="DM Sans" w:cs="DM Sans"/>
                <w:b w:val="0"/>
                <w:i w:val="0"/>
                <w:color w:val="050C2A"/>
                <w:sz w:val="20"/>
                <w:u w:val="none"/>
              </w:rPr>
              <w:t>2–3</w:t>
            </w:r>
          </w:p>
        </w:tc>
        <w:tc>
          <w:tcPr>
            <w:tcW w:type="dxa" w:w="648"/>
            <w:vAlign w:val="center"/>
          </w:tcPr>
          <w:p>
            <w:pPr>
              <w:spacing w:before="30" w:after="30"/>
            </w:pPr>
            <w:r>
              <w:rPr>
                <w:rFonts w:ascii="DM Sans" w:hAnsi="DM Sans" w:cs="DM Sans"/>
                <w:b w:val="0"/>
                <w:i w:val="0"/>
                <w:color w:val="050C2A"/>
                <w:sz w:val="20"/>
                <w:u w:val="none"/>
              </w:rPr>
              <w:t>3–4</w:t>
            </w:r>
          </w:p>
        </w:tc>
        <w:tc>
          <w:tcPr>
            <w:tcW w:type="dxa" w:w="793"/>
            <w:vAlign w:val="center"/>
          </w:tcPr>
          <w:p>
            <w:pPr>
              <w:spacing w:before="30" w:after="30"/>
            </w:pPr>
            <w:r>
              <w:rPr>
                <w:rFonts w:ascii="DM Sans" w:hAnsi="DM Sans" w:cs="DM Sans"/>
                <w:b w:val="0"/>
                <w:i w:val="0"/>
                <w:color w:val="050C2A"/>
                <w:sz w:val="20"/>
                <w:u w:val="none"/>
              </w:rPr>
              <w:t>1–2</w:t>
            </w:r>
          </w:p>
        </w:tc>
        <w:tc>
          <w:tcPr>
            <w:tcW w:type="dxa" w:w="648"/>
            <w:vAlign w:val="center"/>
          </w:tcPr>
          <w:p>
            <w:pPr>
              <w:spacing w:before="30" w:after="30"/>
            </w:pPr>
            <w:r>
              <w:rPr>
                <w:rFonts w:ascii="DM Sans" w:hAnsi="DM Sans" w:cs="DM Sans"/>
                <w:b w:val="0"/>
                <w:i w:val="0"/>
                <w:color w:val="050C2A"/>
                <w:sz w:val="20"/>
                <w:u w:val="none"/>
              </w:rPr>
              <w:t>2–3</w:t>
            </w:r>
          </w:p>
        </w:tc>
        <w:tc>
          <w:tcPr>
            <w:tcW w:type="dxa" w:w="5003"/>
            <w:vAlign w:val="center"/>
          </w:tcPr>
          <w:p>
            <w:pPr>
              <w:spacing w:before="30" w:after="30"/>
            </w:pPr>
            <w:r>
              <w:rPr>
                <w:rFonts w:ascii="DM Sans" w:hAnsi="DM Sans" w:cs="DM Sans"/>
                <w:b w:val="0"/>
                <w:i w:val="0"/>
                <w:color w:val="050C2A"/>
                <w:sz w:val="20"/>
                <w:u w:val="none"/>
              </w:rPr>
              <w:t>Student produces sharp analysis of events but doesn't turn the lens on themselves. They narrate from outside. Common in academically strong students who treat reflection like a case study.</w:t>
            </w:r>
          </w:p>
        </w:tc>
      </w:tr>
      <w:tr>
        <w:tc>
          <w:tcPr>
            <w:tcW w:type="dxa" w:w="1620"/>
            <w:shd w:fill="F5F5F5" w:val="clear"/>
            <w:vAlign w:val="center"/>
          </w:tcPr>
          <w:p>
            <w:pPr>
              <w:spacing w:before="30" w:after="30"/>
            </w:pPr>
            <w:r>
              <w:rPr>
                <w:rFonts w:ascii="DM Sans" w:hAnsi="DM Sans" w:cs="DM Sans"/>
                <w:b w:val="0"/>
                <w:i w:val="0"/>
                <w:color w:val="050C2A"/>
                <w:sz w:val="20"/>
                <w:u w:val="none"/>
              </w:rPr>
              <w:t>Performative</w:t>
            </w:r>
          </w:p>
        </w:tc>
        <w:tc>
          <w:tcPr>
            <w:tcW w:type="dxa" w:w="648"/>
            <w:shd w:fill="F5F5F5" w:val="clear"/>
            <w:vAlign w:val="center"/>
          </w:tcPr>
          <w:p>
            <w:pPr>
              <w:spacing w:before="30" w:after="30"/>
            </w:pPr>
            <w:r>
              <w:rPr>
                <w:rFonts w:ascii="DM Sans" w:hAnsi="DM Sans" w:cs="DM Sans"/>
                <w:b w:val="0"/>
                <w:i w:val="0"/>
                <w:color w:val="050C2A"/>
                <w:sz w:val="20"/>
                <w:u w:val="none"/>
              </w:rPr>
              <w:t>2–3</w:t>
            </w:r>
          </w:p>
        </w:tc>
        <w:tc>
          <w:tcPr>
            <w:tcW w:type="dxa" w:w="648"/>
            <w:shd w:fill="F5F5F5" w:val="clear"/>
            <w:vAlign w:val="center"/>
          </w:tcPr>
          <w:p>
            <w:pPr>
              <w:spacing w:before="30" w:after="30"/>
            </w:pPr>
            <w:r>
              <w:rPr>
                <w:rFonts w:ascii="DM Sans" w:hAnsi="DM Sans" w:cs="DM Sans"/>
                <w:b w:val="0"/>
                <w:i w:val="0"/>
                <w:color w:val="050C2A"/>
                <w:sz w:val="20"/>
                <w:u w:val="none"/>
              </w:rPr>
              <w:t>2</w:t>
            </w:r>
          </w:p>
        </w:tc>
        <w:tc>
          <w:tcPr>
            <w:tcW w:type="dxa" w:w="793"/>
            <w:shd w:fill="F5F5F5" w:val="clear"/>
            <w:vAlign w:val="center"/>
          </w:tcPr>
          <w:p>
            <w:pPr>
              <w:spacing w:before="30" w:after="30"/>
            </w:pPr>
            <w:r>
              <w:rPr>
                <w:rFonts w:ascii="DM Sans" w:hAnsi="DM Sans" w:cs="DM Sans"/>
                <w:b w:val="0"/>
                <w:i w:val="0"/>
                <w:color w:val="050C2A"/>
                <w:sz w:val="20"/>
                <w:u w:val="none"/>
              </w:rPr>
              <w:t>2</w:t>
            </w:r>
          </w:p>
        </w:tc>
        <w:tc>
          <w:tcPr>
            <w:tcW w:type="dxa" w:w="648"/>
            <w:shd w:fill="F5F5F5" w:val="clear"/>
            <w:vAlign w:val="center"/>
          </w:tcPr>
          <w:p>
            <w:pPr>
              <w:spacing w:before="30" w:after="30"/>
            </w:pPr>
            <w:r>
              <w:rPr>
                <w:rFonts w:ascii="DM Sans" w:hAnsi="DM Sans" w:cs="DM Sans"/>
                <w:b w:val="0"/>
                <w:i w:val="0"/>
                <w:color w:val="050C2A"/>
                <w:sz w:val="20"/>
                <w:u w:val="none"/>
              </w:rPr>
              <w:t>2</w:t>
            </w:r>
          </w:p>
        </w:tc>
        <w:tc>
          <w:tcPr>
            <w:tcW w:type="dxa" w:w="5003"/>
            <w:shd w:fill="F5F5F5" w:val="clear"/>
            <w:vAlign w:val="center"/>
          </w:tcPr>
          <w:p>
            <w:pPr>
              <w:spacing w:before="30" w:after="30"/>
            </w:pPr>
            <w:r>
              <w:rPr>
                <w:rFonts w:ascii="DM Sans" w:hAnsi="DM Sans" w:cs="DM Sans"/>
                <w:b w:val="0"/>
                <w:i w:val="0"/>
                <w:color w:val="050C2A"/>
                <w:sz w:val="20"/>
                <w:u w:val="none"/>
              </w:rPr>
              <w:t>The reflection hits all the structural marks — describe, examine, articulate — but stays surface-level throughout. Everything reads as obligatory rather than engaged. Common when students treat the reflection as a compliance task.</w:t>
            </w:r>
          </w:p>
        </w:tc>
      </w:tr>
      <w:tr>
        <w:tc>
          <w:tcPr>
            <w:tcW w:type="dxa" w:w="1620"/>
            <w:vAlign w:val="center"/>
          </w:tcPr>
          <w:p>
            <w:pPr>
              <w:spacing w:before="30" w:after="30"/>
            </w:pPr>
            <w:r>
              <w:rPr>
                <w:rFonts w:ascii="DM Sans" w:hAnsi="DM Sans" w:cs="DM Sans"/>
                <w:b w:val="0"/>
                <w:i w:val="0"/>
                <w:color w:val="050C2A"/>
                <w:sz w:val="20"/>
                <w:u w:val="none"/>
              </w:rPr>
              <w:t>Genuine but rough</w:t>
            </w:r>
          </w:p>
        </w:tc>
        <w:tc>
          <w:tcPr>
            <w:tcW w:type="dxa" w:w="648"/>
            <w:vAlign w:val="center"/>
          </w:tcPr>
          <w:p>
            <w:pPr>
              <w:spacing w:before="30" w:after="30"/>
            </w:pPr>
            <w:r>
              <w:rPr>
                <w:rFonts w:ascii="DM Sans" w:hAnsi="DM Sans" w:cs="DM Sans"/>
                <w:b w:val="0"/>
                <w:i w:val="0"/>
                <w:color w:val="050C2A"/>
                <w:sz w:val="20"/>
                <w:u w:val="none"/>
              </w:rPr>
              <w:t>2</w:t>
            </w:r>
          </w:p>
        </w:tc>
        <w:tc>
          <w:tcPr>
            <w:tcW w:type="dxa" w:w="648"/>
            <w:vAlign w:val="center"/>
          </w:tcPr>
          <w:p>
            <w:pPr>
              <w:spacing w:before="30" w:after="30"/>
            </w:pPr>
            <w:r>
              <w:rPr>
                <w:rFonts w:ascii="DM Sans" w:hAnsi="DM Sans" w:cs="DM Sans"/>
                <w:b w:val="0"/>
                <w:i w:val="0"/>
                <w:color w:val="050C2A"/>
                <w:sz w:val="20"/>
                <w:u w:val="none"/>
              </w:rPr>
              <w:t>2–3</w:t>
            </w:r>
          </w:p>
        </w:tc>
        <w:tc>
          <w:tcPr>
            <w:tcW w:type="dxa" w:w="793"/>
            <w:vAlign w:val="center"/>
          </w:tcPr>
          <w:p>
            <w:pPr>
              <w:spacing w:before="30" w:after="30"/>
            </w:pPr>
            <w:r>
              <w:rPr>
                <w:rFonts w:ascii="DM Sans" w:hAnsi="DM Sans" w:cs="DM Sans"/>
                <w:b w:val="0"/>
                <w:i w:val="0"/>
                <w:color w:val="050C2A"/>
                <w:sz w:val="20"/>
                <w:u w:val="none"/>
              </w:rPr>
              <w:t>3–4</w:t>
            </w:r>
          </w:p>
        </w:tc>
        <w:tc>
          <w:tcPr>
            <w:tcW w:type="dxa" w:w="648"/>
            <w:vAlign w:val="center"/>
          </w:tcPr>
          <w:p>
            <w:pPr>
              <w:spacing w:before="30" w:after="30"/>
            </w:pPr>
            <w:r>
              <w:rPr>
                <w:rFonts w:ascii="DM Sans" w:hAnsi="DM Sans" w:cs="DM Sans"/>
                <w:b w:val="0"/>
                <w:i w:val="0"/>
                <w:color w:val="050C2A"/>
                <w:sz w:val="20"/>
                <w:u w:val="none"/>
              </w:rPr>
              <w:t>2–3</w:t>
            </w:r>
          </w:p>
        </w:tc>
        <w:tc>
          <w:tcPr>
            <w:tcW w:type="dxa" w:w="5003"/>
            <w:vAlign w:val="center"/>
          </w:tcPr>
          <w:p>
            <w:pPr>
              <w:spacing w:before="30" w:after="30"/>
            </w:pPr>
            <w:r>
              <w:rPr>
                <w:rFonts w:ascii="DM Sans" w:hAnsi="DM Sans" w:cs="DM Sans"/>
                <w:b w:val="0"/>
                <w:i w:val="0"/>
                <w:color w:val="050C2A"/>
                <w:sz w:val="20"/>
                <w:u w:val="none"/>
              </w:rPr>
              <w:t>The student is doing real reflective work but lacks fluency with the model. Self-examination is strong; articulation is underdeveloped. Common in early reflections. The trajectory matters — this student is likely to improve significantly.</w:t>
            </w:r>
          </w:p>
        </w:tc>
      </w:tr>
    </w:tbl>
    <w:p>
      <w:pPr>
        <w:spacing w:before="0" w:after="120"/>
      </w:pPr>
    </w:p>
    <w:p>
      <w:pPr>
        <w:spacing w:before="240" w:after="80"/>
      </w:pPr>
      <w:r>
        <w:rPr>
          <w:rFonts w:ascii="DM Sans" w:hAnsi="DM Sans" w:cs="DM Sans"/>
          <w:b/>
          <w:i w:val="0"/>
          <w:color w:val="050C2A"/>
          <w:sz w:val="24"/>
          <w:u w:val="none"/>
        </w:rPr>
        <w:t>Boundary Decisions</w:t>
      </w:r>
    </w:p>
    <w:p>
      <w:pPr>
        <w:spacing w:before="0" w:after="120" w:line="276" w:lineRule="auto"/>
      </w:pPr>
      <w:r>
        <w:rPr>
          <w:rFonts w:ascii="DM Sans" w:hAnsi="DM Sans" w:cs="DM Sans"/>
          <w:b/>
          <w:i w:val="0"/>
          <w:color w:val="050C2A"/>
          <w:sz w:val="20"/>
          <w:u w:val="none"/>
        </w:rPr>
        <w:t>Proficient vs. Exemplary:</w:t>
      </w:r>
      <w:r>
        <w:rPr>
          <w:rFonts w:ascii="DM Sans" w:hAnsi="DM Sans" w:cs="DM Sans"/>
          <w:b w:val="0"/>
          <w:i w:val="0"/>
          <w:color w:val="050C2A"/>
          <w:sz w:val="20"/>
          <w:u w:val="none"/>
        </w:rPr>
        <w:t xml:space="preserve"> The most common boundary question. Proficient is solid, competent work that meets the standard. Exemplary adds something: deeper interrogation of assumptions, a connection the student clearly discovered through the act of writing, a level of specificity that reveals genuine engagement with the experience. When in doubt, ask: "Is there something here that surprised me as a reader — a moment where the student saw something I wouldn't have expected?" If yes, consider Exemplary.</w:t>
      </w:r>
    </w:p>
    <w:p>
      <w:pPr>
        <w:spacing w:before="0" w:after="120" w:line="276" w:lineRule="auto"/>
      </w:pPr>
      <w:r>
        <w:rPr>
          <w:rFonts w:ascii="DM Sans" w:hAnsi="DM Sans" w:cs="DM Sans"/>
          <w:b/>
          <w:i w:val="0"/>
          <w:color w:val="050C2A"/>
          <w:sz w:val="20"/>
          <w:u w:val="none"/>
        </w:rPr>
        <w:t>Developing vs. Proficient:</w:t>
      </w:r>
      <w:r>
        <w:rPr>
          <w:rFonts w:ascii="DM Sans" w:hAnsi="DM Sans" w:cs="DM Sans"/>
          <w:b w:val="0"/>
          <w:i w:val="0"/>
          <w:color w:val="050C2A"/>
          <w:sz w:val="20"/>
          <w:u w:val="none"/>
        </w:rPr>
        <w:t xml:space="preserve"> The critical boundary for grading purposes. The key differentiator is whether the student engages with the specific experience or stays general. At Developing, the reflection could be about almost anyone's experience. At Proficient, it's clearly about this student's experience on this project. When in doubt, apply the substitution test: could another student on a different project have written this? If yes, it is Developing.</w:t>
      </w:r>
    </w:p>
    <w:p>
      <w:pPr>
        <w:spacing w:before="0" w:after="120" w:line="276" w:lineRule="auto"/>
      </w:pPr>
      <w:r>
        <w:rPr>
          <w:rFonts w:ascii="DM Sans" w:hAnsi="DM Sans" w:cs="DM Sans"/>
          <w:b/>
          <w:i w:val="0"/>
          <w:color w:val="050C2A"/>
          <w:sz w:val="20"/>
          <w:u w:val="none"/>
        </w:rPr>
        <w:t>Emerging vs. Developing:</w:t>
      </w:r>
      <w:r>
        <w:rPr>
          <w:rFonts w:ascii="DM Sans" w:hAnsi="DM Sans" w:cs="DM Sans"/>
          <w:b w:val="0"/>
          <w:i w:val="0"/>
          <w:color w:val="050C2A"/>
          <w:sz w:val="20"/>
          <w:u w:val="none"/>
        </w:rPr>
        <w:t xml:space="preserve"> The difference is between "present but surface-level" (Developing) and "barely there" (Emerging). At Developing, the student is attempting the reflective work but not reaching depth. At Emerging, the reflective structure is largely absent — what's submitted reads as description, summary, or general statements about the course rather than examination of experience.</w:t>
      </w:r>
    </w:p>
    <w:p>
      <w:pPr>
        <w:spacing w:before="240" w:after="80"/>
      </w:pPr>
      <w:r>
        <w:rPr>
          <w:rFonts w:ascii="DM Sans" w:hAnsi="DM Sans" w:cs="DM Sans"/>
          <w:b/>
          <w:i w:val="0"/>
          <w:color w:val="050C2A"/>
          <w:sz w:val="24"/>
          <w:u w:val="none"/>
        </w:rPr>
        <w:t>Reflection #2 Calibration Context</w:t>
      </w:r>
    </w:p>
    <w:p>
      <w:pPr>
        <w:spacing w:before="0" w:after="120" w:line="276" w:lineRule="auto"/>
      </w:pPr>
      <w:r>
        <w:rPr>
          <w:rFonts w:ascii="DM Sans" w:hAnsi="DM Sans" w:cs="DM Sans"/>
          <w:b w:val="0"/>
          <w:i w:val="0"/>
          <w:color w:val="050C2A"/>
          <w:sz w:val="20"/>
          <w:u w:val="none"/>
        </w:rPr>
        <w:t>Reflection #2 is the second of five reflections. By this point: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Students have used the DEAL framework once before (Reflection #1, Week 3)</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framework should no longer be unfamiliar — evaluators should expect more cognitive effort directed at the quality of examination rather than at navigating the structure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Discovery phase provides rich material: research challenges, the first graded deliverable, the Direction Check, employer feedback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Students who produced a tentative but genuine Reflection #1 should show visible growth here — even if the work is not yet Exemplary</w:t>
      </w:r>
    </w:p>
    <w:p>
      <w:pPr>
        <w:spacing w:before="0" w:after="120" w:line="276" w:lineRule="auto"/>
      </w:pPr>
      <w:r>
        <w:rPr>
          <w:rFonts w:ascii="DM Sans" w:hAnsi="DM Sans" w:cs="DM Sans"/>
          <w:b w:val="0"/>
          <w:i w:val="0"/>
          <w:color w:val="050C2A"/>
          <w:sz w:val="20"/>
          <w:u w:val="none"/>
        </w:rPr>
        <w:t>Evaluators should not lower the standard for Reflection #2, but they should recognize that "Proficient at Reflection #2" looks different from "Proficient at Reflection #5." The rubric descriptors are constant; the expectations for what depth looks like at this stage of the course inform evaluator judgment.</w:t>
      </w:r>
    </w:p>
    <w:p>
      <w:pPr>
        <w:spacing w:before="280" w:after="100"/>
      </w:pPr>
      <w:r>
        <w:rPr>
          <w:rFonts w:ascii="DM Sans" w:hAnsi="DM Sans" w:cs="DM Sans"/>
          <w:b/>
          <w:i w:val="0"/>
          <w:color w:val="050C2A"/>
          <w:sz w:val="28"/>
          <w:u w:val="none"/>
        </w:rPr>
        <w:t>Related Documents</w:t>
      </w:r>
    </w:p>
    <w:p>
      <w:pPr>
        <w:spacing w:before="0" w:after="120" w:line="276" w:lineRule="auto"/>
      </w:pPr>
      <w:r>
        <w:rPr>
          <w:rFonts w:ascii="DM Sans" w:hAnsi="DM Sans" w:cs="DM Sans"/>
          <w:b/>
          <w:i w:val="0"/>
          <w:color w:val="050C2A"/>
          <w:sz w:val="20"/>
          <w:u w:val="none"/>
        </w:rPr>
        <w:t>Structured Reflection Assignment Framework &amp; Rubric:</w:t>
      </w:r>
      <w:r>
        <w:rPr>
          <w:rFonts w:ascii="DM Sans" w:hAnsi="DM Sans" w:cs="DM Sans"/>
          <w:b w:val="0"/>
          <w:i w:val="0"/>
          <w:color w:val="050C2A"/>
          <w:sz w:val="20"/>
          <w:u w:val="none"/>
        </w:rPr>
        <w:t xml:space="preserve"> The rubric this guide calibrates against</w:t>
      </w:r>
    </w:p>
    <w:p>
      <w:pPr>
        <w:spacing w:before="0" w:after="120" w:line="276" w:lineRule="auto"/>
      </w:pPr>
      <w:r>
        <w:rPr>
          <w:rFonts w:ascii="DM Sans" w:hAnsi="DM Sans" w:cs="DM Sans"/>
          <w:b/>
          <w:i w:val="0"/>
          <w:color w:val="050C2A"/>
          <w:sz w:val="20"/>
          <w:u w:val="none"/>
        </w:rPr>
        <w:t>Context Analysis Grading Guide:</w:t>
      </w:r>
      <w:r>
        <w:rPr>
          <w:rFonts w:ascii="DM Sans" w:hAnsi="DM Sans" w:cs="DM Sans"/>
          <w:b w:val="0"/>
          <w:i w:val="0"/>
          <w:color w:val="050C2A"/>
          <w:sz w:val="20"/>
          <w:u w:val="none"/>
        </w:rPr>
        <w:t xml:space="preserve"> Parallel calibration document for the first graded deliverable (shared design principles)</w:t>
      </w:r>
    </w:p>
    <w:p>
      <w:pPr>
        <w:spacing w:before="0" w:after="120" w:line="276" w:lineRule="auto"/>
      </w:pPr>
      <w:r>
        <w:rPr>
          <w:rFonts w:ascii="DM Sans" w:hAnsi="DM Sans" w:cs="DM Sans"/>
          <w:b/>
          <w:i w:val="0"/>
          <w:color w:val="050C2A"/>
          <w:sz w:val="20"/>
          <w:u w:val="none"/>
        </w:rPr>
        <w:t>Course Structure:</w:t>
      </w:r>
      <w:r>
        <w:rPr>
          <w:rFonts w:ascii="DM Sans" w:hAnsi="DM Sans" w:cs="DM Sans"/>
          <w:b w:val="0"/>
          <w:i w:val="0"/>
          <w:color w:val="050C2A"/>
          <w:sz w:val="20"/>
          <w:u w:val="none"/>
        </w:rPr>
        <w:t xml:space="preserve"> Full 15-week schedule with reflection timing and phase transitions</w:t>
      </w:r>
    </w:p>
    <w:p>
      <w:pPr>
        <w:spacing w:before="0" w:after="120" w:line="276" w:lineRule="auto"/>
      </w:pPr>
      <w:r>
        <w:rPr>
          <w:rFonts w:ascii="DM Sans" w:hAnsi="DM Sans" w:cs="DM Sans"/>
          <w:b/>
          <w:i w:val="0"/>
          <w:color w:val="050C2A"/>
          <w:sz w:val="20"/>
          <w:u w:val="none"/>
        </w:rPr>
        <w:t>Competency Framework:</w:t>
      </w:r>
      <w:r>
        <w:rPr>
          <w:rFonts w:ascii="DM Sans" w:hAnsi="DM Sans" w:cs="DM Sans"/>
          <w:b w:val="0"/>
          <w:i w:val="0"/>
          <w:color w:val="050C2A"/>
          <w:sz w:val="20"/>
          <w:u w:val="none"/>
        </w:rPr>
        <w:t xml:space="preserve"> The five NACE competencies and their subskills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