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Structured Reflection — Assignment Framework &amp; Rubric</w:t>
      </w:r>
    </w:p>
    <w:p>
      <w:pPr>
        <w:pBdr>
          <w:bottom w:val="single" w:sz="6" w:space="1" w:color="ACACAC"/>
        </w:pBdr>
        <w:spacing w:before="120" w:after="120"/>
      </w:pP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The Reflection Portfolio consists of five structured reflections submitted at key transition points throughout the course. Each reflection uses the DEAL framework (Describe, Examine, Articulate Learning) and is timed to capture learning at a meaningful juncture — when students have enough experience to reflect substantively but before they've mentally moved on.</w:t>
      </w:r>
    </w:p>
    <w:p>
      <w:pPr>
        <w:spacing w:before="0" w:after="120" w:line="276" w:lineRule="auto"/>
      </w:pPr>
      <w:r>
        <w:rPr>
          <w:rFonts w:ascii="DM Sans" w:hAnsi="DM Sans" w:cs="DM Sans"/>
          <w:b w:val="0"/>
          <w:i w:val="0"/>
          <w:color w:val="050C2A"/>
          <w:sz w:val="20"/>
          <w:u w:val="none"/>
        </w:rPr>
        <w:t>All five reflections share the same structure, the same rubric, and the same standard: honest, specific examination of experience that produces transferable insight. What changes across the five reflections is the experiential pool students draw from, the competency focus of the prompt, and the depth of examination expected as students gain fluency with the model.</w:t>
      </w:r>
    </w:p>
    <w:p>
      <w:pPr>
        <w:spacing w:before="0" w:after="120" w:line="276" w:lineRule="auto"/>
      </w:pPr>
      <w:r>
        <w:rPr>
          <w:rFonts w:ascii="DM Sans" w:hAnsi="DM Sans" w:cs="DM Sans"/>
          <w:b w:val="0"/>
          <w:i w:val="0"/>
          <w:color w:val="050C2A"/>
          <w:sz w:val="20"/>
          <w:u w:val="none"/>
        </w:rPr>
        <w:t>Each reflection includes a framing prompt that orients students to the phase they've just experienced, plus guidance on connecting the reflection to their own goals, growth areas, and intake responses. The prompts are the same for all students — the work of making the reflection personal and specific belongs to the student, not the prompt.</w:t>
      </w:r>
    </w:p>
    <w:p>
      <w:pPr>
        <w:spacing w:before="280" w:after="100"/>
      </w:pPr>
      <w:r>
        <w:rPr>
          <w:rFonts w:ascii="DM Sans" w:hAnsi="DM Sans" w:cs="DM Sans"/>
          <w:b/>
          <w:i w:val="0"/>
          <w:color w:val="050C2A"/>
          <w:sz w:val="28"/>
          <w:u w:val="none"/>
        </w:rPr>
        <w:t>The DEAL Framework</w:t>
      </w:r>
    </w:p>
    <w:p>
      <w:pPr>
        <w:spacing w:before="0" w:after="120" w:line="276" w:lineRule="auto"/>
      </w:pPr>
      <w:r>
        <w:rPr>
          <w:rFonts w:ascii="DM Sans" w:hAnsi="DM Sans" w:cs="DM Sans"/>
          <w:b w:val="0"/>
          <w:i w:val="0"/>
          <w:color w:val="050C2A"/>
          <w:sz w:val="20"/>
          <w:u w:val="none"/>
        </w:rPr>
        <w:t>Every reflection follows the same three-stage structure:</w:t>
      </w:r>
    </w:p>
    <w:p>
      <w:pPr>
        <w:spacing w:before="0" w:after="120" w:line="276" w:lineRule="auto"/>
      </w:pPr>
      <w:r>
        <w:rPr>
          <w:rFonts w:ascii="DM Sans" w:hAnsi="DM Sans" w:cs="DM Sans"/>
          <w:b/>
          <w:i w:val="0"/>
          <w:color w:val="050C2A"/>
          <w:sz w:val="20"/>
          <w:u w:val="none"/>
        </w:rPr>
        <w:t>Describe:</w:t>
      </w:r>
      <w:r>
        <w:rPr>
          <w:rFonts w:ascii="DM Sans" w:hAnsi="DM Sans" w:cs="DM Sans"/>
          <w:b w:val="0"/>
          <w:i w:val="0"/>
          <w:color w:val="050C2A"/>
          <w:sz w:val="20"/>
          <w:u w:val="none"/>
        </w:rPr>
        <w:t xml:space="preserve"> What happened? A factual, specific account of a concrete experience from the relevant phase of the course. The description should be detailed enough that a reader who wasn't there could understand what occurred. This is not a summary of the whole phase — it is a focused account of one experience or a tightly connected set of experiences.</w:t>
      </w:r>
    </w:p>
    <w:p>
      <w:pPr>
        <w:spacing w:before="0" w:after="120" w:line="276" w:lineRule="auto"/>
      </w:pPr>
      <w:r>
        <w:rPr>
          <w:rFonts w:ascii="DM Sans" w:hAnsi="DM Sans" w:cs="DM Sans"/>
          <w:b/>
          <w:i w:val="0"/>
          <w:color w:val="050C2A"/>
          <w:sz w:val="20"/>
          <w:u w:val="none"/>
        </w:rPr>
        <w:t>Examine:</w:t>
      </w:r>
      <w:r>
        <w:rPr>
          <w:rFonts w:ascii="DM Sans" w:hAnsi="DM Sans" w:cs="DM Sans"/>
          <w:b w:val="0"/>
          <w:i w:val="0"/>
          <w:color w:val="050C2A"/>
          <w:sz w:val="20"/>
          <w:u w:val="none"/>
        </w:rPr>
        <w:t xml:space="preserve"> What does this experience reveal? This is the analytical core of the reflection. Students interrogate the experience — identifying assumptions they were operating under, patterns they notice, connections to prior knowledge or other experiences, and what the experience reveals about their professional approach. The Examine stage is where depth and honesty matter most. Surface-level observations ("I learned that communication is important") do not meet the standard. The goal is to uncover something the student didn't fully see while the experience was happening.</w:t>
      </w:r>
    </w:p>
    <w:p>
      <w:pPr>
        <w:spacing w:before="0" w:after="120" w:line="276" w:lineRule="auto"/>
      </w:pPr>
      <w:r>
        <w:rPr>
          <w:rFonts w:ascii="DM Sans" w:hAnsi="DM Sans" w:cs="DM Sans"/>
          <w:b/>
          <w:i w:val="0"/>
          <w:color w:val="050C2A"/>
          <w:sz w:val="20"/>
          <w:u w:val="none"/>
        </w:rPr>
        <w:t>Articulate Learning:</w:t>
      </w:r>
      <w:r>
        <w:rPr>
          <w:rFonts w:ascii="DM Sans" w:hAnsi="DM Sans" w:cs="DM Sans"/>
          <w:b w:val="0"/>
          <w:i w:val="0"/>
          <w:color w:val="050C2A"/>
          <w:sz w:val="20"/>
          <w:u w:val="none"/>
        </w:rPr>
        <w:t xml:space="preserve"> What transferable insight emerges? Students extract a principle, understanding, or capability that extends beyond this specific experience and this specific project. The articulated learning should be concrete enough to apply in a future context and honest enough to reflect what the student actually learned — not what sounds impressive.</w:t>
      </w:r>
    </w:p>
    <w:p>
      <w:pPr>
        <w:spacing w:before="280" w:after="100"/>
      </w:pPr>
      <w:r>
        <w:rPr>
          <w:rFonts w:ascii="DM Sans" w:hAnsi="DM Sans" w:cs="DM Sans"/>
          <w:b/>
          <w:i w:val="0"/>
          <w:color w:val="050C2A"/>
          <w:sz w:val="28"/>
          <w:u w:val="none"/>
        </w:rPr>
        <w:t>Format &amp; Submission</w:t>
      </w:r>
    </w:p>
    <w:p>
      <w:pPr>
        <w:spacing w:before="0" w:after="120" w:line="276" w:lineRule="auto"/>
      </w:pPr>
      <w:r>
        <w:rPr>
          <w:rFonts w:ascii="DM Sans" w:hAnsi="DM Sans" w:cs="DM Sans"/>
          <w:b/>
          <w:i w:val="0"/>
          <w:color w:val="050C2A"/>
          <w:sz w:val="20"/>
          <w:u w:val="none"/>
        </w:rPr>
        <w:t>Length:</w:t>
      </w:r>
      <w:r>
        <w:rPr>
          <w:rFonts w:ascii="DM Sans" w:hAnsi="DM Sans" w:cs="DM Sans"/>
          <w:b w:val="0"/>
          <w:i w:val="0"/>
          <w:color w:val="050C2A"/>
          <w:sz w:val="20"/>
          <w:u w:val="none"/>
        </w:rPr>
        <w:t xml:space="preserve"> 800–1200 words. The range is a guide, not a hard boundary. A 750-word reflection that is specific, honest, and insightful is stronger than a 1200-word reflection that is vague and performative. That said, reflections under 700 words rarely achieve sufficient depth in the Examine stage, and reflections over 1400 words typically indicate the student is describing too broadly rather than examining deeply.</w:t>
      </w:r>
    </w:p>
    <w:p>
      <w:pPr>
        <w:spacing w:before="0" w:after="120" w:line="276" w:lineRule="auto"/>
      </w:pPr>
      <w:r>
        <w:rPr>
          <w:rFonts w:ascii="DM Sans" w:hAnsi="DM Sans" w:cs="DM Sans"/>
          <w:b/>
          <w:i w:val="0"/>
          <w:color w:val="050C2A"/>
          <w:sz w:val="20"/>
          <w:u w:val="none"/>
        </w:rPr>
        <w:t>Structure:</w:t>
      </w:r>
      <w:r>
        <w:rPr>
          <w:rFonts w:ascii="DM Sans" w:hAnsi="DM Sans" w:cs="DM Sans"/>
          <w:b w:val="0"/>
          <w:i w:val="0"/>
          <w:color w:val="050C2A"/>
          <w:sz w:val="20"/>
          <w:u w:val="none"/>
        </w:rPr>
        <w:t xml:space="preserve"> Students should use the three DEAL stages as organizing sections. Headers are encouraged but not required — what matters is that the reader can identify where description ends and examination begins, and where examination gives way to articulated learning.</w:t>
      </w:r>
    </w:p>
    <w:p>
      <w:pPr>
        <w:spacing w:before="0" w:after="120" w:line="276" w:lineRule="auto"/>
      </w:pPr>
      <w:r>
        <w:rPr>
          <w:rFonts w:ascii="DM Sans" w:hAnsi="DM Sans" w:cs="DM Sans"/>
          <w:b/>
          <w:i w:val="0"/>
          <w:color w:val="050C2A"/>
          <w:sz w:val="20"/>
          <w:u w:val="none"/>
        </w:rPr>
        <w:t>Submission:</w:t>
      </w:r>
      <w:r>
        <w:rPr>
          <w:rFonts w:ascii="DM Sans" w:hAnsi="DM Sans" w:cs="DM Sans"/>
          <w:b w:val="0"/>
          <w:i w:val="0"/>
          <w:color w:val="050C2A"/>
          <w:sz w:val="20"/>
          <w:u w:val="none"/>
        </w:rPr>
        <w:t xml:space="preserve"> Via the Riipen platform. AI disclosure is required on every reflection submission. If AI was not used, a one-sentence statement to that effect is sufficient.</w:t>
      </w:r>
    </w:p>
    <w:p>
      <w:pPr>
        <w:spacing w:before="280" w:after="100"/>
      </w:pPr>
      <w:r>
        <w:rPr>
          <w:rFonts w:ascii="DM Sans" w:hAnsi="DM Sans" w:cs="DM Sans"/>
          <w:b/>
          <w:i w:val="0"/>
          <w:color w:val="050C2A"/>
          <w:sz w:val="28"/>
          <w:u w:val="none"/>
        </w:rPr>
        <w:t>AI Policy for Reflections</w:t>
      </w:r>
    </w:p>
    <w:p>
      <w:pPr>
        <w:spacing w:before="0" w:after="120" w:line="276" w:lineRule="auto"/>
      </w:pPr>
      <w:r>
        <w:rPr>
          <w:rFonts w:ascii="DM Sans" w:hAnsi="DM Sans" w:cs="DM Sans"/>
          <w:b/>
          <w:i w:val="0"/>
          <w:color w:val="050C2A"/>
          <w:sz w:val="20"/>
          <w:u w:val="none"/>
        </w:rPr>
        <w:t>Permitted and encouraged:</w:t>
      </w:r>
      <w:r>
        <w:rPr>
          <w:rFonts w:ascii="DM Sans" w:hAnsi="DM Sans" w:cs="DM Sans"/>
          <w:b w:val="0"/>
          <w:i w:val="0"/>
          <w:color w:val="050C2A"/>
          <w:sz w:val="20"/>
          <w:u w:val="none"/>
        </w:rPr>
        <w:t xml:space="preserve"> Using AI as a Socratic thinking partner during the reflection writing process. Students may use AI to deepen their examination by asking it to identify assumptions they haven't named, push back on surface-level observations, or ask follow-up questions that help surface genuine learning. AI can also help with organizing thoughts, checking clarity, and refining prose.</w:t>
      </w:r>
    </w:p>
    <w:p>
      <w:pPr>
        <w:spacing w:before="0" w:after="120" w:line="276" w:lineRule="auto"/>
      </w:pPr>
      <w:r>
        <w:rPr>
          <w:rFonts w:ascii="DM Sans" w:hAnsi="DM Sans" w:cs="DM Sans"/>
          <w:b/>
          <w:i w:val="0"/>
          <w:color w:val="050C2A"/>
          <w:sz w:val="20"/>
          <w:u w:val="none"/>
        </w:rPr>
        <w:t>Off-limits:</w:t>
      </w:r>
      <w:r>
        <w:rPr>
          <w:rFonts w:ascii="DM Sans" w:hAnsi="DM Sans" w:cs="DM Sans"/>
          <w:b w:val="0"/>
          <w:i w:val="0"/>
          <w:color w:val="050C2A"/>
          <w:sz w:val="20"/>
          <w:u w:val="none"/>
        </w:rPr>
        <w:t xml:space="preserve"> AI cannot supply the experience being described, generate the examination, or produce the articulated learning statement. The core test is simple: </w:t>
      </w:r>
      <w:r>
        <w:rPr>
          <w:rFonts w:ascii="DM Sans" w:hAnsi="DM Sans" w:cs="DM Sans"/>
          <w:b w:val="0"/>
          <w:i/>
          <w:color w:val="050C2A"/>
          <w:sz w:val="20"/>
          <w:u w:val="none"/>
        </w:rPr>
        <w:t>could this reflection have been written by any student in any project?</w:t>
      </w:r>
      <w:r>
        <w:rPr>
          <w:rFonts w:ascii="DM Sans" w:hAnsi="DM Sans" w:cs="DM Sans"/>
          <w:b w:val="0"/>
          <w:i w:val="0"/>
          <w:color w:val="050C2A"/>
          <w:sz w:val="20"/>
          <w:u w:val="none"/>
        </w:rPr>
        <w:t xml:space="preserve"> If yes, it has not met the standard regardless of whether AI was used. A reflection must be anchored in specific, concrete details that only this student would know — what actually happened, what they actually felt or thought, and what they actually learned.</w:t>
      </w:r>
    </w:p>
    <w:p>
      <w:pPr>
        <w:spacing w:before="0" w:after="120" w:line="276" w:lineRule="auto"/>
      </w:pPr>
      <w:r>
        <w:rPr>
          <w:rFonts w:ascii="DM Sans" w:hAnsi="DM Sans" w:cs="DM Sans"/>
          <w:b/>
          <w:i w:val="0"/>
          <w:color w:val="050C2A"/>
          <w:sz w:val="20"/>
          <w:u w:val="none"/>
        </w:rPr>
        <w:t>Prompt strategy (introduced in Week 1, applied from Reflection #1):</w:t>
      </w:r>
      <w:r>
        <w:rPr>
          <w:rFonts w:ascii="DM Sans" w:hAnsi="DM Sans" w:cs="DM Sans"/>
          <w:b w:val="0"/>
          <w:i w:val="0"/>
          <w:color w:val="050C2A"/>
          <w:sz w:val="20"/>
          <w:u w:val="none"/>
        </w:rPr>
        <w:t xml:space="preserve"> Rather than using AI to produce reflective content, students use AI as a Socratic interlocutor — a thinking partner that pushes back and asks follow-up questions.</w:t>
      </w:r>
    </w:p>
    <w:p>
      <w:pPr>
        <w:spacing w:before="0" w:after="120" w:line="276" w:lineRule="auto"/>
      </w:pPr>
      <w:r>
        <w:rPr>
          <w:rFonts w:ascii="DM Sans" w:hAnsi="DM Sans" w:cs="DM Sans"/>
          <w:b w:val="0"/>
          <w:i w:val="0"/>
          <w:color w:val="050C2A"/>
          <w:sz w:val="20"/>
          <w:u w:val="none"/>
        </w:rPr>
        <w:t>Example prompts: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"Here is a description of an experience I had during my project this week: [description]. I'm trying to examine it using the DEAL model. What assumptions might I be making about this situation that I haven't named yet?"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 wrote this for the Examine section of my reflection: [text]. What questions would you ask me to push this further? What am I not looking at?"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"Here is my draft articulated learning statement: [text]. Is this specific enough to actually apply in a future situation, or is it too general?"</w:t>
      </w:r>
    </w:p>
    <w:p>
      <w:pPr>
        <w:spacing w:before="280" w:after="100"/>
      </w:pPr>
      <w:r>
        <w:rPr>
          <w:rFonts w:ascii="DM Sans" w:hAnsi="DM Sans" w:cs="DM Sans"/>
          <w:b/>
          <w:i w:val="0"/>
          <w:color w:val="050C2A"/>
          <w:sz w:val="28"/>
          <w:u w:val="none"/>
        </w:rPr>
        <w:t>Reflection Schedule &amp; Prompts</w:t>
      </w:r>
    </w:p>
    <w:p>
      <w:pPr>
        <w:spacing w:before="0" w:after="120" w:line="276" w:lineRule="auto"/>
      </w:pPr>
      <w:r>
        <w:rPr>
          <w:rFonts w:ascii="DM Sans" w:hAnsi="DM Sans" w:cs="DM Sans"/>
          <w:b w:val="0"/>
          <w:i w:val="0"/>
          <w:color w:val="050C2A"/>
          <w:sz w:val="20"/>
          <w:u w:val="none"/>
        </w:rPr>
        <w:t>Five reflections are placed at phase transitions throughout the course. Each captures learning at a different stage of the project arc, and each foregrounds different competencies — though all five assess Career &amp; Self-Development (self-awareness, reflection) as the primary evidence source.</w:t>
      </w:r>
    </w:p>
    <w:p>
      <w:pPr>
        <w:spacing w:before="0" w:after="120" w:line="276" w:lineRule="auto"/>
      </w:pPr>
      <w:r>
        <w:rPr>
          <w:rFonts w:ascii="DM Sans" w:hAnsi="DM Sans" w:cs="DM Sans"/>
          <w:b w:val="0"/>
          <w:i w:val="0"/>
          <w:color w:val="050C2A"/>
          <w:sz w:val="20"/>
          <w:u w:val="none"/>
        </w:rPr>
        <w:t xml:space="preserve">Each reflection prompt has two parts: a </w:t>
      </w:r>
      <w:r>
        <w:rPr>
          <w:rFonts w:ascii="DM Sans" w:hAnsi="DM Sans" w:cs="DM Sans"/>
          <w:b/>
          <w:i w:val="0"/>
          <w:color w:val="050C2A"/>
          <w:sz w:val="20"/>
          <w:u w:val="none"/>
        </w:rPr>
        <w:t>framing prompt</w:t>
      </w:r>
      <w:r>
        <w:rPr>
          <w:rFonts w:ascii="DM Sans" w:hAnsi="DM Sans" w:cs="DM Sans"/>
          <w:b w:val="0"/>
          <w:i w:val="0"/>
          <w:color w:val="050C2A"/>
          <w:sz w:val="20"/>
          <w:u w:val="none"/>
        </w:rPr>
        <w:t xml:space="preserve"> that orients the reflection to the phase just completed, and a </w:t>
      </w:r>
      <w:r>
        <w:rPr>
          <w:rFonts w:ascii="DM Sans" w:hAnsi="DM Sans" w:cs="DM Sans"/>
          <w:b/>
          <w:i w:val="0"/>
          <w:color w:val="050C2A"/>
          <w:sz w:val="20"/>
          <w:u w:val="none"/>
        </w:rPr>
        <w:t>self-connection guide</w:t>
      </w:r>
      <w:r>
        <w:rPr>
          <w:rFonts w:ascii="DM Sans" w:hAnsi="DM Sans" w:cs="DM Sans"/>
          <w:b w:val="0"/>
          <w:i w:val="0"/>
          <w:color w:val="050C2A"/>
          <w:sz w:val="20"/>
          <w:u w:val="none"/>
        </w:rPr>
        <w:t xml:space="preserve"> that asks students to link the reflection to their own goals and development. The framing prompt is the same for all students. The self-connection work is what makes each reflection individual.</w:t>
      </w:r>
    </w:p>
    <w:p>
      <w:pPr>
        <w:spacing w:before="240" w:after="80"/>
      </w:pPr>
      <w:r>
        <w:rPr>
          <w:rFonts w:ascii="DM Sans" w:hAnsi="DM Sans" w:cs="DM Sans"/>
          <w:b/>
          <w:i w:val="0"/>
          <w:color w:val="050C2A"/>
          <w:sz w:val="24"/>
          <w:u w:val="none"/>
        </w:rPr>
        <w:t>Reflection #1 — Week 3 (End of Foundation)</w:t>
      </w:r>
    </w:p>
    <w:p>
      <w:pPr>
        <w:spacing w:before="0" w:after="120" w:line="276" w:lineRule="auto"/>
      </w:pPr>
      <w:r>
        <w:rPr>
          <w:rFonts w:ascii="DM Sans" w:hAnsi="DM Sans" w:cs="DM Sans"/>
          <w:b/>
          <w:i w:val="0"/>
          <w:color w:val="050C2A"/>
          <w:sz w:val="20"/>
          <w:u w:val="none"/>
        </w:rPr>
        <w:t>Experiential pool:</w:t>
      </w:r>
      <w:r>
        <w:rPr>
          <w:rFonts w:ascii="DM Sans" w:hAnsi="DM Sans" w:cs="DM Sans"/>
          <w:b w:val="0"/>
          <w:i w:val="0"/>
          <w:color w:val="050C2A"/>
          <w:sz w:val="20"/>
          <w:u w:val="none"/>
        </w:rPr>
        <w:t xml:space="preserve"> Team formation, the employer kickoff meeting, entering the project, early research orientation. The kickoff is the most likely anchor experience given its recency and significance, but students are not limited to it.</w:t>
      </w:r>
    </w:p>
    <w:p>
      <w:pPr>
        <w:spacing w:before="0" w:after="120" w:line="276" w:lineRule="auto"/>
      </w:pPr>
      <w:r>
        <w:rPr>
          <w:rFonts w:ascii="DM Sans" w:hAnsi="DM Sans" w:cs="DM Sans"/>
          <w:b/>
          <w:i w:val="0"/>
          <w:color w:val="050C2A"/>
          <w:sz w:val="20"/>
          <w:u w:val="none"/>
        </w:rPr>
        <w:t>Competency connection:</w:t>
      </w:r>
      <w:r>
        <w:rPr>
          <w:rFonts w:ascii="DM Sans" w:hAnsi="DM Sans" w:cs="DM Sans"/>
          <w:b w:val="0"/>
          <w:i w:val="0"/>
          <w:color w:val="050C2A"/>
          <w:sz w:val="20"/>
          <w:u w:val="none"/>
        </w:rPr>
        <w:t xml:space="preserve"> Career &amp; Self-Development (self-awareness, reflection).</w:t>
      </w:r>
    </w:p>
    <w:p>
      <w:pPr>
        <w:spacing w:before="0" w:after="120" w:line="276" w:lineRule="auto"/>
      </w:pPr>
      <w:r>
        <w:rPr>
          <w:rFonts w:ascii="DM Sans" w:hAnsi="DM Sans" w:cs="DM Sans"/>
          <w:b/>
          <w:i w:val="0"/>
          <w:color w:val="050C2A"/>
          <w:sz w:val="20"/>
          <w:u w:val="none"/>
        </w:rPr>
        <w:t>Framing prompt:</w:t>
      </w:r>
    </w:p>
    <w:p>
      <w:pPr>
        <w:pBdr>
          <w:left w:val="single" w:sz="18" w:space="8" w:color="FF7C0A"/>
        </w:pBdr>
        <w:ind w:left="720"/>
        <w:spacing w:before="120" w:after="120" w:line="276" w:lineRule="auto"/>
      </w:pPr>
      <w:r>
        <w:rPr>
          <w:rFonts w:ascii="DM Sans" w:hAnsi="DM Sans" w:cs="DM Sans"/>
          <w:b w:val="0"/>
          <w:i w:val="0"/>
          <w:color w:val="ACACAC"/>
          <w:sz w:val="20"/>
          <w:u w:val="none"/>
        </w:rPr>
        <w:t>You've just entered a real professional engagement — meeting an employer, joining a team, and beginning to understand a project that someone outside this course actually needs. Choose one specific moment from the past three weeks where something surprised you, challenged you, or didn't go the way you expected. Using the DEAL framework, describe what happened, examine what that experience reveals about how you enter new professional situations, and articulate what you're taking forward into the next phase of the project.</w:t>
      </w:r>
    </w:p>
    <w:p>
      <w:pPr>
        <w:spacing w:before="0" w:after="120" w:line="276" w:lineRule="auto"/>
      </w:pPr>
      <w:r>
        <w:rPr>
          <w:rFonts w:ascii="DM Sans" w:hAnsi="DM Sans" w:cs="DM Sans"/>
          <w:b/>
          <w:i w:val="0"/>
          <w:color w:val="050C2A"/>
          <w:sz w:val="20"/>
          <w:u w:val="none"/>
        </w:rPr>
        <w:t>Connecting to your goals:</w:t>
      </w:r>
    </w:p>
    <w:p>
      <w:pPr>
        <w:pBdr>
          <w:left w:val="single" w:sz="18" w:space="8" w:color="FF7C0A"/>
        </w:pBdr>
        <w:ind w:left="720"/>
        <w:spacing w:before="120" w:after="120" w:line="276" w:lineRule="auto"/>
      </w:pPr>
      <w:r>
        <w:rPr>
          <w:rFonts w:ascii="DM Sans" w:hAnsi="DM Sans" w:cs="DM Sans"/>
          <w:b w:val="0"/>
          <w:i w:val="0"/>
          <w:color w:val="ACACAC"/>
          <w:sz w:val="20"/>
          <w:u w:val="none"/>
        </w:rPr>
        <w:t>Look back at your Student Intake Questionnaire — specifically what you said about your learning goals and the professional challenge you want to work on. How does the experience you just described connect to those goals? Did anything in the first three weeks confirm, complicate, or shift what you thought you wanted to get out of this course? You don't need to have answers — naming the connection (or the tension) is the point.</w:t>
      </w:r>
    </w:p>
    <w:p>
      <w:pPr>
        <w:spacing w:before="0" w:after="120" w:line="276" w:lineRule="auto"/>
      </w:pPr>
      <w:r>
        <w:rPr>
          <w:rFonts w:ascii="DM Sans" w:hAnsi="DM Sans" w:cs="DM Sans"/>
          <w:b/>
          <w:i w:val="0"/>
          <w:color w:val="050C2A"/>
          <w:sz w:val="20"/>
          <w:u w:val="none"/>
        </w:rPr>
        <w:t>Calibration note:</w:t>
      </w:r>
      <w:r>
        <w:rPr>
          <w:rFonts w:ascii="DM Sans" w:hAnsi="DM Sans" w:cs="DM Sans"/>
          <w:b w:val="0"/>
          <w:i w:val="0"/>
          <w:color w:val="050C2A"/>
          <w:sz w:val="20"/>
          <w:u w:val="none"/>
        </w:rPr>
        <w:t xml:space="preserve"> This is the first DEAL reflection in the course. The framework was introduced in Week 1; this is the first application. Expectations are calibrated to a first attempt — depth and honesty matter more than polish. Students are still building fluency with the model. The DEAL reference sheet and a pro tip on using AI for reflection are embedded in the assignment prompt to reduce friction.</w:t>
      </w:r>
    </w:p>
    <w:p>
      <w:pPr>
        <w:spacing w:before="240" w:after="80"/>
      </w:pPr>
      <w:r>
        <w:rPr>
          <w:rFonts w:ascii="DM Sans" w:hAnsi="DM Sans" w:cs="DM Sans"/>
          <w:b/>
          <w:i w:val="0"/>
          <w:color w:val="050C2A"/>
          <w:sz w:val="24"/>
          <w:u w:val="none"/>
        </w:rPr>
        <w:t>Reflection #2 — Week 6 (End of Discovery)</w:t>
      </w:r>
    </w:p>
    <w:p>
      <w:pPr>
        <w:spacing w:before="0" w:after="120" w:line="276" w:lineRule="auto"/>
      </w:pPr>
      <w:r>
        <w:rPr>
          <w:rFonts w:ascii="DM Sans" w:hAnsi="DM Sans" w:cs="DM Sans"/>
          <w:b/>
          <w:i w:val="0"/>
          <w:color w:val="050C2A"/>
          <w:sz w:val="20"/>
          <w:u w:val="none"/>
        </w:rPr>
        <w:t>Experiential pool:</w:t>
      </w:r>
      <w:r>
        <w:rPr>
          <w:rFonts w:ascii="DM Sans" w:hAnsi="DM Sans" w:cs="DM Sans"/>
          <w:b w:val="0"/>
          <w:i w:val="0"/>
          <w:color w:val="050C2A"/>
          <w:sz w:val="20"/>
          <w:u w:val="none"/>
        </w:rPr>
        <w:t xml:space="preserve"> The research process, the Context Analysis deliverable, the Direction Check with the employer, the transition from research into production, team dynamics under the pressure of the first graded deliverable. Students draw from Weeks 4–6.</w:t>
      </w:r>
    </w:p>
    <w:p>
      <w:pPr>
        <w:spacing w:before="0" w:after="120" w:line="276" w:lineRule="auto"/>
      </w:pPr>
      <w:r>
        <w:rPr>
          <w:rFonts w:ascii="DM Sans" w:hAnsi="DM Sans" w:cs="DM Sans"/>
          <w:b/>
          <w:i w:val="0"/>
          <w:color w:val="050C2A"/>
          <w:sz w:val="20"/>
          <w:u w:val="none"/>
        </w:rPr>
        <w:t>Competency connection:</w:t>
      </w:r>
      <w:r>
        <w:rPr>
          <w:rFonts w:ascii="DM Sans" w:hAnsi="DM Sans" w:cs="DM Sans"/>
          <w:b w:val="0"/>
          <w:i w:val="0"/>
          <w:color w:val="050C2A"/>
          <w:sz w:val="20"/>
          <w:u w:val="none"/>
        </w:rPr>
        <w:t xml:space="preserve"> Career &amp; Self-Development (self-awareness, reflection); Professionalism (initiative).</w:t>
      </w:r>
    </w:p>
    <w:p>
      <w:pPr>
        <w:spacing w:before="0" w:after="120" w:line="276" w:lineRule="auto"/>
      </w:pPr>
      <w:r>
        <w:rPr>
          <w:rFonts w:ascii="DM Sans" w:hAnsi="DM Sans" w:cs="DM Sans"/>
          <w:b/>
          <w:i w:val="0"/>
          <w:color w:val="050C2A"/>
          <w:sz w:val="20"/>
          <w:u w:val="none"/>
        </w:rPr>
        <w:t>Framing prompt:</w:t>
      </w:r>
    </w:p>
    <w:p>
      <w:pPr>
        <w:pBdr>
          <w:left w:val="single" w:sz="18" w:space="8" w:color="FF7C0A"/>
        </w:pBdr>
        <w:ind w:left="720"/>
        <w:spacing w:before="120" w:after="120" w:line="276" w:lineRule="auto"/>
      </w:pPr>
      <w:r>
        <w:rPr>
          <w:rFonts w:ascii="DM Sans" w:hAnsi="DM Sans" w:cs="DM Sans"/>
          <w:b w:val="0"/>
          <w:i w:val="0"/>
          <w:color w:val="ACACAC"/>
          <w:sz w:val="20"/>
          <w:u w:val="none"/>
        </w:rPr>
        <w:t>The Discovery phase asked you to do something harder than it might have appeared: make strategic sense of a problem you didn't fully understand, present your thinking to someone who knows more about it than you do, and adjust course based on their response. Choose a specific moment from the past three weeks where you encountered ambiguity — where the path forward was unclear and you had to decide how to act without complete information. Using the DEAL framework, describe what happened, examine what your response to that ambiguity reveals about how you take initiative and navigate uncertainty, and articulate what you've learned about your own approach when the answer isn't obvious.</w:t>
      </w:r>
    </w:p>
    <w:p>
      <w:pPr>
        <w:spacing w:before="0" w:after="120" w:line="276" w:lineRule="auto"/>
      </w:pPr>
      <w:r>
        <w:rPr>
          <w:rFonts w:ascii="DM Sans" w:hAnsi="DM Sans" w:cs="DM Sans"/>
          <w:b/>
          <w:i w:val="0"/>
          <w:color w:val="050C2A"/>
          <w:sz w:val="20"/>
          <w:u w:val="none"/>
        </w:rPr>
        <w:t>Connecting to your goals:</w:t>
      </w:r>
    </w:p>
    <w:p>
      <w:pPr>
        <w:pBdr>
          <w:left w:val="single" w:sz="18" w:space="8" w:color="FF7C0A"/>
        </w:pBdr>
        <w:ind w:left="720"/>
        <w:spacing w:before="120" w:after="120" w:line="276" w:lineRule="auto"/>
      </w:pPr>
      <w:r>
        <w:rPr>
          <w:rFonts w:ascii="DM Sans" w:hAnsi="DM Sans" w:cs="DM Sans"/>
          <w:b w:val="0"/>
          <w:i w:val="0"/>
          <w:color w:val="ACACAC"/>
          <w:sz w:val="20"/>
          <w:u w:val="none"/>
        </w:rPr>
        <w:t>Consider the professional challenge you identified in your intake. Has the Discovery phase given you a chance to work on it — or has it surfaced a different challenge you didn't anticipate? How did the Direction Check — hearing the employer's reaction to your team's work — change or confirm how you think about the project and your role in it? If you wrote Reflection #1 about entering a new situation, how has your relationship to uncertainty shifted (or not) now that you're three weeks deeper?</w:t>
      </w:r>
    </w:p>
    <w:p>
      <w:pPr>
        <w:spacing w:before="0" w:after="120" w:line="276" w:lineRule="auto"/>
      </w:pPr>
      <w:r>
        <w:rPr>
          <w:rFonts w:ascii="DM Sans" w:hAnsi="DM Sans" w:cs="DM Sans"/>
          <w:b/>
          <w:i w:val="0"/>
          <w:color w:val="050C2A"/>
          <w:sz w:val="20"/>
          <w:u w:val="none"/>
        </w:rPr>
        <w:t>Calibration note:</w:t>
      </w:r>
      <w:r>
        <w:rPr>
          <w:rFonts w:ascii="DM Sans" w:hAnsi="DM Sans" w:cs="DM Sans"/>
          <w:b w:val="0"/>
          <w:i w:val="0"/>
          <w:color w:val="050C2A"/>
          <w:sz w:val="20"/>
          <w:u w:val="none"/>
        </w:rPr>
        <w:t xml:space="preserve"> This is the second DEAL reflection. The framework is no longer new — the expectation is not that students demonstrate they can use DEAL, but that they use it with more depth and honesty than they did in Week 3. Growth from Reflection #1 is itself evidence of learning.</w:t>
      </w:r>
    </w:p>
    <w:p>
      <w:pPr>
        <w:spacing w:before="240" w:after="80"/>
      </w:pPr>
      <w:r>
        <w:rPr>
          <w:rFonts w:ascii="DM Sans" w:hAnsi="DM Sans" w:cs="DM Sans"/>
          <w:b/>
          <w:i w:val="0"/>
          <w:color w:val="050C2A"/>
          <w:sz w:val="24"/>
          <w:u w:val="none"/>
        </w:rPr>
        <w:t>Reflection #3 — Week 9 (Mid-Development)</w:t>
      </w:r>
    </w:p>
    <w:p>
      <w:pPr>
        <w:spacing w:before="0" w:after="120" w:line="276" w:lineRule="auto"/>
      </w:pPr>
      <w:r>
        <w:rPr>
          <w:rFonts w:ascii="DM Sans" w:hAnsi="DM Sans" w:cs="DM Sans"/>
          <w:b/>
          <w:i w:val="0"/>
          <w:color w:val="050C2A"/>
          <w:sz w:val="20"/>
          <w:u w:val="none"/>
        </w:rPr>
        <w:t>Experiential pool:</w:t>
      </w:r>
      <w:r>
        <w:rPr>
          <w:rFonts w:ascii="DM Sans" w:hAnsi="DM Sans" w:cs="DM Sans"/>
          <w:b w:val="0"/>
          <w:i w:val="0"/>
          <w:color w:val="050C2A"/>
          <w:sz w:val="20"/>
          <w:u w:val="none"/>
        </w:rPr>
        <w:t xml:space="preserve"> Progress Reviews #1 and #2 with the employer, Peer Evaluation #1, draft iterations, incorporating feedback from multiple sources, team dynamics during the most intensive production period. Students draw from Weeks 7–9.</w:t>
      </w:r>
    </w:p>
    <w:p>
      <w:pPr>
        <w:spacing w:before="0" w:after="120" w:line="276" w:lineRule="auto"/>
      </w:pPr>
      <w:r>
        <w:rPr>
          <w:rFonts w:ascii="DM Sans" w:hAnsi="DM Sans" w:cs="DM Sans"/>
          <w:b/>
          <w:i w:val="0"/>
          <w:color w:val="050C2A"/>
          <w:sz w:val="20"/>
          <w:u w:val="none"/>
        </w:rPr>
        <w:t>Competency connection:</w:t>
      </w:r>
      <w:r>
        <w:rPr>
          <w:rFonts w:ascii="DM Sans" w:hAnsi="DM Sans" w:cs="DM Sans"/>
          <w:b w:val="0"/>
          <w:i w:val="0"/>
          <w:color w:val="050C2A"/>
          <w:sz w:val="20"/>
          <w:u w:val="none"/>
        </w:rPr>
        <w:t xml:space="preserve"> Career &amp; Self-Development (reflection, growth orientation); Teamwork (constructive feedback).</w:t>
      </w:r>
    </w:p>
    <w:p>
      <w:pPr>
        <w:spacing w:before="0" w:after="120" w:line="276" w:lineRule="auto"/>
      </w:pPr>
      <w:r>
        <w:rPr>
          <w:rFonts w:ascii="DM Sans" w:hAnsi="DM Sans" w:cs="DM Sans"/>
          <w:b/>
          <w:i w:val="0"/>
          <w:color w:val="050C2A"/>
          <w:sz w:val="20"/>
          <w:u w:val="none"/>
        </w:rPr>
        <w:t>Framing prompt:</w:t>
      </w:r>
    </w:p>
    <w:p>
      <w:pPr>
        <w:pBdr>
          <w:left w:val="single" w:sz="18" w:space="8" w:color="FF7C0A"/>
        </w:pBdr>
        <w:ind w:left="720"/>
        <w:spacing w:before="120" w:after="120" w:line="276" w:lineRule="auto"/>
      </w:pPr>
      <w:r>
        <w:rPr>
          <w:rFonts w:ascii="DM Sans" w:hAnsi="DM Sans" w:cs="DM Sans"/>
          <w:b w:val="0"/>
          <w:i w:val="0"/>
          <w:color w:val="ACACAC"/>
          <w:sz w:val="20"/>
          <w:u w:val="none"/>
        </w:rPr>
        <w:t>The Development phase is where the real pressure lives — you're producing actual work, receiving feedback from multiple directions (your employer, your peers, your own assessment of what's working), and navigating team dynamics when the stakes are tangible. Choose a specific moment from the past three weeks where you received feedback that was difficult to hear, where you had to give feedback you weren't sure how to deliver, or where your team had to work through a real disagreement or tension. Using the DEAL framework, describe what happened, examine what that experience reveals about how you receive, process, and act on feedback from others, and articulate what you've learned about yourself as a collaborator.</w:t>
      </w:r>
    </w:p>
    <w:p>
      <w:pPr>
        <w:spacing w:before="0" w:after="120" w:line="276" w:lineRule="auto"/>
      </w:pPr>
      <w:r>
        <w:rPr>
          <w:rFonts w:ascii="DM Sans" w:hAnsi="DM Sans" w:cs="DM Sans"/>
          <w:b/>
          <w:i w:val="0"/>
          <w:color w:val="050C2A"/>
          <w:sz w:val="20"/>
          <w:u w:val="none"/>
        </w:rPr>
        <w:t>Connecting to your goals:</w:t>
      </w:r>
    </w:p>
    <w:p>
      <w:pPr>
        <w:pBdr>
          <w:left w:val="single" w:sz="18" w:space="8" w:color="FF7C0A"/>
        </w:pBdr>
        <w:ind w:left="720"/>
        <w:spacing w:before="120" w:after="120" w:line="276" w:lineRule="auto"/>
      </w:pPr>
      <w:r>
        <w:rPr>
          <w:rFonts w:ascii="DM Sans" w:hAnsi="DM Sans" w:cs="DM Sans"/>
          <w:b w:val="0"/>
          <w:i w:val="0"/>
          <w:color w:val="ACACAC"/>
          <w:sz w:val="20"/>
          <w:u w:val="none"/>
        </w:rPr>
        <w:t>The Peer Evaluation you completed in Week 8 asked you to assess your teammates — and they assessed you. Whether or not the results surprised you, they give you data about how others experience your contributions. How does that external perspective connect to how you see your own role on the team? Does it relate to the growth areas you identified at the start of the course, or has the project surfaced something different about how you work with others?</w:t>
      </w:r>
    </w:p>
    <w:p>
      <w:pPr>
        <w:spacing w:before="0" w:after="120" w:line="276" w:lineRule="auto"/>
      </w:pPr>
      <w:r>
        <w:rPr>
          <w:rFonts w:ascii="DM Sans" w:hAnsi="DM Sans" w:cs="DM Sans"/>
          <w:b/>
          <w:i w:val="0"/>
          <w:color w:val="050C2A"/>
          <w:sz w:val="20"/>
          <w:u w:val="none"/>
        </w:rPr>
        <w:t>Calibration note:</w:t>
      </w:r>
      <w:r>
        <w:rPr>
          <w:rFonts w:ascii="DM Sans" w:hAnsi="DM Sans" w:cs="DM Sans"/>
          <w:b w:val="0"/>
          <w:i w:val="0"/>
          <w:color w:val="050C2A"/>
          <w:sz w:val="20"/>
          <w:u w:val="none"/>
        </w:rPr>
        <w:t xml:space="preserve"> By the third reflection, students should be demonstrating genuine analytical depth in the Examine stage. Surface-level descriptions of "what happened" without examination of underlying patterns, assumptions, or professional implications are no longer sufficient. The student has enough experience with the framework and enough project material to produce substantive examination.</w:t>
      </w:r>
    </w:p>
    <w:p>
      <w:pPr>
        <w:spacing w:before="240" w:after="80"/>
      </w:pPr>
      <w:r>
        <w:rPr>
          <w:rFonts w:ascii="DM Sans" w:hAnsi="DM Sans" w:cs="DM Sans"/>
          <w:b/>
          <w:i w:val="0"/>
          <w:color w:val="050C2A"/>
          <w:sz w:val="24"/>
          <w:u w:val="none"/>
        </w:rPr>
        <w:t>Reflection #4 — Week 12 (End of Refinement)</w:t>
      </w:r>
    </w:p>
    <w:p>
      <w:pPr>
        <w:spacing w:before="0" w:after="120" w:line="276" w:lineRule="auto"/>
      </w:pPr>
      <w:r>
        <w:rPr>
          <w:rFonts w:ascii="DM Sans" w:hAnsi="DM Sans" w:cs="DM Sans"/>
          <w:b/>
          <w:i w:val="0"/>
          <w:color w:val="050C2A"/>
          <w:sz w:val="20"/>
          <w:u w:val="none"/>
        </w:rPr>
        <w:t>Experiential pool:</w:t>
      </w:r>
      <w:r>
        <w:rPr>
          <w:rFonts w:ascii="DM Sans" w:hAnsi="DM Sans" w:cs="DM Sans"/>
          <w:b w:val="0"/>
          <w:i w:val="0"/>
          <w:color w:val="050C2A"/>
          <w:sz w:val="20"/>
          <w:u w:val="none"/>
        </w:rPr>
        <w:t xml:space="preserve"> Near-final production, quality reviews, Progress Reviews #3 and #4, the gap between what was planned and what was produced, the refinement process itself. Students draw from Weeks 10–12.</w:t>
      </w:r>
    </w:p>
    <w:p>
      <w:pPr>
        <w:spacing w:before="0" w:after="120" w:line="276" w:lineRule="auto"/>
      </w:pPr>
      <w:r>
        <w:rPr>
          <w:rFonts w:ascii="DM Sans" w:hAnsi="DM Sans" w:cs="DM Sans"/>
          <w:b/>
          <w:i w:val="0"/>
          <w:color w:val="050C2A"/>
          <w:sz w:val="20"/>
          <w:u w:val="none"/>
        </w:rPr>
        <w:t>Competency connection:</w:t>
      </w:r>
      <w:r>
        <w:rPr>
          <w:rFonts w:ascii="DM Sans" w:hAnsi="DM Sans" w:cs="DM Sans"/>
          <w:b w:val="0"/>
          <w:i w:val="0"/>
          <w:color w:val="050C2A"/>
          <w:sz w:val="20"/>
          <w:u w:val="none"/>
        </w:rPr>
        <w:t xml:space="preserve"> Career &amp; Self-Development (reflection, growth orientation); Critical Thinking (evidence-based reasoning).</w:t>
      </w:r>
    </w:p>
    <w:p>
      <w:pPr>
        <w:spacing w:before="0" w:after="120" w:line="276" w:lineRule="auto"/>
      </w:pPr>
      <w:r>
        <w:rPr>
          <w:rFonts w:ascii="DM Sans" w:hAnsi="DM Sans" w:cs="DM Sans"/>
          <w:b/>
          <w:i w:val="0"/>
          <w:color w:val="050C2A"/>
          <w:sz w:val="20"/>
          <w:u w:val="none"/>
        </w:rPr>
        <w:t>Framing prompt:</w:t>
      </w:r>
    </w:p>
    <w:p>
      <w:pPr>
        <w:pBdr>
          <w:left w:val="single" w:sz="18" w:space="8" w:color="FF7C0A"/>
        </w:pBdr>
        <w:ind w:left="720"/>
        <w:spacing w:before="120" w:after="120" w:line="276" w:lineRule="auto"/>
      </w:pPr>
      <w:r>
        <w:rPr>
          <w:rFonts w:ascii="DM Sans" w:hAnsi="DM Sans" w:cs="DM Sans"/>
          <w:b w:val="0"/>
          <w:i w:val="0"/>
          <w:color w:val="ACACAC"/>
          <w:sz w:val="20"/>
          <w:u w:val="none"/>
        </w:rPr>
        <w:t>You're now deep enough in this project to see the distance between where you started and where you are. The Refinement phase forced you to confront the gap between the plan you made in Week 4 and the work you've actually produced — between what you thought you knew and what doing the work taught you. Choose a specific moment from the past three weeks where you realized your understanding of the problem, the deliverables, or your own capabilities had changed significantly from what you assumed earlier in the course. Using the DEAL framework, describe what that shift looked like, examine what caused it and what it reveals about how you learn through practice, and articulate what you now understand about connecting theory or prior knowledge to real work that you didn't understand before.</w:t>
      </w:r>
    </w:p>
    <w:p>
      <w:pPr>
        <w:spacing w:before="0" w:after="120" w:line="276" w:lineRule="auto"/>
      </w:pPr>
      <w:r>
        <w:rPr>
          <w:rFonts w:ascii="DM Sans" w:hAnsi="DM Sans" w:cs="DM Sans"/>
          <w:b/>
          <w:i w:val="0"/>
          <w:color w:val="050C2A"/>
          <w:sz w:val="20"/>
          <w:u w:val="none"/>
        </w:rPr>
        <w:t>Connecting to your goals:</w:t>
      </w:r>
    </w:p>
    <w:p>
      <w:pPr>
        <w:pBdr>
          <w:left w:val="single" w:sz="18" w:space="8" w:color="FF7C0A"/>
        </w:pBdr>
        <w:ind w:left="720"/>
        <w:spacing w:before="120" w:after="120" w:line="276" w:lineRule="auto"/>
      </w:pPr>
      <w:r>
        <w:rPr>
          <w:rFonts w:ascii="DM Sans" w:hAnsi="DM Sans" w:cs="DM Sans"/>
          <w:b w:val="0"/>
          <w:i w:val="0"/>
          <w:color w:val="ACACAC"/>
          <w:sz w:val="20"/>
          <w:u w:val="none"/>
        </w:rPr>
        <w:t>Think about the skills and experiences you listed in your intake — the strengths you said you were bringing to this project. How have those strengths actually shown up? Were there capabilities you overestimated, or skills you didn't list that turned out to matter more than you expected? As you look at the work your team has produced, what's your honest assessment of your own contribution to its quality — not just the quantity of effort, but the substance of what you brought?</w:t>
      </w:r>
    </w:p>
    <w:p>
      <w:pPr>
        <w:spacing w:before="0" w:after="120" w:line="276" w:lineRule="auto"/>
      </w:pPr>
      <w:r>
        <w:rPr>
          <w:rFonts w:ascii="DM Sans" w:hAnsi="DM Sans" w:cs="DM Sans"/>
          <w:b/>
          <w:i w:val="0"/>
          <w:color w:val="050C2A"/>
          <w:sz w:val="20"/>
          <w:u w:val="none"/>
        </w:rPr>
        <w:t>Calibration note:</w:t>
      </w:r>
      <w:r>
        <w:rPr>
          <w:rFonts w:ascii="DM Sans" w:hAnsi="DM Sans" w:cs="DM Sans"/>
          <w:b w:val="0"/>
          <w:i w:val="0"/>
          <w:color w:val="050C2A"/>
          <w:sz w:val="20"/>
          <w:u w:val="none"/>
        </w:rPr>
        <w:t xml:space="preserve"> Reflection #4 should demonstrate the student's ability to connect specific project experiences to broader professional understanding. The articulated learning should be noticeably more nuanced than earlier reflections — not just "I learned X" but "I learned X, and here's how that changes how I'd approach Y in the future."</w:t>
      </w:r>
    </w:p>
    <w:p>
      <w:pPr>
        <w:spacing w:before="240" w:after="80"/>
      </w:pPr>
      <w:r>
        <w:rPr>
          <w:rFonts w:ascii="DM Sans" w:hAnsi="DM Sans" w:cs="DM Sans"/>
          <w:b/>
          <w:i w:val="0"/>
          <w:color w:val="050C2A"/>
          <w:sz w:val="24"/>
          <w:u w:val="none"/>
        </w:rPr>
        <w:t>Reflection #5 — Week 15 (End of Integration)</w:t>
      </w:r>
    </w:p>
    <w:p>
      <w:pPr>
        <w:spacing w:before="0" w:after="120" w:line="276" w:lineRule="auto"/>
      </w:pPr>
      <w:r>
        <w:rPr>
          <w:rFonts w:ascii="DM Sans" w:hAnsi="DM Sans" w:cs="DM Sans"/>
          <w:b/>
          <w:i w:val="0"/>
          <w:color w:val="050C2A"/>
          <w:sz w:val="20"/>
          <w:u w:val="none"/>
        </w:rPr>
        <w:t>Experiential pool:</w:t>
      </w:r>
      <w:r>
        <w:rPr>
          <w:rFonts w:ascii="DM Sans" w:hAnsi="DM Sans" w:cs="DM Sans"/>
          <w:b w:val="0"/>
          <w:i w:val="0"/>
          <w:color w:val="050C2A"/>
          <w:sz w:val="20"/>
          <w:u w:val="none"/>
        </w:rPr>
        <w:t xml:space="preserve"> The full project arc — from intake through final presentation. Students may draw from any phase, but the reflection should synthesize across the experience rather than focusing narrowly on the final weeks. The presentation itself, the final peer evaluation, and the act of looking back over the full 15 weeks are all available as anchor points.</w:t>
      </w:r>
    </w:p>
    <w:p>
      <w:pPr>
        <w:spacing w:before="0" w:after="120" w:line="276" w:lineRule="auto"/>
      </w:pPr>
      <w:r>
        <w:rPr>
          <w:rFonts w:ascii="DM Sans" w:hAnsi="DM Sans" w:cs="DM Sans"/>
          <w:b/>
          <w:i w:val="0"/>
          <w:color w:val="050C2A"/>
          <w:sz w:val="20"/>
          <w:u w:val="none"/>
        </w:rPr>
        <w:t>Competency connection:</w:t>
      </w:r>
      <w:r>
        <w:rPr>
          <w:rFonts w:ascii="DM Sans" w:hAnsi="DM Sans" w:cs="DM Sans"/>
          <w:b w:val="0"/>
          <w:i w:val="0"/>
          <w:color w:val="050C2A"/>
          <w:sz w:val="20"/>
          <w:u w:val="none"/>
        </w:rPr>
        <w:t xml:space="preserve"> Career &amp; Self-Development (career articulation, growth orientation); synthesis across all competencies.</w:t>
      </w:r>
    </w:p>
    <w:p>
      <w:pPr>
        <w:spacing w:before="0" w:after="120" w:line="276" w:lineRule="auto"/>
      </w:pPr>
      <w:r>
        <w:rPr>
          <w:rFonts w:ascii="DM Sans" w:hAnsi="DM Sans" w:cs="DM Sans"/>
          <w:b/>
          <w:i w:val="0"/>
          <w:color w:val="050C2A"/>
          <w:sz w:val="20"/>
          <w:u w:val="none"/>
        </w:rPr>
        <w:t>Framing prompt:</w:t>
      </w:r>
    </w:p>
    <w:p>
      <w:pPr>
        <w:pBdr>
          <w:left w:val="single" w:sz="18" w:space="8" w:color="FF7C0A"/>
        </w:pBdr>
        <w:ind w:left="720"/>
        <w:spacing w:before="120" w:after="120" w:line="276" w:lineRule="auto"/>
      </w:pPr>
      <w:r>
        <w:rPr>
          <w:rFonts w:ascii="DM Sans" w:hAnsi="DM Sans" w:cs="DM Sans"/>
          <w:b w:val="0"/>
          <w:i w:val="0"/>
          <w:color w:val="ACACAC"/>
          <w:sz w:val="20"/>
          <w:u w:val="none"/>
        </w:rPr>
        <w:t>This is the final reflection in the portfolio — and it asks something different from the previous four. Rather than examining a single moment, step back and look at the arc of your experience from Week 1 through the final presentation. Choose the single most important thing you learned over the course of this project — not about the project's subject matter, but about how you work, how you learn, or how you engage professionally. Using the DEAL framework, describe the experience or pattern of experiences that produced that learning, examine why this particular insight matters more than others you might have chosen, and articulate how you will apply it in a professional context beyond this course.</w:t>
      </w:r>
    </w:p>
    <w:p>
      <w:pPr>
        <w:spacing w:before="0" w:after="120" w:line="276" w:lineRule="auto"/>
      </w:pPr>
      <w:r>
        <w:rPr>
          <w:rFonts w:ascii="DM Sans" w:hAnsi="DM Sans" w:cs="DM Sans"/>
          <w:b/>
          <w:i w:val="0"/>
          <w:color w:val="050C2A"/>
          <w:sz w:val="20"/>
          <w:u w:val="none"/>
        </w:rPr>
        <w:t>Connecting to your goals:</w:t>
      </w:r>
    </w:p>
    <w:p>
      <w:pPr>
        <w:pBdr>
          <w:left w:val="single" w:sz="18" w:space="8" w:color="FF7C0A"/>
        </w:pBdr>
        <w:ind w:left="720"/>
        <w:spacing w:before="120" w:after="120" w:line="276" w:lineRule="auto"/>
      </w:pPr>
      <w:r>
        <w:rPr>
          <w:rFonts w:ascii="DM Sans" w:hAnsi="DM Sans" w:cs="DM Sans"/>
          <w:b w:val="0"/>
          <w:i w:val="0"/>
          <w:color w:val="ACACAC"/>
          <w:sz w:val="20"/>
          <w:u w:val="none"/>
        </w:rPr>
        <w:t>Return to your Student Intake Questionnaire one final time. Reread what you wrote about your learning goals and your professional challenge. How would you answer those same questions now? What would you tell the version of yourself who filled out that questionnaire in Week 1? If you were describing this experience to a future employer — not the project deliverables, but what you learned about yourself as a professional — what would you say? This is your chance to close the loop on the growth narrative you've been building across five reflections.</w:t>
      </w:r>
    </w:p>
    <w:p>
      <w:pPr>
        <w:spacing w:before="0" w:after="120" w:line="276" w:lineRule="auto"/>
      </w:pPr>
      <w:r>
        <w:rPr>
          <w:rFonts w:ascii="DM Sans" w:hAnsi="DM Sans" w:cs="DM Sans"/>
          <w:b/>
          <w:i w:val="0"/>
          <w:color w:val="050C2A"/>
          <w:sz w:val="20"/>
          <w:u w:val="none"/>
        </w:rPr>
        <w:t>Calibration note:</w:t>
      </w:r>
      <w:r>
        <w:rPr>
          <w:rFonts w:ascii="DM Sans" w:hAnsi="DM Sans" w:cs="DM Sans"/>
          <w:b w:val="0"/>
          <w:i w:val="0"/>
          <w:color w:val="050C2A"/>
          <w:sz w:val="20"/>
          <w:u w:val="none"/>
        </w:rPr>
        <w:t xml:space="preserve"> This is the final and most demanding reflection. Students should demonstrate the full DEAL capability: precise description, probing examination, and articulated learning that is both specific enough to be actionable and broad enough to transfer. A strong Reflection #5 makes visible how the student has developed across the portfolio — the distance between this reflection and Reflection #1 should be evident in the depth, honesty, and sophistication of the analysis.</w:t>
      </w:r>
    </w:p>
    <w:p>
      <w:pPr>
        <w:spacing w:before="280" w:after="100"/>
      </w:pPr>
      <w:r>
        <w:rPr>
          <w:rFonts w:ascii="DM Sans" w:hAnsi="DM Sans" w:cs="DM Sans"/>
          <w:b/>
          <w:i w:val="0"/>
          <w:color w:val="050C2A"/>
          <w:sz w:val="28"/>
          <w:u w:val="none"/>
        </w:rPr>
        <w:t>Growth Trajectory Across the Portfolio</w:t>
      </w:r>
    </w:p>
    <w:p>
      <w:pPr>
        <w:spacing w:before="0" w:after="120" w:line="276" w:lineRule="auto"/>
      </w:pPr>
      <w:r>
        <w:rPr>
          <w:rFonts w:ascii="DM Sans" w:hAnsi="DM Sans" w:cs="DM Sans"/>
          <w:b w:val="0"/>
          <w:i w:val="0"/>
          <w:color w:val="050C2A"/>
          <w:sz w:val="20"/>
          <w:u w:val="none"/>
        </w:rPr>
        <w:t>The five reflections are designed as a developmental sequence, not five independent assignments. Growth across the portfolio is itself evidence of learning and should be visible in the grading record.</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20"/>
            <w:shd w:fill="FF7C0A" w:val="clear"/>
            <w:vAlign w:val="center"/>
          </w:tcPr>
          <w:p>
            <w:pPr>
              <w:jc w:val="left"/>
              <w:spacing w:before="40" w:after="40"/>
            </w:pPr>
            <w:r>
              <w:rPr>
                <w:rFonts w:ascii="DM Sans" w:hAnsi="DM Sans" w:cs="DM Sans"/>
                <w:b/>
                <w:i w:val="0"/>
                <w:color w:val="FFFFFF"/>
                <w:sz w:val="20"/>
                <w:u w:val="none"/>
              </w:rPr>
              <w:t>Reflection</w:t>
            </w:r>
          </w:p>
        </w:tc>
        <w:tc>
          <w:tcPr>
            <w:tcW w:type="dxa" w:w="7440"/>
            <w:shd w:fill="FF7C0A" w:val="clear"/>
            <w:vAlign w:val="center"/>
          </w:tcPr>
          <w:p>
            <w:pPr>
              <w:jc w:val="left"/>
              <w:spacing w:before="40" w:after="40"/>
            </w:pPr>
            <w:r>
              <w:rPr>
                <w:rFonts w:ascii="DM Sans" w:hAnsi="DM Sans" w:cs="DM Sans"/>
                <w:b/>
                <w:i w:val="0"/>
                <w:color w:val="FFFFFF"/>
                <w:sz w:val="20"/>
                <w:u w:val="none"/>
              </w:rPr>
              <w:t>Expected Development</w:t>
            </w:r>
          </w:p>
        </w:tc>
      </w:tr>
      <w:tr>
        <w:tc>
          <w:tcPr>
            <w:tcW w:type="dxa" w:w="1920"/>
            <w:vAlign w:val="center"/>
          </w:tcPr>
          <w:p>
            <w:pPr>
              <w:spacing w:before="30" w:after="30"/>
            </w:pPr>
            <w:r>
              <w:rPr>
                <w:rFonts w:ascii="DM Sans" w:hAnsi="DM Sans" w:cs="DM Sans"/>
                <w:b w:val="0"/>
                <w:i w:val="0"/>
                <w:color w:val="050C2A"/>
                <w:sz w:val="20"/>
                <w:u w:val="none"/>
              </w:rPr>
              <w:t>#1 (Week 3)</w:t>
            </w:r>
          </w:p>
        </w:tc>
        <w:tc>
          <w:tcPr>
            <w:tcW w:type="dxa" w:w="7440"/>
            <w:vAlign w:val="center"/>
          </w:tcPr>
          <w:p>
            <w:pPr>
              <w:spacing w:before="30" w:after="30"/>
            </w:pPr>
            <w:r>
              <w:rPr>
                <w:rFonts w:ascii="DM Sans" w:hAnsi="DM Sans" w:cs="DM Sans"/>
                <w:b w:val="0"/>
                <w:i w:val="0"/>
                <w:color w:val="050C2A"/>
                <w:sz w:val="20"/>
                <w:u w:val="none"/>
              </w:rPr>
              <w:t>Framework fluency. Student demonstrates they can use DEAL to examine an experience. Description may dominate; examination may be tentative. This is expected.</w:t>
            </w:r>
          </w:p>
        </w:tc>
      </w:tr>
      <w:tr>
        <w:tc>
          <w:tcPr>
            <w:tcW w:type="dxa" w:w="1920"/>
            <w:shd w:fill="F5F5F5" w:val="clear"/>
            <w:vAlign w:val="center"/>
          </w:tcPr>
          <w:p>
            <w:pPr>
              <w:spacing w:before="30" w:after="30"/>
            </w:pPr>
            <w:r>
              <w:rPr>
                <w:rFonts w:ascii="DM Sans" w:hAnsi="DM Sans" w:cs="DM Sans"/>
                <w:b w:val="0"/>
                <w:i w:val="0"/>
                <w:color w:val="050C2A"/>
                <w:sz w:val="20"/>
                <w:u w:val="none"/>
              </w:rPr>
              <w:t>#2 (Week 6)</w:t>
            </w:r>
          </w:p>
        </w:tc>
        <w:tc>
          <w:tcPr>
            <w:tcW w:type="dxa" w:w="7440"/>
            <w:shd w:fill="F5F5F5" w:val="clear"/>
            <w:vAlign w:val="center"/>
          </w:tcPr>
          <w:p>
            <w:pPr>
              <w:spacing w:before="30" w:after="30"/>
            </w:pPr>
            <w:r>
              <w:rPr>
                <w:rFonts w:ascii="DM Sans" w:hAnsi="DM Sans" w:cs="DM Sans"/>
                <w:b w:val="0"/>
                <w:i w:val="0"/>
                <w:color w:val="050C2A"/>
                <w:sz w:val="20"/>
                <w:u w:val="none"/>
              </w:rPr>
              <w:t>Depth over structure. The DEAL framework recedes into the background. The student spends more cognitive effort on the quality of what they examine rather than how to use the model.</w:t>
            </w:r>
          </w:p>
        </w:tc>
      </w:tr>
      <w:tr>
        <w:tc>
          <w:tcPr>
            <w:tcW w:type="dxa" w:w="1920"/>
            <w:vAlign w:val="center"/>
          </w:tcPr>
          <w:p>
            <w:pPr>
              <w:spacing w:before="30" w:after="30"/>
            </w:pPr>
            <w:r>
              <w:rPr>
                <w:rFonts w:ascii="DM Sans" w:hAnsi="DM Sans" w:cs="DM Sans"/>
                <w:b w:val="0"/>
                <w:i w:val="0"/>
                <w:color w:val="050C2A"/>
                <w:sz w:val="20"/>
                <w:u w:val="none"/>
              </w:rPr>
              <w:t>#3 (Week 9)</w:t>
            </w:r>
          </w:p>
        </w:tc>
        <w:tc>
          <w:tcPr>
            <w:tcW w:type="dxa" w:w="7440"/>
            <w:vAlign w:val="center"/>
          </w:tcPr>
          <w:p>
            <w:pPr>
              <w:spacing w:before="30" w:after="30"/>
            </w:pPr>
            <w:r>
              <w:rPr>
                <w:rFonts w:ascii="DM Sans" w:hAnsi="DM Sans" w:cs="DM Sans"/>
                <w:b w:val="0"/>
                <w:i w:val="0"/>
                <w:color w:val="050C2A"/>
                <w:sz w:val="20"/>
                <w:u w:val="none"/>
              </w:rPr>
              <w:t>Analytical rigor. The Examine stage shows genuine interrogation of assumptions, patterns, and professional implications — not just narration of events with a reflective gloss.</w:t>
            </w:r>
          </w:p>
        </w:tc>
      </w:tr>
      <w:tr>
        <w:tc>
          <w:tcPr>
            <w:tcW w:type="dxa" w:w="1920"/>
            <w:shd w:fill="F5F5F5" w:val="clear"/>
            <w:vAlign w:val="center"/>
          </w:tcPr>
          <w:p>
            <w:pPr>
              <w:spacing w:before="30" w:after="30"/>
            </w:pPr>
            <w:r>
              <w:rPr>
                <w:rFonts w:ascii="DM Sans" w:hAnsi="DM Sans" w:cs="DM Sans"/>
                <w:b w:val="0"/>
                <w:i w:val="0"/>
                <w:color w:val="050C2A"/>
                <w:sz w:val="20"/>
                <w:u w:val="none"/>
              </w:rPr>
              <w:t>#4 (Week 12)</w:t>
            </w:r>
          </w:p>
        </w:tc>
        <w:tc>
          <w:tcPr>
            <w:tcW w:type="dxa" w:w="7440"/>
            <w:shd w:fill="F5F5F5" w:val="clear"/>
            <w:vAlign w:val="center"/>
          </w:tcPr>
          <w:p>
            <w:pPr>
              <w:spacing w:before="30" w:after="30"/>
            </w:pPr>
            <w:r>
              <w:rPr>
                <w:rFonts w:ascii="DM Sans" w:hAnsi="DM Sans" w:cs="DM Sans"/>
                <w:b w:val="0"/>
                <w:i w:val="0"/>
                <w:color w:val="050C2A"/>
                <w:sz w:val="20"/>
                <w:u w:val="none"/>
              </w:rPr>
              <w:t>Integrative thinking. The student connects specific experiences to broader professional understanding. Articulated learning is nuanced and forward-looking.</w:t>
            </w:r>
          </w:p>
        </w:tc>
      </w:tr>
      <w:tr>
        <w:tc>
          <w:tcPr>
            <w:tcW w:type="dxa" w:w="1920"/>
            <w:vAlign w:val="center"/>
          </w:tcPr>
          <w:p>
            <w:pPr>
              <w:spacing w:before="30" w:after="30"/>
            </w:pPr>
            <w:r>
              <w:rPr>
                <w:rFonts w:ascii="DM Sans" w:hAnsi="DM Sans" w:cs="DM Sans"/>
                <w:b w:val="0"/>
                <w:i w:val="0"/>
                <w:color w:val="050C2A"/>
                <w:sz w:val="20"/>
                <w:u w:val="none"/>
              </w:rPr>
              <w:t>#5 (Week 15)</w:t>
            </w:r>
          </w:p>
        </w:tc>
        <w:tc>
          <w:tcPr>
            <w:tcW w:type="dxa" w:w="7440"/>
            <w:vAlign w:val="center"/>
          </w:tcPr>
          <w:p>
            <w:pPr>
              <w:spacing w:before="30" w:after="30"/>
            </w:pPr>
            <w:r>
              <w:rPr>
                <w:rFonts w:ascii="DM Sans" w:hAnsi="DM Sans" w:cs="DM Sans"/>
                <w:b w:val="0"/>
                <w:i w:val="0"/>
                <w:color w:val="050C2A"/>
                <w:sz w:val="20"/>
                <w:u w:val="none"/>
              </w:rPr>
              <w:t>Synthesis and transfer. The student demonstrates the ability to extract transferable principles from the full experience and articulate a credible professional growth narrative.</w:t>
            </w:r>
          </w:p>
        </w:tc>
      </w:tr>
    </w:tbl>
    <w:p>
      <w:pPr>
        <w:spacing w:before="0" w:after="120"/>
      </w:pPr>
    </w:p>
    <w:p>
      <w:pPr>
        <w:spacing w:before="0" w:after="120" w:line="276" w:lineRule="auto"/>
      </w:pPr>
      <w:r>
        <w:rPr>
          <w:rFonts w:ascii="DM Sans" w:hAnsi="DM Sans" w:cs="DM Sans"/>
          <w:b w:val="0"/>
          <w:i w:val="0"/>
          <w:color w:val="050C2A"/>
          <w:sz w:val="20"/>
          <w:u w:val="none"/>
        </w:rPr>
        <w:t>Evaluators should consider this trajectory when scoring. A Reflection #1 that earns Proficient represents genuinely different work than a Reflection #5 that earns Proficient — the standard is the same, but what "depth" and "honesty" look like develops as students gain experience with both the framework and the project.</w:t>
      </w:r>
    </w:p>
    <w:p>
      <w:pPr>
        <w:spacing w:before="280" w:after="100"/>
      </w:pPr>
      <w:r>
        <w:rPr>
          <w:rFonts w:ascii="DM Sans" w:hAnsi="DM Sans" w:cs="DM Sans"/>
          <w:b/>
          <w:i w:val="0"/>
          <w:color w:val="050C2A"/>
          <w:sz w:val="28"/>
          <w:u w:val="none"/>
        </w:rPr>
        <w:t>Rubric Design</w:t>
      </w:r>
    </w:p>
    <w:p>
      <w:pPr>
        <w:spacing w:before="240" w:after="80"/>
      </w:pPr>
      <w:r>
        <w:rPr>
          <w:rFonts w:ascii="DM Sans" w:hAnsi="DM Sans" w:cs="DM Sans"/>
          <w:b/>
          <w:i w:val="0"/>
          <w:color w:val="050C2A"/>
          <w:sz w:val="24"/>
          <w:u w:val="none"/>
        </w:rPr>
        <w:t>Scale</w:t>
      </w:r>
    </w:p>
    <w:p>
      <w:pPr>
        <w:spacing w:before="0" w:after="120" w:line="276" w:lineRule="auto"/>
      </w:pPr>
      <w:r>
        <w:rPr>
          <w:rFonts w:ascii="DM Sans" w:hAnsi="DM Sans" w:cs="DM Sans"/>
          <w:b w:val="0"/>
          <w:i w:val="0"/>
          <w:color w:val="050C2A"/>
          <w:sz w:val="20"/>
          <w:u w:val="none"/>
        </w:rPr>
        <w:t>All course rubrics use the same 5-point scale, enabling competency-level reporting and cross-rubric comparability.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submitted work that makes no real attempt, which is distinct from weak work. The 65% floor for Emerging prevents the mathematical penalty of a zero from disproportionately punishing students who submit genuine but struggling work.</w:t>
      </w:r>
    </w:p>
    <w:p>
      <w:pPr>
        <w:spacing w:before="240" w:after="80"/>
      </w:pPr>
      <w:r>
        <w:rPr>
          <w:rFonts w:ascii="DM Sans" w:hAnsi="DM Sans" w:cs="DM Sans"/>
          <w:b/>
          <w:i w:val="0"/>
          <w:color w:val="050C2A"/>
          <w:sz w:val="24"/>
          <w:u w:val="none"/>
        </w:rPr>
        <w:t>Dimensions</w:t>
      </w:r>
    </w:p>
    <w:p>
      <w:pPr>
        <w:spacing w:before="0" w:after="120" w:line="276" w:lineRule="auto"/>
      </w:pPr>
      <w:r>
        <w:rPr>
          <w:rFonts w:ascii="DM Sans" w:hAnsi="DM Sans" w:cs="DM Sans"/>
          <w:b w:val="0"/>
          <w:i w:val="0"/>
          <w:color w:val="050C2A"/>
          <w:sz w:val="20"/>
          <w:u w:val="none"/>
        </w:rPr>
        <w:t>Four fixed dimensions, equally weighted at 25% each. Every dimension represents a genuine and distinct intellectual demand of the reflection. Students receive the same rubric as the instructor — transparency is a feature.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2233"/>
            <w:shd w:fill="FF7C0A" w:val="clear"/>
            <w:vAlign w:val="center"/>
          </w:tcPr>
          <w:p>
            <w:pPr>
              <w:jc w:val="left"/>
              <w:spacing w:before="40" w:after="40"/>
            </w:pPr>
            <w:r>
              <w:rPr>
                <w:rFonts w:ascii="DM Sans" w:hAnsi="DM Sans" w:cs="DM Sans"/>
                <w:b/>
                <w:i w:val="0"/>
                <w:color w:val="FFFFFF"/>
                <w:sz w:val="20"/>
                <w:u w:val="none"/>
              </w:rPr>
              <w:t>Dimension</w:t>
            </w:r>
          </w:p>
        </w:tc>
        <w:tc>
          <w:tcPr>
            <w:tcW w:type="dxa" w:w="1116"/>
            <w:shd w:fill="FF7C0A" w:val="clear"/>
            <w:vAlign w:val="center"/>
          </w:tcPr>
          <w:p>
            <w:pPr>
              <w:jc w:val="left"/>
              <w:spacing w:before="40" w:after="40"/>
            </w:pPr>
            <w:r>
              <w:rPr>
                <w:rFonts w:ascii="DM Sans" w:hAnsi="DM Sans" w:cs="DM Sans"/>
                <w:b/>
                <w:i w:val="0"/>
                <w:color w:val="FFFFFF"/>
                <w:sz w:val="20"/>
                <w:u w:val="none"/>
              </w:rPr>
              <w:t>Weight</w:t>
            </w:r>
          </w:p>
        </w:tc>
        <w:tc>
          <w:tcPr>
            <w:tcW w:type="dxa" w:w="3731"/>
            <w:shd w:fill="FF7C0A" w:val="clear"/>
            <w:vAlign w:val="center"/>
          </w:tcPr>
          <w:p>
            <w:pPr>
              <w:jc w:val="left"/>
              <w:spacing w:before="40" w:after="40"/>
            </w:pPr>
            <w:r>
              <w:rPr>
                <w:rFonts w:ascii="DM Sans" w:hAnsi="DM Sans" w:cs="DM Sans"/>
                <w:b/>
                <w:i w:val="0"/>
                <w:color w:val="FFFFFF"/>
                <w:sz w:val="20"/>
                <w:u w:val="none"/>
              </w:rPr>
              <w:t>Competency → Subskill</w:t>
            </w:r>
          </w:p>
        </w:tc>
        <w:tc>
          <w:tcPr>
            <w:tcW w:type="dxa" w:w="2280"/>
            <w:shd w:fill="FF7C0A" w:val="clear"/>
            <w:vAlign w:val="center"/>
          </w:tcPr>
          <w:p>
            <w:pPr>
              <w:jc w:val="left"/>
              <w:spacing w:before="40" w:after="40"/>
            </w:pPr>
            <w:r>
              <w:rPr>
                <w:rFonts w:ascii="DM Sans" w:hAnsi="DM Sans" w:cs="DM Sans"/>
                <w:b/>
                <w:i w:val="0"/>
                <w:color w:val="FFFFFF"/>
                <w:sz w:val="20"/>
                <w:u w:val="none"/>
              </w:rPr>
              <w:t>Evaluates</w:t>
            </w:r>
          </w:p>
        </w:tc>
      </w:tr>
      <w:tr>
        <w:tc>
          <w:tcPr>
            <w:tcW w:type="dxa" w:w="2233"/>
            <w:vAlign w:val="center"/>
          </w:tcPr>
          <w:p>
            <w:pPr>
              <w:spacing w:before="30" w:after="30"/>
            </w:pPr>
            <w:r>
              <w:rPr>
                <w:rFonts w:ascii="DM Sans" w:hAnsi="DM Sans" w:cs="DM Sans"/>
                <w:b w:val="0"/>
                <w:i w:val="0"/>
                <w:color w:val="050C2A"/>
                <w:sz w:val="20"/>
                <w:u w:val="none"/>
              </w:rPr>
              <w:t>Descriptive Specificity</w:t>
            </w:r>
          </w:p>
        </w:tc>
        <w:tc>
          <w:tcPr>
            <w:tcW w:type="dxa" w:w="1116"/>
            <w:vAlign w:val="center"/>
          </w:tcPr>
          <w:p>
            <w:pPr>
              <w:spacing w:before="30" w:after="30"/>
            </w:pPr>
            <w:r>
              <w:rPr>
                <w:rFonts w:ascii="DM Sans" w:hAnsi="DM Sans" w:cs="DM Sans"/>
                <w:b w:val="0"/>
                <w:i w:val="0"/>
                <w:color w:val="050C2A"/>
                <w:sz w:val="20"/>
                <w:u w:val="none"/>
              </w:rPr>
              <w:t>25%</w:t>
            </w:r>
          </w:p>
        </w:tc>
        <w:tc>
          <w:tcPr>
            <w:tcW w:type="dxa" w:w="3731"/>
            <w:vAlign w:val="center"/>
          </w:tcPr>
          <w:p>
            <w:pPr>
              <w:spacing w:before="30" w:after="30"/>
            </w:pPr>
            <w:r>
              <w:rPr>
                <w:rFonts w:ascii="DM Sans" w:hAnsi="DM Sans" w:cs="DM Sans"/>
                <w:b w:val="0"/>
                <w:i w:val="0"/>
                <w:color w:val="050C2A"/>
                <w:sz w:val="20"/>
                <w:u w:val="none"/>
              </w:rPr>
              <w:t>Career &amp; Self-Development → Self-Awareness</w:t>
            </w:r>
          </w:p>
        </w:tc>
        <w:tc>
          <w:tcPr>
            <w:tcW w:type="dxa" w:w="2280"/>
            <w:vAlign w:val="center"/>
          </w:tcPr>
          <w:p>
            <w:pPr>
              <w:spacing w:before="30" w:after="30"/>
            </w:pPr>
            <w:r>
              <w:rPr>
                <w:rFonts w:ascii="DM Sans" w:hAnsi="DM Sans" w:cs="DM Sans"/>
                <w:b w:val="0"/>
                <w:i w:val="0"/>
                <w:color w:val="050C2A"/>
                <w:sz w:val="20"/>
                <w:u w:val="none"/>
              </w:rPr>
              <w:t>Describe stage</w:t>
            </w:r>
          </w:p>
        </w:tc>
      </w:tr>
      <w:tr>
        <w:tc>
          <w:tcPr>
            <w:tcW w:type="dxa" w:w="2233"/>
            <w:shd w:fill="F5F5F5" w:val="clear"/>
            <w:vAlign w:val="center"/>
          </w:tcPr>
          <w:p>
            <w:pPr>
              <w:spacing w:before="30" w:after="30"/>
            </w:pPr>
            <w:r>
              <w:rPr>
                <w:rFonts w:ascii="DM Sans" w:hAnsi="DM Sans" w:cs="DM Sans"/>
                <w:b w:val="0"/>
                <w:i w:val="0"/>
                <w:color w:val="050C2A"/>
                <w:sz w:val="20"/>
                <w:u w:val="none"/>
              </w:rPr>
              <w:t>Critical Examination</w:t>
            </w:r>
          </w:p>
        </w:tc>
        <w:tc>
          <w:tcPr>
            <w:tcW w:type="dxa" w:w="1116"/>
            <w:shd w:fill="F5F5F5" w:val="clear"/>
            <w:vAlign w:val="center"/>
          </w:tcPr>
          <w:p>
            <w:pPr>
              <w:spacing w:before="30" w:after="30"/>
            </w:pPr>
            <w:r>
              <w:rPr>
                <w:rFonts w:ascii="DM Sans" w:hAnsi="DM Sans" w:cs="DM Sans"/>
                <w:b w:val="0"/>
                <w:i w:val="0"/>
                <w:color w:val="050C2A"/>
                <w:sz w:val="20"/>
                <w:u w:val="none"/>
              </w:rPr>
              <w:t>25%</w:t>
            </w:r>
          </w:p>
        </w:tc>
        <w:tc>
          <w:tcPr>
            <w:tcW w:type="dxa" w:w="3731"/>
            <w:shd w:fill="F5F5F5" w:val="clear"/>
            <w:vAlign w:val="center"/>
          </w:tcPr>
          <w:p>
            <w:pPr>
              <w:spacing w:before="30" w:after="30"/>
            </w:pPr>
            <w:r>
              <w:rPr>
                <w:rFonts w:ascii="DM Sans" w:hAnsi="DM Sans" w:cs="DM Sans"/>
                <w:b w:val="0"/>
                <w:i w:val="0"/>
                <w:color w:val="050C2A"/>
                <w:sz w:val="20"/>
                <w:u w:val="none"/>
              </w:rPr>
              <w:t>Career &amp; Self-Development → Reflection; Critical Thinking</w:t>
            </w:r>
          </w:p>
        </w:tc>
        <w:tc>
          <w:tcPr>
            <w:tcW w:type="dxa" w:w="2280"/>
            <w:shd w:fill="F5F5F5" w:val="clear"/>
            <w:vAlign w:val="center"/>
          </w:tcPr>
          <w:p>
            <w:pPr>
              <w:spacing w:before="30" w:after="30"/>
            </w:pPr>
            <w:r>
              <w:rPr>
                <w:rFonts w:ascii="DM Sans" w:hAnsi="DM Sans" w:cs="DM Sans"/>
                <w:b w:val="0"/>
                <w:i w:val="0"/>
                <w:color w:val="050C2A"/>
                <w:sz w:val="20"/>
                <w:u w:val="none"/>
              </w:rPr>
              <w:t>Examine stage</w:t>
            </w:r>
          </w:p>
        </w:tc>
      </w:tr>
      <w:tr>
        <w:tc>
          <w:tcPr>
            <w:tcW w:type="dxa" w:w="2233"/>
            <w:vAlign w:val="center"/>
          </w:tcPr>
          <w:p>
            <w:pPr>
              <w:spacing w:before="30" w:after="30"/>
            </w:pPr>
            <w:r>
              <w:rPr>
                <w:rFonts w:ascii="DM Sans" w:hAnsi="DM Sans" w:cs="DM Sans"/>
                <w:b w:val="0"/>
                <w:i w:val="0"/>
                <w:color w:val="050C2A"/>
                <w:sz w:val="20"/>
                <w:u w:val="none"/>
              </w:rPr>
              <w:t>Personal Accountability</w:t>
            </w:r>
          </w:p>
        </w:tc>
        <w:tc>
          <w:tcPr>
            <w:tcW w:type="dxa" w:w="1116"/>
            <w:vAlign w:val="center"/>
          </w:tcPr>
          <w:p>
            <w:pPr>
              <w:spacing w:before="30" w:after="30"/>
            </w:pPr>
            <w:r>
              <w:rPr>
                <w:rFonts w:ascii="DM Sans" w:hAnsi="DM Sans" w:cs="DM Sans"/>
                <w:b w:val="0"/>
                <w:i w:val="0"/>
                <w:color w:val="050C2A"/>
                <w:sz w:val="20"/>
                <w:u w:val="none"/>
              </w:rPr>
              <w:t>25%</w:t>
            </w:r>
          </w:p>
        </w:tc>
        <w:tc>
          <w:tcPr>
            <w:tcW w:type="dxa" w:w="3731"/>
            <w:vAlign w:val="center"/>
          </w:tcPr>
          <w:p>
            <w:pPr>
              <w:spacing w:before="30" w:after="30"/>
            </w:pPr>
            <w:r>
              <w:rPr>
                <w:rFonts w:ascii="DM Sans" w:hAnsi="DM Sans" w:cs="DM Sans"/>
                <w:b w:val="0"/>
                <w:i w:val="0"/>
                <w:color w:val="050C2A"/>
                <w:sz w:val="20"/>
                <w:u w:val="none"/>
              </w:rPr>
              <w:t>Career &amp; Self-Development → Self-Awareness</w:t>
            </w:r>
          </w:p>
        </w:tc>
        <w:tc>
          <w:tcPr>
            <w:tcW w:type="dxa" w:w="2280"/>
            <w:vAlign w:val="center"/>
          </w:tcPr>
          <w:p>
            <w:pPr>
              <w:spacing w:before="30" w:after="30"/>
            </w:pPr>
            <w:r>
              <w:rPr>
                <w:rFonts w:ascii="DM Sans" w:hAnsi="DM Sans" w:cs="DM Sans"/>
                <w:b w:val="0"/>
                <w:i w:val="0"/>
                <w:color w:val="050C2A"/>
                <w:sz w:val="20"/>
                <w:u w:val="none"/>
              </w:rPr>
              <w:t>Across all stages</w:t>
            </w:r>
          </w:p>
        </w:tc>
      </w:tr>
      <w:tr>
        <w:tc>
          <w:tcPr>
            <w:tcW w:type="dxa" w:w="2233"/>
            <w:shd w:fill="F5F5F5" w:val="clear"/>
            <w:vAlign w:val="center"/>
          </w:tcPr>
          <w:p>
            <w:pPr>
              <w:spacing w:before="30" w:after="30"/>
            </w:pPr>
            <w:r>
              <w:rPr>
                <w:rFonts w:ascii="DM Sans" w:hAnsi="DM Sans" w:cs="DM Sans"/>
                <w:b w:val="0"/>
                <w:i w:val="0"/>
                <w:color w:val="050C2A"/>
                <w:sz w:val="20"/>
                <w:u w:val="none"/>
              </w:rPr>
              <w:t>Articulation of Learning</w:t>
            </w:r>
          </w:p>
        </w:tc>
        <w:tc>
          <w:tcPr>
            <w:tcW w:type="dxa" w:w="1116"/>
            <w:shd w:fill="F5F5F5" w:val="clear"/>
            <w:vAlign w:val="center"/>
          </w:tcPr>
          <w:p>
            <w:pPr>
              <w:spacing w:before="30" w:after="30"/>
            </w:pPr>
            <w:r>
              <w:rPr>
                <w:rFonts w:ascii="DM Sans" w:hAnsi="DM Sans" w:cs="DM Sans"/>
                <w:b w:val="0"/>
                <w:i w:val="0"/>
                <w:color w:val="050C2A"/>
                <w:sz w:val="20"/>
                <w:u w:val="none"/>
              </w:rPr>
              <w:t>25%</w:t>
            </w:r>
          </w:p>
        </w:tc>
        <w:tc>
          <w:tcPr>
            <w:tcW w:type="dxa" w:w="3731"/>
            <w:shd w:fill="F5F5F5" w:val="clear"/>
            <w:vAlign w:val="center"/>
          </w:tcPr>
          <w:p>
            <w:pPr>
              <w:spacing w:before="30" w:after="30"/>
            </w:pPr>
            <w:r>
              <w:rPr>
                <w:rFonts w:ascii="DM Sans" w:hAnsi="DM Sans" w:cs="DM Sans"/>
                <w:b w:val="0"/>
                <w:i w:val="0"/>
                <w:color w:val="050C2A"/>
                <w:sz w:val="20"/>
                <w:u w:val="none"/>
              </w:rPr>
              <w:t>Career &amp; Self-Development → Career Articulation; Growth Orientation</w:t>
            </w:r>
          </w:p>
        </w:tc>
        <w:tc>
          <w:tcPr>
            <w:tcW w:type="dxa" w:w="2280"/>
            <w:shd w:fill="F5F5F5" w:val="clear"/>
            <w:vAlign w:val="center"/>
          </w:tcPr>
          <w:p>
            <w:pPr>
              <w:spacing w:before="30" w:after="30"/>
            </w:pPr>
            <w:r>
              <w:rPr>
                <w:rFonts w:ascii="DM Sans" w:hAnsi="DM Sans" w:cs="DM Sans"/>
                <w:b w:val="0"/>
                <w:i w:val="0"/>
                <w:color w:val="050C2A"/>
                <w:sz w:val="20"/>
                <w:u w:val="none"/>
              </w:rPr>
              <w:t>Articulate Learning stage</w:t>
            </w:r>
          </w:p>
        </w:tc>
      </w:tr>
    </w:tbl>
    <w:p>
      <w:pPr>
        <w:spacing w:before="0" w:after="120"/>
      </w:pPr>
    </w:p>
    <w:p>
      <w:pPr>
        <w:spacing w:before="0" w:after="120" w:line="276" w:lineRule="auto"/>
      </w:pPr>
      <w:r>
        <w:rPr>
          <w:rFonts w:ascii="DM Sans" w:hAnsi="DM Sans" w:cs="DM Sans"/>
          <w:b/>
          <w:i w:val="0"/>
          <w:color w:val="050C2A"/>
          <w:sz w:val="20"/>
          <w:u w:val="none"/>
        </w:rPr>
        <w:t>Why four dimensions, not five:</w:t>
      </w:r>
      <w:r>
        <w:rPr>
          <w:rFonts w:ascii="DM Sans" w:hAnsi="DM Sans" w:cs="DM Sans"/>
          <w:b w:val="0"/>
          <w:i w:val="0"/>
          <w:color w:val="050C2A"/>
          <w:sz w:val="20"/>
          <w:u w:val="none"/>
        </w:rPr>
        <w:t xml:space="preserve"> The DEAL framework has three stages, and self-assessment is a cross-cutting quality. Four dimensions map cleanly to what's genuinely assessable in a reflection. Adding a fifth dimension (such as Writing Quality) would dilute the focus — reflections are assessed for the quality of thinking, not the quality of prose. Writing that is unclear enough to obscure the student's thinking will naturally depress scores on the other four dimensions without needing its own category.</w:t>
      </w:r>
    </w:p>
    <w:p>
      <w:pPr>
        <w:spacing w:before="0" w:after="120" w:line="276" w:lineRule="auto"/>
      </w:pPr>
      <w:r>
        <w:rPr>
          <w:rFonts w:ascii="DM Sans" w:hAnsi="DM Sans" w:cs="DM Sans"/>
          <w:b/>
          <w:i w:val="0"/>
          <w:color w:val="050C2A"/>
          <w:sz w:val="20"/>
          <w:u w:val="none"/>
        </w:rPr>
        <w:t>Why Personal Accountability is separate from Critical Examination:</w:t>
      </w:r>
      <w:r>
        <w:rPr>
          <w:rFonts w:ascii="DM Sans" w:hAnsi="DM Sans" w:cs="DM Sans"/>
          <w:b w:val="0"/>
          <w:i w:val="0"/>
          <w:color w:val="050C2A"/>
          <w:sz w:val="20"/>
          <w:u w:val="none"/>
        </w:rPr>
        <w:t xml:space="preserve"> A student can produce a technically competent examination — identifying patterns, naming assumptions, making connections — while remaining entirely external to the analysis. Personal Accountability captures whether the student turns the lens on themselves: their own assumptions, reactions, decisions, and limitations. This dimension assesses self-implication — the observable behavior of placing yourself inside the experience as an actor rather than standing outside it as a narrator. It is the difference between "the employer's feedback was confusing" and "I realized I'd been so invested in our original approach that I heard the feedback as criticism rather than redirection."</w:t>
      </w:r>
    </w:p>
    <w:p>
      <w:pPr>
        <w:spacing w:before="0" w:after="120" w:line="276" w:lineRule="auto"/>
      </w:pPr>
      <w:r>
        <w:rPr>
          <w:rFonts w:ascii="DM Sans" w:hAnsi="DM Sans" w:cs="DM Sans"/>
          <w:b/>
          <w:i w:val="0"/>
          <w:color w:val="050C2A"/>
          <w:sz w:val="20"/>
          <w:u w:val="none"/>
        </w:rPr>
        <w:t>Why no per-reflection competency dimension:</w:t>
      </w:r>
      <w:r>
        <w:rPr>
          <w:rFonts w:ascii="DM Sans" w:hAnsi="DM Sans" w:cs="DM Sans"/>
          <w:b w:val="0"/>
          <w:i w:val="0"/>
          <w:color w:val="050C2A"/>
          <w:sz w:val="20"/>
          <w:u w:val="none"/>
        </w:rPr>
        <w:t xml:space="preserve"> Each reflection foregrounds different competencies (Professionalism, Teamwork, Critical Thinking), but the rubric does not change to assess those competencies directly. The reflection rubric assesses the quality of reflective practice — the competency focus shapes the prompts, not the scoring criteria. Teamwork competence, for example, is assessed through the Professional Engagement component (peer evaluations and employer feedback), not through a student's ability to write about teamwork.</w:t>
      </w:r>
    </w:p>
    <w:p>
      <w:pPr>
        <w:spacing w:before="280" w:after="100"/>
      </w:pPr>
      <w:r>
        <w:rPr>
          <w:rFonts w:ascii="DM Sans" w:hAnsi="DM Sans" w:cs="DM Sans"/>
          <w:b/>
          <w:i w:val="0"/>
          <w:color w:val="050C2A"/>
          <w:sz w:val="28"/>
          <w:u w:val="none"/>
        </w:rPr>
        <w:t>Dimension 1: Descriptive Specificity</w:t>
      </w:r>
    </w:p>
    <w:p>
      <w:pPr>
        <w:spacing w:before="0" w:after="120" w:line="276" w:lineRule="auto"/>
      </w:pPr>
      <w:r>
        <w:rPr>
          <w:rFonts w:ascii="DM Sans" w:hAnsi="DM Sans" w:cs="DM Sans"/>
          <w:b w:val="0"/>
          <w:i/>
          <w:color w:val="050C2A"/>
          <w:sz w:val="20"/>
          <w:u w:val="none"/>
        </w:rPr>
        <w:t>Career &amp; Self-Development → Self-Awareness</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Describe stage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911"/>
            <w:shd w:fill="FF7C0A" w:val="clear"/>
            <w:vAlign w:val="center"/>
          </w:tcPr>
          <w:p>
            <w:pPr>
              <w:jc w:val="left"/>
              <w:spacing w:before="40" w:after="40"/>
            </w:pPr>
            <w:r>
              <w:rPr>
                <w:rFonts w:ascii="DM Sans" w:hAnsi="DM Sans" w:cs="DM Sans"/>
                <w:b/>
                <w:i w:val="0"/>
                <w:color w:val="FFFFFF"/>
                <w:sz w:val="20"/>
                <w:u w:val="none"/>
              </w:rPr>
              <w:t>Level</w:t>
            </w:r>
          </w:p>
        </w:tc>
        <w:tc>
          <w:tcPr>
            <w:tcW w:type="dxa" w:w="744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911"/>
            <w:vAlign w:val="center"/>
          </w:tcPr>
          <w:p>
            <w:pPr>
              <w:spacing w:before="30" w:after="30"/>
            </w:pPr>
            <w:r>
              <w:rPr>
                <w:rFonts w:ascii="DM Sans" w:hAnsi="DM Sans" w:cs="DM Sans"/>
                <w:b/>
                <w:i w:val="0"/>
                <w:color w:val="050C2A"/>
                <w:sz w:val="20"/>
                <w:u w:val="none"/>
              </w:rPr>
              <w:t>Exemplary (4)</w:t>
            </w:r>
          </w:p>
        </w:tc>
        <w:tc>
          <w:tcPr>
            <w:tcW w:type="dxa" w:w="7449"/>
            <w:vAlign w:val="center"/>
          </w:tcPr>
          <w:p>
            <w:pPr>
              <w:spacing w:before="30" w:after="30"/>
            </w:pPr>
            <w:r>
              <w:rPr>
                <w:rFonts w:ascii="DM Sans" w:hAnsi="DM Sans" w:cs="DM Sans"/>
                <w:b w:val="0"/>
                <w:i w:val="0"/>
                <w:color w:val="050C2A"/>
                <w:sz w:val="20"/>
                <w:u w:val="none"/>
              </w:rPr>
              <w:t>The experience is described with enough specificity that a reader who wasn't there could understand what happened. Details are concrete — who was involved, what was said or done, what the context was. The description is focused on a specific experience or tightly connected set of experiences rather than a broad summary of the phase.</w:t>
            </w:r>
          </w:p>
        </w:tc>
      </w:tr>
      <w:tr>
        <w:tc>
          <w:tcPr>
            <w:tcW w:type="dxa" w:w="1911"/>
            <w:shd w:fill="F5F5F5" w:val="clear"/>
            <w:vAlign w:val="center"/>
          </w:tcPr>
          <w:p>
            <w:pPr>
              <w:spacing w:before="30" w:after="30"/>
            </w:pPr>
            <w:r>
              <w:rPr>
                <w:rFonts w:ascii="DM Sans" w:hAnsi="DM Sans" w:cs="DM Sans"/>
                <w:b/>
                <w:i w:val="0"/>
                <w:color w:val="050C2A"/>
                <w:sz w:val="20"/>
                <w:u w:val="none"/>
              </w:rPr>
              <w:t>Proficient (3)</w:t>
            </w:r>
          </w:p>
        </w:tc>
        <w:tc>
          <w:tcPr>
            <w:tcW w:type="dxa" w:w="7449"/>
            <w:shd w:fill="F5F5F5" w:val="clear"/>
            <w:vAlign w:val="center"/>
          </w:tcPr>
          <w:p>
            <w:pPr>
              <w:spacing w:before="30" w:after="30"/>
            </w:pPr>
            <w:r>
              <w:rPr>
                <w:rFonts w:ascii="DM Sans" w:hAnsi="DM Sans" w:cs="DM Sans"/>
                <w:b w:val="0"/>
                <w:i w:val="0"/>
                <w:color w:val="050C2A"/>
                <w:sz w:val="20"/>
                <w:u w:val="none"/>
              </w:rPr>
              <w:t>The experience is identifiable and includes concrete details. A reader can follow what happened. The description is reasonably focused, though it may cover slightly more ground than necessary.</w:t>
            </w:r>
          </w:p>
        </w:tc>
      </w:tr>
      <w:tr>
        <w:tc>
          <w:tcPr>
            <w:tcW w:type="dxa" w:w="1911"/>
            <w:vAlign w:val="center"/>
          </w:tcPr>
          <w:p>
            <w:pPr>
              <w:spacing w:before="30" w:after="30"/>
            </w:pPr>
            <w:r>
              <w:rPr>
                <w:rFonts w:ascii="DM Sans" w:hAnsi="DM Sans" w:cs="DM Sans"/>
                <w:b/>
                <w:i w:val="0"/>
                <w:color w:val="050C2A"/>
                <w:sz w:val="20"/>
                <w:u w:val="none"/>
              </w:rPr>
              <w:t>Developing (2)</w:t>
            </w:r>
          </w:p>
        </w:tc>
        <w:tc>
          <w:tcPr>
            <w:tcW w:type="dxa" w:w="7449"/>
            <w:vAlign w:val="center"/>
          </w:tcPr>
          <w:p>
            <w:pPr>
              <w:spacing w:before="30" w:after="30"/>
            </w:pPr>
            <w:r>
              <w:rPr>
                <w:rFonts w:ascii="DM Sans" w:hAnsi="DM Sans" w:cs="DM Sans"/>
                <w:b w:val="0"/>
                <w:i w:val="0"/>
                <w:color w:val="050C2A"/>
                <w:sz w:val="20"/>
                <w:u w:val="none"/>
              </w:rPr>
              <w:t>The experience is described in general terms. A reader gets the gist but lacks the specifics needed to fully understand what happened. The description may be too broad — summarizing a phase rather than focusing on a specific experience.</w:t>
            </w:r>
          </w:p>
        </w:tc>
      </w:tr>
      <w:tr>
        <w:tc>
          <w:tcPr>
            <w:tcW w:type="dxa" w:w="1911"/>
            <w:shd w:fill="F5F5F5" w:val="clear"/>
            <w:vAlign w:val="center"/>
          </w:tcPr>
          <w:p>
            <w:pPr>
              <w:spacing w:before="30" w:after="30"/>
            </w:pPr>
            <w:r>
              <w:rPr>
                <w:rFonts w:ascii="DM Sans" w:hAnsi="DM Sans" w:cs="DM Sans"/>
                <w:b/>
                <w:i w:val="0"/>
                <w:color w:val="050C2A"/>
                <w:sz w:val="20"/>
                <w:u w:val="none"/>
              </w:rPr>
              <w:t>Emerging (1)</w:t>
            </w:r>
          </w:p>
        </w:tc>
        <w:tc>
          <w:tcPr>
            <w:tcW w:type="dxa" w:w="7449"/>
            <w:shd w:fill="F5F5F5" w:val="clear"/>
            <w:vAlign w:val="center"/>
          </w:tcPr>
          <w:p>
            <w:pPr>
              <w:spacing w:before="30" w:after="30"/>
            </w:pPr>
            <w:r>
              <w:rPr>
                <w:rFonts w:ascii="DM Sans" w:hAnsi="DM Sans" w:cs="DM Sans"/>
                <w:b w:val="0"/>
                <w:i w:val="0"/>
                <w:color w:val="050C2A"/>
                <w:sz w:val="20"/>
                <w:u w:val="none"/>
              </w:rPr>
              <w:t>The description is vague or abstract. It reads as a general account of the course phase rather than a specific experience. A reader cannot determine what actually happened.</w:t>
            </w:r>
          </w:p>
        </w:tc>
      </w:tr>
      <w:tr>
        <w:tc>
          <w:tcPr>
            <w:tcW w:type="dxa" w:w="1911"/>
            <w:vAlign w:val="center"/>
          </w:tcPr>
          <w:p>
            <w:pPr>
              <w:spacing w:before="30" w:after="30"/>
            </w:pPr>
            <w:r>
              <w:rPr>
                <w:rFonts w:ascii="DM Sans" w:hAnsi="DM Sans" w:cs="DM Sans"/>
                <w:b/>
                <w:i w:val="0"/>
                <w:color w:val="050C2A"/>
                <w:sz w:val="20"/>
                <w:u w:val="none"/>
              </w:rPr>
              <w:t>Not Acceptable (0)</w:t>
            </w:r>
          </w:p>
        </w:tc>
        <w:tc>
          <w:tcPr>
            <w:tcW w:type="dxa" w:w="7449"/>
            <w:vAlign w:val="center"/>
          </w:tcPr>
          <w:p>
            <w:pPr>
              <w:spacing w:before="30" w:after="30"/>
            </w:pPr>
            <w:r>
              <w:rPr>
                <w:rFonts w:ascii="DM Sans" w:hAnsi="DM Sans" w:cs="DM Sans"/>
                <w:b w:val="0"/>
                <w:i w:val="0"/>
                <w:color w:val="050C2A"/>
                <w:sz w:val="20"/>
                <w:u w:val="none"/>
              </w:rPr>
              <w:t>No meaningful description is provided. The Describe stage is missing, or the content is entirely generic — it could apply to any student in any project.</w:t>
            </w:r>
          </w:p>
        </w:tc>
      </w:tr>
    </w:tbl>
    <w:p>
      <w:pPr>
        <w:spacing w:before="0" w:after="120"/>
      </w:pPr>
    </w:p>
    <w:p>
      <w:pPr>
        <w:spacing w:before="280" w:after="100"/>
      </w:pPr>
      <w:r>
        <w:rPr>
          <w:rFonts w:ascii="DM Sans" w:hAnsi="DM Sans" w:cs="DM Sans"/>
          <w:b/>
          <w:i w:val="0"/>
          <w:color w:val="050C2A"/>
          <w:sz w:val="28"/>
          <w:u w:val="none"/>
        </w:rPr>
        <w:t>Dimension 2: Critical Examination</w:t>
      </w:r>
    </w:p>
    <w:p>
      <w:pPr>
        <w:spacing w:before="0" w:after="120" w:line="276" w:lineRule="auto"/>
      </w:pPr>
      <w:r>
        <w:rPr>
          <w:rFonts w:ascii="DM Sans" w:hAnsi="DM Sans" w:cs="DM Sans"/>
          <w:b w:val="0"/>
          <w:i/>
          <w:color w:val="050C2A"/>
          <w:sz w:val="20"/>
          <w:u w:val="none"/>
        </w:rPr>
        <w:t>Career &amp; Self-Development → Reflection; Critical Thinking</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Examine stage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800"/>
            <w:shd w:fill="FF7C0A" w:val="clear"/>
            <w:vAlign w:val="center"/>
          </w:tcPr>
          <w:p>
            <w:pPr>
              <w:jc w:val="left"/>
              <w:spacing w:before="40" w:after="40"/>
            </w:pPr>
            <w:r>
              <w:rPr>
                <w:rFonts w:ascii="DM Sans" w:hAnsi="DM Sans" w:cs="DM Sans"/>
                <w:b/>
                <w:i w:val="0"/>
                <w:color w:val="FFFFFF"/>
                <w:sz w:val="20"/>
                <w:u w:val="none"/>
              </w:rPr>
              <w:t>Level</w:t>
            </w:r>
          </w:p>
        </w:tc>
        <w:tc>
          <w:tcPr>
            <w:tcW w:type="dxa" w:w="7560"/>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800"/>
            <w:vAlign w:val="center"/>
          </w:tcPr>
          <w:p>
            <w:pPr>
              <w:spacing w:before="30" w:after="30"/>
            </w:pPr>
            <w:r>
              <w:rPr>
                <w:rFonts w:ascii="DM Sans" w:hAnsi="DM Sans" w:cs="DM Sans"/>
                <w:b/>
                <w:i w:val="0"/>
                <w:color w:val="050C2A"/>
                <w:sz w:val="20"/>
                <w:u w:val="none"/>
              </w:rPr>
              <w:t>Exemplary (4)</w:t>
            </w:r>
          </w:p>
        </w:tc>
        <w:tc>
          <w:tcPr>
            <w:tcW w:type="dxa" w:w="7560"/>
            <w:vAlign w:val="center"/>
          </w:tcPr>
          <w:p>
            <w:pPr>
              <w:spacing w:before="30" w:after="30"/>
            </w:pPr>
            <w:r>
              <w:rPr>
                <w:rFonts w:ascii="DM Sans" w:hAnsi="DM Sans" w:cs="DM Sans"/>
                <w:b w:val="0"/>
                <w:i w:val="0"/>
                <w:color w:val="050C2A"/>
                <w:sz w:val="20"/>
                <w:u w:val="none"/>
              </w:rPr>
              <w:t>The examination goes beyond narration to genuine analysis. The student identifies assumptions they were operating under, surfaces patterns or tensions they didn't fully see during the experience, and connects the experience to broader professional or personal understanding. The examination reveals something — it produces insight that wasn't obvious before the student sat down to write.</w:t>
            </w:r>
          </w:p>
        </w:tc>
      </w:tr>
      <w:tr>
        <w:tc>
          <w:tcPr>
            <w:tcW w:type="dxa" w:w="1800"/>
            <w:shd w:fill="F5F5F5" w:val="clear"/>
            <w:vAlign w:val="center"/>
          </w:tcPr>
          <w:p>
            <w:pPr>
              <w:spacing w:before="30" w:after="30"/>
            </w:pPr>
            <w:r>
              <w:rPr>
                <w:rFonts w:ascii="DM Sans" w:hAnsi="DM Sans" w:cs="DM Sans"/>
                <w:b/>
                <w:i w:val="0"/>
                <w:color w:val="050C2A"/>
                <w:sz w:val="20"/>
                <w:u w:val="none"/>
              </w:rPr>
              <w:t>Proficient (3)</w:t>
            </w:r>
          </w:p>
        </w:tc>
        <w:tc>
          <w:tcPr>
            <w:tcW w:type="dxa" w:w="7560"/>
            <w:shd w:fill="F5F5F5" w:val="clear"/>
            <w:vAlign w:val="center"/>
          </w:tcPr>
          <w:p>
            <w:pPr>
              <w:spacing w:before="30" w:after="30"/>
            </w:pPr>
            <w:r>
              <w:rPr>
                <w:rFonts w:ascii="DM Sans" w:hAnsi="DM Sans" w:cs="DM Sans"/>
                <w:b w:val="0"/>
                <w:i w:val="0"/>
                <w:color w:val="050C2A"/>
                <w:sz w:val="20"/>
                <w:u w:val="none"/>
              </w:rPr>
              <w:t>The examination engages meaningfully with the experience. The student identifies at least one assumption, pattern, or connection that moves beyond surface observation. The analysis is grounded in the specific experience described rather than in general principles.</w:t>
            </w:r>
          </w:p>
        </w:tc>
      </w:tr>
      <w:tr>
        <w:tc>
          <w:tcPr>
            <w:tcW w:type="dxa" w:w="1800"/>
            <w:vAlign w:val="center"/>
          </w:tcPr>
          <w:p>
            <w:pPr>
              <w:spacing w:before="30" w:after="30"/>
            </w:pPr>
            <w:r>
              <w:rPr>
                <w:rFonts w:ascii="DM Sans" w:hAnsi="DM Sans" w:cs="DM Sans"/>
                <w:b/>
                <w:i w:val="0"/>
                <w:color w:val="050C2A"/>
                <w:sz w:val="20"/>
                <w:u w:val="none"/>
              </w:rPr>
              <w:t>Developing (2)</w:t>
            </w:r>
          </w:p>
        </w:tc>
        <w:tc>
          <w:tcPr>
            <w:tcW w:type="dxa" w:w="7560"/>
            <w:vAlign w:val="center"/>
          </w:tcPr>
          <w:p>
            <w:pPr>
              <w:spacing w:before="30" w:after="30"/>
            </w:pPr>
            <w:r>
              <w:rPr>
                <w:rFonts w:ascii="DM Sans" w:hAnsi="DM Sans" w:cs="DM Sans"/>
                <w:b w:val="0"/>
                <w:i w:val="0"/>
                <w:color w:val="050C2A"/>
                <w:sz w:val="20"/>
                <w:u w:val="none"/>
              </w:rPr>
              <w:t>The examination stays at the surface. The student may restate the description with evaluative language added ("this was challenging," "I learned a lot") but does not interrogate the experience — assumptions are not identified, patterns are not surfaced, and connections to broader understanding are generic.</w:t>
            </w:r>
          </w:p>
        </w:tc>
      </w:tr>
      <w:tr>
        <w:tc>
          <w:tcPr>
            <w:tcW w:type="dxa" w:w="1800"/>
            <w:shd w:fill="F5F5F5" w:val="clear"/>
            <w:vAlign w:val="center"/>
          </w:tcPr>
          <w:p>
            <w:pPr>
              <w:spacing w:before="30" w:after="30"/>
            </w:pPr>
            <w:r>
              <w:rPr>
                <w:rFonts w:ascii="DM Sans" w:hAnsi="DM Sans" w:cs="DM Sans"/>
                <w:b/>
                <w:i w:val="0"/>
                <w:color w:val="050C2A"/>
                <w:sz w:val="20"/>
                <w:u w:val="none"/>
              </w:rPr>
              <w:t>Emerging (1)</w:t>
            </w:r>
          </w:p>
        </w:tc>
        <w:tc>
          <w:tcPr>
            <w:tcW w:type="dxa" w:w="7560"/>
            <w:shd w:fill="F5F5F5" w:val="clear"/>
            <w:vAlign w:val="center"/>
          </w:tcPr>
          <w:p>
            <w:pPr>
              <w:spacing w:before="30" w:after="30"/>
            </w:pPr>
            <w:r>
              <w:rPr>
                <w:rFonts w:ascii="DM Sans" w:hAnsi="DM Sans" w:cs="DM Sans"/>
                <w:b w:val="0"/>
                <w:i w:val="0"/>
                <w:color w:val="050C2A"/>
                <w:sz w:val="20"/>
                <w:u w:val="none"/>
              </w:rPr>
              <w:t>The examination is minimal or absent. The reflection moves directly from description to learning claims without meaningful analysis. What is presented as examination reads as continued description or as unsupported assertions about what the experience meant.</w:t>
            </w:r>
          </w:p>
        </w:tc>
      </w:tr>
      <w:tr>
        <w:tc>
          <w:tcPr>
            <w:tcW w:type="dxa" w:w="1800"/>
            <w:vAlign w:val="center"/>
          </w:tcPr>
          <w:p>
            <w:pPr>
              <w:spacing w:before="30" w:after="30"/>
            </w:pPr>
            <w:r>
              <w:rPr>
                <w:rFonts w:ascii="DM Sans" w:hAnsi="DM Sans" w:cs="DM Sans"/>
                <w:b/>
                <w:i w:val="0"/>
                <w:color w:val="050C2A"/>
                <w:sz w:val="20"/>
                <w:u w:val="none"/>
              </w:rPr>
              <w:t>Not Acceptable (0)</w:t>
            </w:r>
          </w:p>
        </w:tc>
        <w:tc>
          <w:tcPr>
            <w:tcW w:type="dxa" w:w="7560"/>
            <w:vAlign w:val="center"/>
          </w:tcPr>
          <w:p>
            <w:pPr>
              <w:spacing w:before="30" w:after="30"/>
            </w:pPr>
            <w:r>
              <w:rPr>
                <w:rFonts w:ascii="DM Sans" w:hAnsi="DM Sans" w:cs="DM Sans"/>
                <w:b w:val="0"/>
                <w:i w:val="0"/>
                <w:color w:val="050C2A"/>
                <w:sz w:val="20"/>
                <w:u w:val="none"/>
              </w:rPr>
              <w:t>No meaningful examination is present. The Examine stage is missing, or the content does not engage with the described experience in any analytical way.</w:t>
            </w:r>
          </w:p>
        </w:tc>
      </w:tr>
    </w:tbl>
    <w:p>
      <w:pPr>
        <w:spacing w:before="0" w:after="120"/>
      </w:pPr>
    </w:p>
    <w:p>
      <w:pPr>
        <w:spacing w:before="280" w:after="100"/>
      </w:pPr>
      <w:r>
        <w:rPr>
          <w:rFonts w:ascii="DM Sans" w:hAnsi="DM Sans" w:cs="DM Sans"/>
          <w:b/>
          <w:i w:val="0"/>
          <w:color w:val="050C2A"/>
          <w:sz w:val="28"/>
          <w:u w:val="none"/>
        </w:rPr>
        <w:t>Dimension 3: Personal Accountability</w:t>
      </w:r>
    </w:p>
    <w:p>
      <w:pPr>
        <w:spacing w:before="0" w:after="120" w:line="276" w:lineRule="auto"/>
      </w:pPr>
      <w:r>
        <w:rPr>
          <w:rFonts w:ascii="DM Sans" w:hAnsi="DM Sans" w:cs="DM Sans"/>
          <w:b w:val="0"/>
          <w:i/>
          <w:color w:val="050C2A"/>
          <w:sz w:val="20"/>
          <w:u w:val="none"/>
        </w:rPr>
        <w:t>Career &amp; Self-Development → Self-Awareness</w:t>
      </w:r>
      <w:r>
        <w:rPr>
          <w:rFonts w:ascii="DM Sans" w:hAnsi="DM Sans" w:cs="DM Sans"/>
          <w:b w:val="0"/>
          <w:i w:val="0"/>
          <w:color w:val="050C2A"/>
          <w:sz w:val="20"/>
          <w:u w:val="none"/>
        </w:rPr>
        <w:t xml:space="preserve"> </w:t>
      </w:r>
      <w:r>
        <w:rPr>
          <w:rFonts w:ascii="DM Sans" w:hAnsi="DM Sans" w:cs="DM Sans"/>
          <w:b w:val="0"/>
          <w:i/>
          <w:color w:val="050C2A"/>
          <w:sz w:val="20"/>
          <w:u w:val="none"/>
        </w:rPr>
        <w:t>Evaluates across all stages — whether the student examines their own role, assumptions, and limitations rather than only narrating external events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595"/>
            <w:shd w:fill="FF7C0A" w:val="clear"/>
            <w:vAlign w:val="center"/>
          </w:tcPr>
          <w:p>
            <w:pPr>
              <w:jc w:val="left"/>
              <w:spacing w:before="40" w:after="40"/>
            </w:pPr>
            <w:r>
              <w:rPr>
                <w:rFonts w:ascii="DM Sans" w:hAnsi="DM Sans" w:cs="DM Sans"/>
                <w:b/>
                <w:i w:val="0"/>
                <w:color w:val="FFFFFF"/>
                <w:sz w:val="20"/>
                <w:u w:val="none"/>
              </w:rPr>
              <w:t>Level</w:t>
            </w:r>
          </w:p>
        </w:tc>
        <w:tc>
          <w:tcPr>
            <w:tcW w:type="dxa" w:w="7765"/>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595"/>
            <w:vAlign w:val="center"/>
          </w:tcPr>
          <w:p>
            <w:pPr>
              <w:spacing w:before="30" w:after="30"/>
            </w:pPr>
            <w:r>
              <w:rPr>
                <w:rFonts w:ascii="DM Sans" w:hAnsi="DM Sans" w:cs="DM Sans"/>
                <w:b/>
                <w:i w:val="0"/>
                <w:color w:val="050C2A"/>
                <w:sz w:val="20"/>
                <w:u w:val="none"/>
              </w:rPr>
              <w:t>Exemplary (4)</w:t>
            </w:r>
          </w:p>
        </w:tc>
        <w:tc>
          <w:tcPr>
            <w:tcW w:type="dxa" w:w="7765"/>
            <w:vAlign w:val="center"/>
          </w:tcPr>
          <w:p>
            <w:pPr>
              <w:spacing w:before="30" w:after="30"/>
            </w:pPr>
            <w:r>
              <w:rPr>
                <w:rFonts w:ascii="DM Sans" w:hAnsi="DM Sans" w:cs="DM Sans"/>
                <w:b w:val="0"/>
                <w:i w:val="0"/>
                <w:color w:val="050C2A"/>
                <w:sz w:val="20"/>
                <w:u w:val="none"/>
              </w:rPr>
              <w:t>The student places themselves inside the experience as an actor — examining their own assumptions, decisions, reactions, and limitations rather than only describing what happened around them. The self-examination is specific rather than formulaic, referencing particular moments or choices rather than broad self-characterizations. The student names difficulty, uncertainty, or shortcoming in concrete terms and examines their own contribution to the situation rather than attributing outcomes solely to external factors.</w:t>
            </w:r>
          </w:p>
        </w:tc>
      </w:tr>
      <w:tr>
        <w:tc>
          <w:tcPr>
            <w:tcW w:type="dxa" w:w="1595"/>
            <w:shd w:fill="F5F5F5" w:val="clear"/>
            <w:vAlign w:val="center"/>
          </w:tcPr>
          <w:p>
            <w:pPr>
              <w:spacing w:before="30" w:after="30"/>
            </w:pPr>
            <w:r>
              <w:rPr>
                <w:rFonts w:ascii="DM Sans" w:hAnsi="DM Sans" w:cs="DM Sans"/>
                <w:b/>
                <w:i w:val="0"/>
                <w:color w:val="050C2A"/>
                <w:sz w:val="20"/>
                <w:u w:val="none"/>
              </w:rPr>
              <w:t>Proficient (3)</w:t>
            </w:r>
          </w:p>
        </w:tc>
        <w:tc>
          <w:tcPr>
            <w:tcW w:type="dxa" w:w="7765"/>
            <w:shd w:fill="F5F5F5" w:val="clear"/>
            <w:vAlign w:val="center"/>
          </w:tcPr>
          <w:p>
            <w:pPr>
              <w:spacing w:before="30" w:after="30"/>
            </w:pPr>
            <w:r>
              <w:rPr>
                <w:rFonts w:ascii="DM Sans" w:hAnsi="DM Sans" w:cs="DM Sans"/>
                <w:b w:val="0"/>
                <w:i w:val="0"/>
                <w:color w:val="050C2A"/>
                <w:sz w:val="20"/>
                <w:u w:val="none"/>
              </w:rPr>
              <w:t>The student examines their own role in the experience, including areas of difficulty or uncertainty. The self-examination is grounded in specific aspects of the experience rather than purely general statements. The student looks inward at some point in the reflection rather than remaining entirely focused on external events.</w:t>
            </w:r>
          </w:p>
        </w:tc>
      </w:tr>
      <w:tr>
        <w:tc>
          <w:tcPr>
            <w:tcW w:type="dxa" w:w="1595"/>
            <w:vAlign w:val="center"/>
          </w:tcPr>
          <w:p>
            <w:pPr>
              <w:spacing w:before="30" w:after="30"/>
            </w:pPr>
            <w:r>
              <w:rPr>
                <w:rFonts w:ascii="DM Sans" w:hAnsi="DM Sans" w:cs="DM Sans"/>
                <w:b/>
                <w:i w:val="0"/>
                <w:color w:val="050C2A"/>
                <w:sz w:val="20"/>
                <w:u w:val="none"/>
              </w:rPr>
              <w:t>Developing (2)</w:t>
            </w:r>
          </w:p>
        </w:tc>
        <w:tc>
          <w:tcPr>
            <w:tcW w:type="dxa" w:w="7765"/>
            <w:vAlign w:val="center"/>
          </w:tcPr>
          <w:p>
            <w:pPr>
              <w:spacing w:before="30" w:after="30"/>
            </w:pPr>
            <w:r>
              <w:rPr>
                <w:rFonts w:ascii="DM Sans" w:hAnsi="DM Sans" w:cs="DM Sans"/>
                <w:b w:val="0"/>
                <w:i w:val="0"/>
                <w:color w:val="050C2A"/>
                <w:sz w:val="20"/>
                <w:u w:val="none"/>
              </w:rPr>
              <w:t>The student acknowledges their role in broad terms ("I struggled with time management") but does not examine specific decisions, assumptions, or reactions with any depth. Self-examination reads as obligatory — the student names a limitation but does not engage with what drove it or what it reveals.</w:t>
            </w:r>
          </w:p>
        </w:tc>
      </w:tr>
      <w:tr>
        <w:tc>
          <w:tcPr>
            <w:tcW w:type="dxa" w:w="1595"/>
            <w:shd w:fill="F5F5F5" w:val="clear"/>
            <w:vAlign w:val="center"/>
          </w:tcPr>
          <w:p>
            <w:pPr>
              <w:spacing w:before="30" w:after="30"/>
            </w:pPr>
            <w:r>
              <w:rPr>
                <w:rFonts w:ascii="DM Sans" w:hAnsi="DM Sans" w:cs="DM Sans"/>
                <w:b/>
                <w:i w:val="0"/>
                <w:color w:val="050C2A"/>
                <w:sz w:val="20"/>
                <w:u w:val="none"/>
              </w:rPr>
              <w:t>Emerging (1)</w:t>
            </w:r>
          </w:p>
        </w:tc>
        <w:tc>
          <w:tcPr>
            <w:tcW w:type="dxa" w:w="7765"/>
            <w:shd w:fill="F5F5F5" w:val="clear"/>
            <w:vAlign w:val="center"/>
          </w:tcPr>
          <w:p>
            <w:pPr>
              <w:spacing w:before="30" w:after="30"/>
            </w:pPr>
            <w:r>
              <w:rPr>
                <w:rFonts w:ascii="DM Sans" w:hAnsi="DM Sans" w:cs="DM Sans"/>
                <w:b w:val="0"/>
                <w:i w:val="0"/>
                <w:color w:val="050C2A"/>
                <w:sz w:val="20"/>
                <w:u w:val="none"/>
              </w:rPr>
              <w:t>The student remains largely external to the experience. The account focuses on what happened around them — team dynamics, employer behavior, project circumstances — without examining their own thinking, choices, or role in shaping the outcome.</w:t>
            </w:r>
          </w:p>
        </w:tc>
      </w:tr>
      <w:tr>
        <w:tc>
          <w:tcPr>
            <w:tcW w:type="dxa" w:w="1595"/>
            <w:vAlign w:val="center"/>
          </w:tcPr>
          <w:p>
            <w:pPr>
              <w:spacing w:before="30" w:after="30"/>
            </w:pPr>
            <w:r>
              <w:rPr>
                <w:rFonts w:ascii="DM Sans" w:hAnsi="DM Sans" w:cs="DM Sans"/>
                <w:b/>
                <w:i w:val="0"/>
                <w:color w:val="050C2A"/>
                <w:sz w:val="20"/>
                <w:u w:val="none"/>
              </w:rPr>
              <w:t>Not Acceptable (0)</w:t>
            </w:r>
          </w:p>
        </w:tc>
        <w:tc>
          <w:tcPr>
            <w:tcW w:type="dxa" w:w="7765"/>
            <w:vAlign w:val="center"/>
          </w:tcPr>
          <w:p>
            <w:pPr>
              <w:spacing w:before="30" w:after="30"/>
            </w:pPr>
            <w:r>
              <w:rPr>
                <w:rFonts w:ascii="DM Sans" w:hAnsi="DM Sans" w:cs="DM Sans"/>
                <w:b w:val="0"/>
                <w:i w:val="0"/>
                <w:color w:val="050C2A"/>
                <w:sz w:val="20"/>
                <w:u w:val="none"/>
              </w:rPr>
              <w:t>No self-examination is present. The reflection reads as a third-person account of events with no evidence that the student considered their own assumptions, decisions, or role in the experience.</w:t>
            </w:r>
          </w:p>
        </w:tc>
      </w:tr>
    </w:tbl>
    <w:p>
      <w:pPr>
        <w:spacing w:before="0" w:after="120"/>
      </w:pPr>
    </w:p>
    <w:p>
      <w:pPr>
        <w:spacing w:before="280" w:after="100"/>
      </w:pPr>
      <w:r>
        <w:rPr>
          <w:rFonts w:ascii="DM Sans" w:hAnsi="DM Sans" w:cs="DM Sans"/>
          <w:b/>
          <w:i w:val="0"/>
          <w:color w:val="050C2A"/>
          <w:sz w:val="28"/>
          <w:u w:val="none"/>
        </w:rPr>
        <w:t>Dimension 4: Articulation of Learning</w:t>
      </w:r>
    </w:p>
    <w:p>
      <w:pPr>
        <w:spacing w:before="0" w:after="120" w:line="276" w:lineRule="auto"/>
      </w:pPr>
      <w:r>
        <w:rPr>
          <w:rFonts w:ascii="DM Sans" w:hAnsi="DM Sans" w:cs="DM Sans"/>
          <w:b w:val="0"/>
          <w:i/>
          <w:color w:val="050C2A"/>
          <w:sz w:val="20"/>
          <w:u w:val="none"/>
        </w:rPr>
        <w:t>Career &amp; Self-Development → Career Articulation, Growth Orientation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the Articulate Learning stage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776"/>
            <w:shd w:fill="FF7C0A" w:val="clear"/>
            <w:vAlign w:val="center"/>
          </w:tcPr>
          <w:p>
            <w:pPr>
              <w:jc w:val="left"/>
              <w:spacing w:before="40" w:after="40"/>
            </w:pPr>
            <w:r>
              <w:rPr>
                <w:rFonts w:ascii="DM Sans" w:hAnsi="DM Sans" w:cs="DM Sans"/>
                <w:b/>
                <w:i w:val="0"/>
                <w:color w:val="FFFFFF"/>
                <w:sz w:val="20"/>
                <w:u w:val="none"/>
              </w:rPr>
              <w:t>Level</w:t>
            </w:r>
          </w:p>
        </w:tc>
        <w:tc>
          <w:tcPr>
            <w:tcW w:type="dxa" w:w="7584"/>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776"/>
            <w:vAlign w:val="center"/>
          </w:tcPr>
          <w:p>
            <w:pPr>
              <w:spacing w:before="30" w:after="30"/>
            </w:pPr>
            <w:r>
              <w:rPr>
                <w:rFonts w:ascii="DM Sans" w:hAnsi="DM Sans" w:cs="DM Sans"/>
                <w:b/>
                <w:i w:val="0"/>
                <w:color w:val="050C2A"/>
                <w:sz w:val="20"/>
                <w:u w:val="none"/>
              </w:rPr>
              <w:t>Exemplary (4)</w:t>
            </w:r>
          </w:p>
        </w:tc>
        <w:tc>
          <w:tcPr>
            <w:tcW w:type="dxa" w:w="7584"/>
            <w:vAlign w:val="center"/>
          </w:tcPr>
          <w:p>
            <w:pPr>
              <w:spacing w:before="30" w:after="30"/>
            </w:pPr>
            <w:r>
              <w:rPr>
                <w:rFonts w:ascii="DM Sans" w:hAnsi="DM Sans" w:cs="DM Sans"/>
                <w:b w:val="0"/>
                <w:i w:val="0"/>
                <w:color w:val="050C2A"/>
                <w:sz w:val="20"/>
                <w:u w:val="none"/>
              </w:rPr>
              <w:t>The articulated learning is specific, transferable, and credibly derived from the examination. It identifies a principle, understanding, or capability that extends beyond this experience and this project. The student can name where and how this learning might apply in a future context. The learning statement is honest — it reflects what the student actually learned, not what sounds most impressive.</w:t>
            </w:r>
          </w:p>
        </w:tc>
      </w:tr>
      <w:tr>
        <w:tc>
          <w:tcPr>
            <w:tcW w:type="dxa" w:w="1776"/>
            <w:shd w:fill="F5F5F5" w:val="clear"/>
            <w:vAlign w:val="center"/>
          </w:tcPr>
          <w:p>
            <w:pPr>
              <w:spacing w:before="30" w:after="30"/>
            </w:pPr>
            <w:r>
              <w:rPr>
                <w:rFonts w:ascii="DM Sans" w:hAnsi="DM Sans" w:cs="DM Sans"/>
                <w:b/>
                <w:i w:val="0"/>
                <w:color w:val="050C2A"/>
                <w:sz w:val="20"/>
                <w:u w:val="none"/>
              </w:rPr>
              <w:t>Proficient (3)</w:t>
            </w:r>
          </w:p>
        </w:tc>
        <w:tc>
          <w:tcPr>
            <w:tcW w:type="dxa" w:w="7584"/>
            <w:shd w:fill="F5F5F5" w:val="clear"/>
            <w:vAlign w:val="center"/>
          </w:tcPr>
          <w:p>
            <w:pPr>
              <w:spacing w:before="30" w:after="30"/>
            </w:pPr>
            <w:r>
              <w:rPr>
                <w:rFonts w:ascii="DM Sans" w:hAnsi="DM Sans" w:cs="DM Sans"/>
                <w:b w:val="0"/>
                <w:i w:val="0"/>
                <w:color w:val="050C2A"/>
                <w:sz w:val="20"/>
                <w:u w:val="none"/>
              </w:rPr>
              <w:t>The articulated learning follows logically from the examination and identifies something the student will carry forward. It is specific enough to be meaningful, even if the application to future contexts is not fully developed.</w:t>
            </w:r>
          </w:p>
        </w:tc>
      </w:tr>
      <w:tr>
        <w:tc>
          <w:tcPr>
            <w:tcW w:type="dxa" w:w="1776"/>
            <w:vAlign w:val="center"/>
          </w:tcPr>
          <w:p>
            <w:pPr>
              <w:spacing w:before="30" w:after="30"/>
            </w:pPr>
            <w:r>
              <w:rPr>
                <w:rFonts w:ascii="DM Sans" w:hAnsi="DM Sans" w:cs="DM Sans"/>
                <w:b/>
                <w:i w:val="0"/>
                <w:color w:val="050C2A"/>
                <w:sz w:val="20"/>
                <w:u w:val="none"/>
              </w:rPr>
              <w:t>Developing (2)</w:t>
            </w:r>
          </w:p>
        </w:tc>
        <w:tc>
          <w:tcPr>
            <w:tcW w:type="dxa" w:w="7584"/>
            <w:vAlign w:val="center"/>
          </w:tcPr>
          <w:p>
            <w:pPr>
              <w:spacing w:before="30" w:after="30"/>
            </w:pPr>
            <w:r>
              <w:rPr>
                <w:rFonts w:ascii="DM Sans" w:hAnsi="DM Sans" w:cs="DM Sans"/>
                <w:b w:val="0"/>
                <w:i w:val="0"/>
                <w:color w:val="050C2A"/>
                <w:sz w:val="20"/>
                <w:u w:val="none"/>
              </w:rPr>
              <w:t>The articulated learning is present but generic. It could apply to almost any student in any experiential learning course ("I learned that teamwork is important," "Communication matters more than I thought"). The connection to the specific examination is loose — the learning statement doesn't clearly emerge from the analysis.</w:t>
            </w:r>
          </w:p>
        </w:tc>
      </w:tr>
      <w:tr>
        <w:tc>
          <w:tcPr>
            <w:tcW w:type="dxa" w:w="1776"/>
            <w:shd w:fill="F5F5F5" w:val="clear"/>
            <w:vAlign w:val="center"/>
          </w:tcPr>
          <w:p>
            <w:pPr>
              <w:spacing w:before="30" w:after="30"/>
            </w:pPr>
            <w:r>
              <w:rPr>
                <w:rFonts w:ascii="DM Sans" w:hAnsi="DM Sans" w:cs="DM Sans"/>
                <w:b/>
                <w:i w:val="0"/>
                <w:color w:val="050C2A"/>
                <w:sz w:val="20"/>
                <w:u w:val="none"/>
              </w:rPr>
              <w:t>Emerging (1)</w:t>
            </w:r>
          </w:p>
        </w:tc>
        <w:tc>
          <w:tcPr>
            <w:tcW w:type="dxa" w:w="7584"/>
            <w:shd w:fill="F5F5F5" w:val="clear"/>
            <w:vAlign w:val="center"/>
          </w:tcPr>
          <w:p>
            <w:pPr>
              <w:spacing w:before="30" w:after="30"/>
            </w:pPr>
            <w:r>
              <w:rPr>
                <w:rFonts w:ascii="DM Sans" w:hAnsi="DM Sans" w:cs="DM Sans"/>
                <w:b w:val="0"/>
                <w:i w:val="0"/>
                <w:color w:val="050C2A"/>
                <w:sz w:val="20"/>
                <w:u w:val="none"/>
              </w:rPr>
              <w:t>The articulated learning is vague, disconnected from the examination, or absent. What is presented as learning reads as a general statement about the value of the experience rather than a specific insight the student extracted.</w:t>
            </w:r>
          </w:p>
        </w:tc>
      </w:tr>
      <w:tr>
        <w:tc>
          <w:tcPr>
            <w:tcW w:type="dxa" w:w="1776"/>
            <w:vAlign w:val="center"/>
          </w:tcPr>
          <w:p>
            <w:pPr>
              <w:spacing w:before="30" w:after="30"/>
            </w:pPr>
            <w:r>
              <w:rPr>
                <w:rFonts w:ascii="DM Sans" w:hAnsi="DM Sans" w:cs="DM Sans"/>
                <w:b/>
                <w:i w:val="0"/>
                <w:color w:val="050C2A"/>
                <w:sz w:val="20"/>
                <w:u w:val="none"/>
              </w:rPr>
              <w:t>Not Acceptable (0)</w:t>
            </w:r>
          </w:p>
        </w:tc>
        <w:tc>
          <w:tcPr>
            <w:tcW w:type="dxa" w:w="7584"/>
            <w:vAlign w:val="center"/>
          </w:tcPr>
          <w:p>
            <w:pPr>
              <w:spacing w:before="30" w:after="30"/>
            </w:pPr>
            <w:r>
              <w:rPr>
                <w:rFonts w:ascii="DM Sans" w:hAnsi="DM Sans" w:cs="DM Sans"/>
                <w:b w:val="0"/>
                <w:i w:val="0"/>
                <w:color w:val="050C2A"/>
                <w:sz w:val="20"/>
                <w:u w:val="none"/>
              </w:rPr>
              <w:t>No meaningful articulation of learning is provided. The Articulate Learning stage is missing, or the content is entirely generic — it bears no visible relationship to the experience described or the examination conducted.</w:t>
            </w:r>
          </w:p>
        </w:tc>
      </w:tr>
    </w:tbl>
    <w:p>
      <w:pPr>
        <w:spacing w:before="0" w:after="120"/>
      </w:pPr>
    </w:p>
    <w:p>
      <w:pPr>
        <w:spacing w:before="280" w:after="100"/>
      </w:pPr>
      <w:r>
        <w:rPr>
          <w:rFonts w:ascii="DM Sans" w:hAnsi="DM Sans" w:cs="DM Sans"/>
          <w:b/>
          <w:i w:val="0"/>
          <w:color w:val="050C2A"/>
          <w:sz w:val="28"/>
          <w:u w:val="none"/>
        </w:rPr>
        <w:t>Design Principles</w:t>
      </w:r>
    </w:p>
    <w:p>
      <w:pPr>
        <w:spacing w:before="0" w:after="120" w:line="276" w:lineRule="auto"/>
      </w:pPr>
      <w:r>
        <w:rPr>
          <w:rFonts w:ascii="DM Sans" w:hAnsi="DM Sans" w:cs="DM Sans"/>
          <w:b w:val="0"/>
          <w:i w:val="0"/>
          <w:color w:val="050C2A"/>
          <w:sz w:val="20"/>
          <w:u w:val="none"/>
        </w:rPr>
        <w:t>The following principles guided rubric construction and should inform any future refinement.</w:t>
      </w:r>
    </w:p>
    <w:p>
      <w:pPr>
        <w:spacing w:before="0" w:after="120" w:line="276" w:lineRule="auto"/>
      </w:pP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Every dimension was written Proficient-first. Proficient describes a reflection a reasonable instructor would accept without hesitation but wouldn't single out as exceptional. All other levels calibrate off it.</w:t>
      </w:r>
    </w:p>
    <w:p>
      <w:pPr>
        <w:spacing w:before="0" w:after="120" w:line="276" w:lineRule="auto"/>
      </w:pPr>
      <w:r>
        <w:rPr>
          <w:rFonts w:ascii="DM Sans" w:hAnsi="DM Sans" w:cs="DM Sans"/>
          <w:b/>
          <w:i w:val="0"/>
          <w:color w:val="050C2A"/>
          <w:sz w:val="20"/>
          <w:u w:val="none"/>
        </w:rPr>
        <w:t>Every phrase is observable from the submission.</w:t>
      </w:r>
      <w:r>
        <w:rPr>
          <w:rFonts w:ascii="DM Sans" w:hAnsi="DM Sans" w:cs="DM Sans"/>
          <w:b w:val="0"/>
          <w:i w:val="0"/>
          <w:color w:val="050C2A"/>
          <w:sz w:val="20"/>
          <w:u w:val="none"/>
        </w:rPr>
        <w:t xml:space="preserve"> Evaluators do not need to cross-reference the student's intake questionnaire, the project brief, or any other source to apply the rubric. If a descriptor requires comparison to another source, it was reframed around what's visible on the page.</w:t>
      </w:r>
    </w:p>
    <w:p>
      <w:pPr>
        <w:spacing w:before="0" w:after="120" w:line="276" w:lineRule="auto"/>
      </w:pPr>
      <w:r>
        <w:rPr>
          <w:rFonts w:ascii="DM Sans" w:hAnsi="DM Sans" w:cs="DM Sans"/>
          <w:b/>
          <w:i w:val="0"/>
          <w:color w:val="050C2A"/>
          <w:sz w:val="20"/>
          <w:u w:val="none"/>
        </w:rPr>
        <w:t>Descriptors are tight; the grading guide carries examples.</w:t>
      </w:r>
      <w:r>
        <w:rPr>
          <w:rFonts w:ascii="DM Sans" w:hAnsi="DM Sans" w:cs="DM Sans"/>
          <w:b w:val="0"/>
          <w:i w:val="0"/>
          <w:color w:val="050C2A"/>
          <w:sz w:val="20"/>
          <w:u w:val="none"/>
        </w:rPr>
        <w:t xml:space="preserve"> The rubric is precise but not exhaustive. Concrete illustrations of what descriptors look like in practice belong in a companion grading guide, not the rubric itself. This keeps the rubric usable for both students and evaluators.</w:t>
      </w:r>
    </w:p>
    <w:p>
      <w:pPr>
        <w:spacing w:before="0" w:after="120" w:line="276" w:lineRule="auto"/>
      </w:pPr>
      <w:r>
        <w:rPr>
          <w:rFonts w:ascii="DM Sans" w:hAnsi="DM Sans" w:cs="DM Sans"/>
          <w:b/>
          <w:i w:val="0"/>
          <w:color w:val="050C2A"/>
          <w:sz w:val="20"/>
          <w:u w:val="none"/>
        </w:rPr>
        <w:t>Dimensions have clean boundaries.</w:t>
      </w:r>
      <w:r>
        <w:rPr>
          <w:rFonts w:ascii="DM Sans" w:hAnsi="DM Sans" w:cs="DM Sans"/>
          <w:b w:val="0"/>
          <w:i w:val="0"/>
          <w:color w:val="050C2A"/>
          <w:sz w:val="20"/>
          <w:u w:val="none"/>
        </w:rPr>
        <w:t xml:space="preserve"> Each dimension assesses one thing and is silent on the others. Descriptive Specificity measures concreteness and focus of the account. Critical Examination measures analytical depth and insight. Personal Accountability measures whether the student examines their own role, assumptions, and limitations. Articulation of Learning measures the quality and transferability of the extracted insight. No dimension double-counts what another already captures.</w:t>
      </w:r>
    </w:p>
    <w:p>
      <w:pPr>
        <w:spacing w:before="0" w:after="120" w:line="276" w:lineRule="auto"/>
      </w:pPr>
      <w:r>
        <w:rPr>
          <w:rFonts w:ascii="DM Sans" w:hAnsi="DM Sans" w:cs="DM Sans"/>
          <w:b/>
          <w:i w:val="0"/>
          <w:color w:val="050C2A"/>
          <w:sz w:val="20"/>
          <w:u w:val="none"/>
        </w:rPr>
        <w:t>The same rubric applies to all five reflections.</w:t>
      </w:r>
      <w:r>
        <w:rPr>
          <w:rFonts w:ascii="DM Sans" w:hAnsi="DM Sans" w:cs="DM Sans"/>
          <w:b w:val="0"/>
          <w:i w:val="0"/>
          <w:color w:val="050C2A"/>
          <w:sz w:val="20"/>
          <w:u w:val="none"/>
        </w:rPr>
        <w:t xml:space="preserve"> The rubric does not change across the portfolio. What changes is the evaluator's expectations for depth, which increase naturally as students gain fluency with the framework. The growth trajectory table above provides calibration guidance, but the rubric descriptors themselves remain constant — Exemplary means the same thing in Week 3 and Week 15.</w:t>
      </w:r>
    </w:p>
    <w:p>
      <w:pPr>
        <w:spacing w:before="0" w:after="120" w:line="276" w:lineRule="auto"/>
      </w:pPr>
      <w:r>
        <w:rPr>
          <w:rFonts w:ascii="DM Sans" w:hAnsi="DM Sans" w:cs="DM Sans"/>
          <w:b/>
          <w:i w:val="0"/>
          <w:color w:val="050C2A"/>
          <w:sz w:val="20"/>
          <w:u w:val="none"/>
        </w:rPr>
        <w:t>Self-implication is weighted.</w:t>
      </w:r>
      <w:r>
        <w:rPr>
          <w:rFonts w:ascii="DM Sans" w:hAnsi="DM Sans" w:cs="DM Sans"/>
          <w:b w:val="0"/>
          <w:i w:val="0"/>
          <w:color w:val="050C2A"/>
          <w:sz w:val="20"/>
          <w:u w:val="none"/>
        </w:rPr>
        <w:t xml:space="preserve"> Personal Accountability occupies a full 25% of the rubric because externalized reflection is the most common failure mode in experiential learning courses. Students who produce analytically competent examinations of events happening around them — without ever examining their own role in those events — have not engaged in the reflective practice the portfolio is designed to develop. This dimension exists to reward the harder, more valuable work of turning the analytical lens on yourself.</w:t>
      </w:r>
    </w:p>
    <w:p>
      <w:pPr>
        <w:spacing w:before="280" w:after="100"/>
      </w:pPr>
      <w:r>
        <w:rPr>
          <w:rFonts w:ascii="DM Sans" w:hAnsi="DM Sans" w:cs="DM Sans"/>
          <w:b/>
          <w:i w:val="0"/>
          <w:color w:val="050C2A"/>
          <w:sz w:val="28"/>
          <w:u w:val="none"/>
        </w:rPr>
        <w:t>Competency Reporting</w:t>
      </w:r>
    </w:p>
    <w:p>
      <w:pPr>
        <w:spacing w:before="0" w:after="120" w:line="276" w:lineRule="auto"/>
      </w:pPr>
      <w:r>
        <w:rPr>
          <w:rFonts w:ascii="DM Sans" w:hAnsi="DM Sans" w:cs="DM Sans"/>
          <w:b w:val="0"/>
          <w:i w:val="0"/>
          <w:color w:val="050C2A"/>
          <w:sz w:val="20"/>
          <w:u w:val="none"/>
        </w:rPr>
        <w:t>Each reflection generates competency evidence as follows: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216"/>
            <w:shd w:fill="FF7C0A" w:val="clear"/>
            <w:vAlign w:val="center"/>
          </w:tcPr>
          <w:p>
            <w:pPr>
              <w:jc w:val="left"/>
              <w:spacing w:before="40" w:after="40"/>
            </w:pPr>
            <w:r>
              <w:rPr>
                <w:rFonts w:ascii="DM Sans" w:hAnsi="DM Sans" w:cs="DM Sans"/>
                <w:b/>
                <w:i w:val="0"/>
                <w:color w:val="FFFFFF"/>
                <w:sz w:val="20"/>
                <w:u w:val="none"/>
              </w:rPr>
              <w:t>Dimension</w:t>
            </w:r>
          </w:p>
        </w:tc>
        <w:tc>
          <w:tcPr>
            <w:tcW w:type="dxa" w:w="3282"/>
            <w:shd w:fill="FF7C0A" w:val="clear"/>
            <w:vAlign w:val="center"/>
          </w:tcPr>
          <w:p>
            <w:pPr>
              <w:jc w:val="left"/>
              <w:spacing w:before="40" w:after="40"/>
            </w:pPr>
            <w:r>
              <w:rPr>
                <w:rFonts w:ascii="DM Sans" w:hAnsi="DM Sans" w:cs="DM Sans"/>
                <w:b/>
                <w:i w:val="0"/>
                <w:color w:val="FFFFFF"/>
                <w:sz w:val="20"/>
                <w:u w:val="none"/>
              </w:rPr>
              <w:t>Primary Competency</w:t>
            </w:r>
          </w:p>
        </w:tc>
        <w:tc>
          <w:tcPr>
            <w:tcW w:type="dxa" w:w="2862"/>
            <w:shd w:fill="FF7C0A" w:val="clear"/>
            <w:vAlign w:val="center"/>
          </w:tcPr>
          <w:p>
            <w:pPr>
              <w:jc w:val="left"/>
              <w:spacing w:before="40" w:after="40"/>
            </w:pPr>
            <w:r>
              <w:rPr>
                <w:rFonts w:ascii="DM Sans" w:hAnsi="DM Sans" w:cs="DM Sans"/>
                <w:b/>
                <w:i w:val="0"/>
                <w:color w:val="FFFFFF"/>
                <w:sz w:val="20"/>
                <w:u w:val="none"/>
              </w:rPr>
              <w:t>Subskill</w:t>
            </w:r>
          </w:p>
        </w:tc>
      </w:tr>
      <w:tr>
        <w:tc>
          <w:tcPr>
            <w:tcW w:type="dxa" w:w="3216"/>
            <w:vAlign w:val="center"/>
          </w:tcPr>
          <w:p>
            <w:pPr>
              <w:spacing w:before="30" w:after="30"/>
            </w:pPr>
            <w:r>
              <w:rPr>
                <w:rFonts w:ascii="DM Sans" w:hAnsi="DM Sans" w:cs="DM Sans"/>
                <w:b w:val="0"/>
                <w:i w:val="0"/>
                <w:color w:val="050C2A"/>
                <w:sz w:val="20"/>
                <w:u w:val="none"/>
              </w:rPr>
              <w:t>Descriptive Specificity</w:t>
            </w:r>
          </w:p>
        </w:tc>
        <w:tc>
          <w:tcPr>
            <w:tcW w:type="dxa" w:w="3282"/>
            <w:vAlign w:val="center"/>
          </w:tcPr>
          <w:p>
            <w:pPr>
              <w:spacing w:before="30" w:after="30"/>
            </w:pPr>
            <w:r>
              <w:rPr>
                <w:rFonts w:ascii="DM Sans" w:hAnsi="DM Sans" w:cs="DM Sans"/>
                <w:b w:val="0"/>
                <w:i w:val="0"/>
                <w:color w:val="050C2A"/>
                <w:sz w:val="20"/>
                <w:u w:val="none"/>
              </w:rPr>
              <w:t>Career &amp; Self-Development</w:t>
            </w:r>
          </w:p>
        </w:tc>
        <w:tc>
          <w:tcPr>
            <w:tcW w:type="dxa" w:w="2862"/>
            <w:vAlign w:val="center"/>
          </w:tcPr>
          <w:p>
            <w:pPr>
              <w:spacing w:before="30" w:after="30"/>
            </w:pPr>
            <w:r>
              <w:rPr>
                <w:rFonts w:ascii="DM Sans" w:hAnsi="DM Sans" w:cs="DM Sans"/>
                <w:b w:val="0"/>
                <w:i w:val="0"/>
                <w:color w:val="050C2A"/>
                <w:sz w:val="20"/>
                <w:u w:val="none"/>
              </w:rPr>
              <w:t>Self-Awareness</w:t>
            </w:r>
          </w:p>
        </w:tc>
      </w:tr>
      <w:tr>
        <w:tc>
          <w:tcPr>
            <w:tcW w:type="dxa" w:w="3216"/>
            <w:shd w:fill="F5F5F5" w:val="clear"/>
            <w:vAlign w:val="center"/>
          </w:tcPr>
          <w:p>
            <w:pPr>
              <w:spacing w:before="30" w:after="30"/>
            </w:pPr>
            <w:r>
              <w:rPr>
                <w:rFonts w:ascii="DM Sans" w:hAnsi="DM Sans" w:cs="DM Sans"/>
                <w:b w:val="0"/>
                <w:i w:val="0"/>
                <w:color w:val="050C2A"/>
                <w:sz w:val="20"/>
                <w:u w:val="none"/>
              </w:rPr>
              <w:t>Critical Examination</w:t>
            </w:r>
          </w:p>
        </w:tc>
        <w:tc>
          <w:tcPr>
            <w:tcW w:type="dxa" w:w="3282"/>
            <w:shd w:fill="F5F5F5" w:val="clear"/>
            <w:vAlign w:val="center"/>
          </w:tcPr>
          <w:p>
            <w:pPr>
              <w:spacing w:before="30" w:after="30"/>
            </w:pPr>
            <w:r>
              <w:rPr>
                <w:rFonts w:ascii="DM Sans" w:hAnsi="DM Sans" w:cs="DM Sans"/>
                <w:b w:val="0"/>
                <w:i w:val="0"/>
                <w:color w:val="050C2A"/>
                <w:sz w:val="20"/>
                <w:u w:val="none"/>
              </w:rPr>
              <w:t>Career &amp; Self-Development</w:t>
            </w:r>
          </w:p>
        </w:tc>
        <w:tc>
          <w:tcPr>
            <w:tcW w:type="dxa" w:w="2862"/>
            <w:shd w:fill="F5F5F5" w:val="clear"/>
            <w:vAlign w:val="center"/>
          </w:tcPr>
          <w:p>
            <w:pPr>
              <w:spacing w:before="30" w:after="30"/>
            </w:pPr>
            <w:r>
              <w:rPr>
                <w:rFonts w:ascii="DM Sans" w:hAnsi="DM Sans" w:cs="DM Sans"/>
                <w:b w:val="0"/>
                <w:i w:val="0"/>
                <w:color w:val="050C2A"/>
                <w:sz w:val="20"/>
                <w:u w:val="none"/>
              </w:rPr>
              <w:t>Reflection</w:t>
            </w:r>
          </w:p>
        </w:tc>
      </w:tr>
      <w:tr>
        <w:tc>
          <w:tcPr>
            <w:tcW w:type="dxa" w:w="3216"/>
            <w:vAlign w:val="center"/>
          </w:tcPr>
          <w:p>
            <w:pPr>
              <w:spacing w:before="30" w:after="30"/>
            </w:pPr>
            <w:r>
              <w:rPr>
                <w:rFonts w:ascii="DM Sans" w:hAnsi="DM Sans" w:cs="DM Sans"/>
                <w:b w:val="0"/>
                <w:i w:val="0"/>
                <w:color w:val="050C2A"/>
                <w:sz w:val="20"/>
                <w:u w:val="none"/>
              </w:rPr>
              <w:t>Personal Accountability</w:t>
            </w:r>
          </w:p>
        </w:tc>
        <w:tc>
          <w:tcPr>
            <w:tcW w:type="dxa" w:w="3282"/>
            <w:vAlign w:val="center"/>
          </w:tcPr>
          <w:p>
            <w:pPr>
              <w:spacing w:before="30" w:after="30"/>
            </w:pPr>
            <w:r>
              <w:rPr>
                <w:rFonts w:ascii="DM Sans" w:hAnsi="DM Sans" w:cs="DM Sans"/>
                <w:b w:val="0"/>
                <w:i w:val="0"/>
                <w:color w:val="050C2A"/>
                <w:sz w:val="20"/>
                <w:u w:val="none"/>
              </w:rPr>
              <w:t>Career &amp; Self-Development</w:t>
            </w:r>
          </w:p>
        </w:tc>
        <w:tc>
          <w:tcPr>
            <w:tcW w:type="dxa" w:w="2862"/>
            <w:vAlign w:val="center"/>
          </w:tcPr>
          <w:p>
            <w:pPr>
              <w:spacing w:before="30" w:after="30"/>
            </w:pPr>
            <w:r>
              <w:rPr>
                <w:rFonts w:ascii="DM Sans" w:hAnsi="DM Sans" w:cs="DM Sans"/>
                <w:b w:val="0"/>
                <w:i w:val="0"/>
                <w:color w:val="050C2A"/>
                <w:sz w:val="20"/>
                <w:u w:val="none"/>
              </w:rPr>
              <w:t>Self-Awareness</w:t>
            </w:r>
          </w:p>
        </w:tc>
      </w:tr>
      <w:tr>
        <w:tc>
          <w:tcPr>
            <w:tcW w:type="dxa" w:w="3216"/>
            <w:shd w:fill="F5F5F5" w:val="clear"/>
            <w:vAlign w:val="center"/>
          </w:tcPr>
          <w:p>
            <w:pPr>
              <w:spacing w:before="30" w:after="30"/>
            </w:pPr>
            <w:r>
              <w:rPr>
                <w:rFonts w:ascii="DM Sans" w:hAnsi="DM Sans" w:cs="DM Sans"/>
                <w:b w:val="0"/>
                <w:i w:val="0"/>
                <w:color w:val="050C2A"/>
                <w:sz w:val="20"/>
                <w:u w:val="none"/>
              </w:rPr>
              <w:t>Articulation of Learning</w:t>
            </w:r>
          </w:p>
        </w:tc>
        <w:tc>
          <w:tcPr>
            <w:tcW w:type="dxa" w:w="3282"/>
            <w:shd w:fill="F5F5F5" w:val="clear"/>
            <w:vAlign w:val="center"/>
          </w:tcPr>
          <w:p>
            <w:pPr>
              <w:spacing w:before="30" w:after="30"/>
            </w:pPr>
            <w:r>
              <w:rPr>
                <w:rFonts w:ascii="DM Sans" w:hAnsi="DM Sans" w:cs="DM Sans"/>
                <w:b w:val="0"/>
                <w:i w:val="0"/>
                <w:color w:val="050C2A"/>
                <w:sz w:val="20"/>
                <w:u w:val="none"/>
              </w:rPr>
              <w:t>Career &amp; Self-Development</w:t>
            </w:r>
          </w:p>
        </w:tc>
        <w:tc>
          <w:tcPr>
            <w:tcW w:type="dxa" w:w="2862"/>
            <w:shd w:fill="F5F5F5" w:val="clear"/>
            <w:vAlign w:val="center"/>
          </w:tcPr>
          <w:p>
            <w:pPr>
              <w:spacing w:before="30" w:after="30"/>
            </w:pPr>
            <w:r>
              <w:rPr>
                <w:rFonts w:ascii="DM Sans" w:hAnsi="DM Sans" w:cs="DM Sans"/>
                <w:b w:val="0"/>
                <w:i w:val="0"/>
                <w:color w:val="050C2A"/>
                <w:sz w:val="20"/>
                <w:u w:val="none"/>
              </w:rPr>
              <w:t>Career Articulation</w:t>
            </w:r>
          </w:p>
        </w:tc>
      </w:tr>
    </w:tbl>
    <w:p>
      <w:pPr>
        <w:spacing w:before="0" w:after="120"/>
      </w:pPr>
    </w:p>
    <w:p>
      <w:pPr>
        <w:spacing w:before="0" w:after="120" w:line="276" w:lineRule="auto"/>
      </w:pPr>
      <w:r>
        <w:rPr>
          <w:rFonts w:ascii="DM Sans" w:hAnsi="DM Sans" w:cs="DM Sans"/>
          <w:b w:val="0"/>
          <w:i w:val="0"/>
          <w:color w:val="050C2A"/>
          <w:sz w:val="20"/>
          <w:u w:val="none"/>
        </w:rPr>
        <w:t>Additionally, each reflection's focus area generates secondary competency evidence through the content of the examination:</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211"/>
            <w:shd w:fill="FF7C0A" w:val="clear"/>
            <w:vAlign w:val="center"/>
          </w:tcPr>
          <w:p>
            <w:pPr>
              <w:jc w:val="left"/>
              <w:spacing w:before="40" w:after="40"/>
            </w:pPr>
            <w:r>
              <w:rPr>
                <w:rFonts w:ascii="DM Sans" w:hAnsi="DM Sans" w:cs="DM Sans"/>
                <w:b/>
                <w:i w:val="0"/>
                <w:color w:val="FFFFFF"/>
                <w:sz w:val="20"/>
                <w:u w:val="none"/>
              </w:rPr>
              <w:t>Reflection</w:t>
            </w:r>
          </w:p>
        </w:tc>
        <w:tc>
          <w:tcPr>
            <w:tcW w:type="dxa" w:w="6149"/>
            <w:shd w:fill="FF7C0A" w:val="clear"/>
            <w:vAlign w:val="center"/>
          </w:tcPr>
          <w:p>
            <w:pPr>
              <w:jc w:val="left"/>
              <w:spacing w:before="40" w:after="40"/>
            </w:pPr>
            <w:r>
              <w:rPr>
                <w:rFonts w:ascii="DM Sans" w:hAnsi="DM Sans" w:cs="DM Sans"/>
                <w:b/>
                <w:i w:val="0"/>
                <w:color w:val="FFFFFF"/>
                <w:sz w:val="20"/>
                <w:u w:val="none"/>
              </w:rPr>
              <w:t>Secondary Competency Evidence</w:t>
            </w:r>
          </w:p>
        </w:tc>
      </w:tr>
      <w:tr>
        <w:tc>
          <w:tcPr>
            <w:tcW w:type="dxa" w:w="3211"/>
            <w:vAlign w:val="center"/>
          </w:tcPr>
          <w:p>
            <w:pPr>
              <w:spacing w:before="30" w:after="30"/>
            </w:pPr>
            <w:r>
              <w:rPr>
                <w:rFonts w:ascii="DM Sans" w:hAnsi="DM Sans" w:cs="DM Sans"/>
                <w:b w:val="0"/>
                <w:i w:val="0"/>
                <w:color w:val="050C2A"/>
                <w:sz w:val="20"/>
                <w:u w:val="none"/>
              </w:rPr>
              <w:t>#1 (Week 3)</w:t>
            </w:r>
          </w:p>
        </w:tc>
        <w:tc>
          <w:tcPr>
            <w:tcW w:type="dxa" w:w="6149"/>
            <w:vAlign w:val="center"/>
          </w:tcPr>
          <w:p>
            <w:pPr>
              <w:spacing w:before="30" w:after="30"/>
            </w:pPr>
            <w:r>
              <w:rPr>
                <w:rFonts w:ascii="DM Sans" w:hAnsi="DM Sans" w:cs="DM Sans"/>
                <w:b w:val="0"/>
                <w:i w:val="0"/>
                <w:color w:val="050C2A"/>
                <w:sz w:val="20"/>
                <w:u w:val="none"/>
              </w:rPr>
              <w:t>— (baseline; no secondary)</w:t>
            </w:r>
          </w:p>
        </w:tc>
      </w:tr>
      <w:tr>
        <w:tc>
          <w:tcPr>
            <w:tcW w:type="dxa" w:w="3211"/>
            <w:shd w:fill="F5F5F5" w:val="clear"/>
            <w:vAlign w:val="center"/>
          </w:tcPr>
          <w:p>
            <w:pPr>
              <w:spacing w:before="30" w:after="30"/>
            </w:pPr>
            <w:r>
              <w:rPr>
                <w:rFonts w:ascii="DM Sans" w:hAnsi="DM Sans" w:cs="DM Sans"/>
                <w:b w:val="0"/>
                <w:i w:val="0"/>
                <w:color w:val="050C2A"/>
                <w:sz w:val="20"/>
                <w:u w:val="none"/>
              </w:rPr>
              <w:t>#2 (Week 6)</w:t>
            </w:r>
          </w:p>
        </w:tc>
        <w:tc>
          <w:tcPr>
            <w:tcW w:type="dxa" w:w="6149"/>
            <w:shd w:fill="F5F5F5" w:val="clear"/>
            <w:vAlign w:val="center"/>
          </w:tcPr>
          <w:p>
            <w:pPr>
              <w:spacing w:before="30" w:after="30"/>
            </w:pPr>
            <w:r>
              <w:rPr>
                <w:rFonts w:ascii="DM Sans" w:hAnsi="DM Sans" w:cs="DM Sans"/>
                <w:b w:val="0"/>
                <w:i w:val="0"/>
                <w:color w:val="050C2A"/>
                <w:sz w:val="20"/>
                <w:u w:val="none"/>
              </w:rPr>
              <w:t>Professionalism → Initiative</w:t>
            </w:r>
          </w:p>
        </w:tc>
      </w:tr>
      <w:tr>
        <w:tc>
          <w:tcPr>
            <w:tcW w:type="dxa" w:w="3211"/>
            <w:vAlign w:val="center"/>
          </w:tcPr>
          <w:p>
            <w:pPr>
              <w:spacing w:before="30" w:after="30"/>
            </w:pPr>
            <w:r>
              <w:rPr>
                <w:rFonts w:ascii="DM Sans" w:hAnsi="DM Sans" w:cs="DM Sans"/>
                <w:b w:val="0"/>
                <w:i w:val="0"/>
                <w:color w:val="050C2A"/>
                <w:sz w:val="20"/>
                <w:u w:val="none"/>
              </w:rPr>
              <w:t>#3 (Week 9)</w:t>
            </w:r>
          </w:p>
        </w:tc>
        <w:tc>
          <w:tcPr>
            <w:tcW w:type="dxa" w:w="6149"/>
            <w:vAlign w:val="center"/>
          </w:tcPr>
          <w:p>
            <w:pPr>
              <w:spacing w:before="30" w:after="30"/>
            </w:pPr>
            <w:r>
              <w:rPr>
                <w:rFonts w:ascii="DM Sans" w:hAnsi="DM Sans" w:cs="DM Sans"/>
                <w:b w:val="0"/>
                <w:i w:val="0"/>
                <w:color w:val="050C2A"/>
                <w:sz w:val="20"/>
                <w:u w:val="none"/>
              </w:rPr>
              <w:t>Teamwork → Constructive Feedback</w:t>
            </w:r>
          </w:p>
        </w:tc>
      </w:tr>
      <w:tr>
        <w:tc>
          <w:tcPr>
            <w:tcW w:type="dxa" w:w="3211"/>
            <w:shd w:fill="F5F5F5" w:val="clear"/>
            <w:vAlign w:val="center"/>
          </w:tcPr>
          <w:p>
            <w:pPr>
              <w:spacing w:before="30" w:after="30"/>
            </w:pPr>
            <w:r>
              <w:rPr>
                <w:rFonts w:ascii="DM Sans" w:hAnsi="DM Sans" w:cs="DM Sans"/>
                <w:b w:val="0"/>
                <w:i w:val="0"/>
                <w:color w:val="050C2A"/>
                <w:sz w:val="20"/>
                <w:u w:val="none"/>
              </w:rPr>
              <w:t>#4 (Week 12)</w:t>
            </w:r>
          </w:p>
        </w:tc>
        <w:tc>
          <w:tcPr>
            <w:tcW w:type="dxa" w:w="6149"/>
            <w:shd w:fill="F5F5F5" w:val="clear"/>
            <w:vAlign w:val="center"/>
          </w:tcPr>
          <w:p>
            <w:pPr>
              <w:spacing w:before="30" w:after="30"/>
            </w:pPr>
            <w:r>
              <w:rPr>
                <w:rFonts w:ascii="DM Sans" w:hAnsi="DM Sans" w:cs="DM Sans"/>
                <w:b w:val="0"/>
                <w:i w:val="0"/>
                <w:color w:val="050C2A"/>
                <w:sz w:val="20"/>
                <w:u w:val="none"/>
              </w:rPr>
              <w:t>Critical Thinking → Evidence-Based Reasoning</w:t>
            </w:r>
          </w:p>
        </w:tc>
      </w:tr>
      <w:tr>
        <w:tc>
          <w:tcPr>
            <w:tcW w:type="dxa" w:w="3211"/>
            <w:vAlign w:val="center"/>
          </w:tcPr>
          <w:p>
            <w:pPr>
              <w:spacing w:before="30" w:after="30"/>
            </w:pPr>
            <w:r>
              <w:rPr>
                <w:rFonts w:ascii="DM Sans" w:hAnsi="DM Sans" w:cs="DM Sans"/>
                <w:b w:val="0"/>
                <w:i w:val="0"/>
                <w:color w:val="050C2A"/>
                <w:sz w:val="20"/>
                <w:u w:val="none"/>
              </w:rPr>
              <w:t>#5 (Week 15)</w:t>
            </w:r>
          </w:p>
        </w:tc>
        <w:tc>
          <w:tcPr>
            <w:tcW w:type="dxa" w:w="6149"/>
            <w:vAlign w:val="center"/>
          </w:tcPr>
          <w:p>
            <w:pPr>
              <w:spacing w:before="30" w:after="30"/>
            </w:pPr>
            <w:r>
              <w:rPr>
                <w:rFonts w:ascii="DM Sans" w:hAnsi="DM Sans" w:cs="DM Sans"/>
                <w:b w:val="0"/>
                <w:i w:val="0"/>
                <w:color w:val="050C2A"/>
                <w:sz w:val="20"/>
                <w:u w:val="none"/>
              </w:rPr>
              <w:t>Synthesis across all competencies</w:t>
            </w:r>
          </w:p>
        </w:tc>
      </w:tr>
    </w:tbl>
    <w:p>
      <w:pPr>
        <w:spacing w:before="0" w:after="120"/>
      </w:pPr>
    </w:p>
    <w:p>
      <w:pPr>
        <w:spacing w:before="0" w:after="120" w:line="276" w:lineRule="auto"/>
      </w:pPr>
      <w:r>
        <w:rPr>
          <w:rFonts w:ascii="DM Sans" w:hAnsi="DM Sans" w:cs="DM Sans"/>
          <w:b w:val="0"/>
          <w:i w:val="0"/>
          <w:color w:val="050C2A"/>
          <w:sz w:val="20"/>
          <w:u w:val="none"/>
        </w:rPr>
        <w:t>Secondary evidence is captured through the content of the reflection, not through additional rubric dimensions. A strong Reflection #3, for example, will naturally contain evidence of the student's Teamwork competency because the prompt directs them to examine feedback and collaboration experiences — but the rubric scores the quality of the reflective practice, not the Teamwork competency directly.</w:t>
      </w:r>
    </w:p>
    <w:p>
      <w:pPr>
        <w:spacing w:before="280" w:after="100"/>
      </w:pPr>
      <w:r>
        <w:rPr>
          <w:rFonts w:ascii="DM Sans" w:hAnsi="DM Sans" w:cs="DM Sans"/>
          <w:b/>
          <w:i w:val="0"/>
          <w:color w:val="050C2A"/>
          <w:sz w:val="28"/>
          <w:u w:val="none"/>
        </w:rPr>
        <w:t>Related Documents</w:t>
      </w:r>
    </w:p>
    <w:p>
      <w:pPr>
        <w:spacing w:before="0" w:after="120" w:line="276" w:lineRule="auto"/>
      </w:pPr>
      <w:r>
        <w:rPr>
          <w:rFonts w:ascii="DM Sans" w:hAnsi="DM Sans" w:cs="DM Sans"/>
          <w:b/>
          <w:i w:val="0"/>
          <w:color w:val="050C2A"/>
          <w:sz w:val="20"/>
          <w:u w:val="none"/>
        </w:rPr>
        <w:t>Course Structure:</w:t>
      </w:r>
      <w:r>
        <w:rPr>
          <w:rFonts w:ascii="DM Sans" w:hAnsi="DM Sans" w:cs="DM Sans"/>
          <w:b w:val="0"/>
          <w:i w:val="0"/>
          <w:color w:val="050C2A"/>
          <w:sz w:val="20"/>
          <w:u w:val="none"/>
        </w:rPr>
        <w:t xml:space="preserve"> Full 15-week schedule with reflection timing and phase transitions</w:t>
      </w:r>
    </w:p>
    <w:p>
      <w:pPr>
        <w:spacing w:before="0" w:after="120" w:line="276" w:lineRule="auto"/>
      </w:pPr>
      <w:r>
        <w:rPr>
          <w:rFonts w:ascii="DM Sans" w:hAnsi="DM Sans" w:cs="DM Sans"/>
          <w:b/>
          <w:i w:val="0"/>
          <w:color w:val="050C2A"/>
          <w:sz w:val="20"/>
          <w:u w:val="none"/>
        </w:rPr>
        <w:t>Assessment Strategy:</w:t>
      </w:r>
      <w:r>
        <w:rPr>
          <w:rFonts w:ascii="DM Sans" w:hAnsi="DM Sans" w:cs="DM Sans"/>
          <w:b w:val="0"/>
          <w:i w:val="0"/>
          <w:color w:val="050C2A"/>
          <w:sz w:val="20"/>
          <w:u w:val="none"/>
        </w:rPr>
        <w:t xml:space="preserve"> Evidence architecture, grading weights, and rubric strategy</w:t>
      </w:r>
    </w:p>
    <w:p>
      <w:pPr>
        <w:spacing w:before="0" w:after="120" w:line="276" w:lineRule="auto"/>
      </w:pPr>
      <w:r>
        <w:rPr>
          <w:rFonts w:ascii="DM Sans" w:hAnsi="DM Sans" w:cs="DM Sans"/>
          <w:b/>
          <w:i w:val="0"/>
          <w:color w:val="050C2A"/>
          <w:sz w:val="20"/>
          <w:u w:val="none"/>
        </w:rPr>
        <w:t>Competency Framework:</w:t>
      </w:r>
      <w:r>
        <w:rPr>
          <w:rFonts w:ascii="DM Sans" w:hAnsi="DM Sans" w:cs="DM Sans"/>
          <w:b w:val="0"/>
          <w:i w:val="0"/>
          <w:color w:val="050C2A"/>
          <w:sz w:val="20"/>
          <w:u w:val="none"/>
        </w:rPr>
        <w:t xml:space="preserve"> The five NACE competencies and their subskills</w:t>
      </w:r>
    </w:p>
    <w:p>
      <w:pPr>
        <w:spacing w:before="0" w:after="120" w:line="276" w:lineRule="auto"/>
      </w:pPr>
      <w:r>
        <w:rPr>
          <w:rFonts w:ascii="DM Sans" w:hAnsi="DM Sans" w:cs="DM Sans"/>
          <w:b/>
          <w:i w:val="0"/>
          <w:color w:val="050C2A"/>
          <w:sz w:val="20"/>
          <w:u w:val="none"/>
        </w:rPr>
        <w:t>Context Analysis Rubric:</w:t>
      </w:r>
      <w:r>
        <w:rPr>
          <w:rFonts w:ascii="DM Sans" w:hAnsi="DM Sans" w:cs="DM Sans"/>
          <w:b w:val="0"/>
          <w:i w:val="0"/>
          <w:color w:val="050C2A"/>
          <w:sz w:val="20"/>
          <w:u w:val="none"/>
        </w:rPr>
        <w:t xml:space="preserve"> First graded deliverable rubric (shared design principles and scale)</w:t>
      </w:r>
    </w:p>
    <w:p>
      <w:pPr>
        <w:spacing w:before="0" w:after="120" w:line="276" w:lineRule="auto"/>
      </w:pPr>
      <w:r>
        <w:rPr>
          <w:rFonts w:ascii="DM Sans" w:hAnsi="DM Sans" w:cs="DM Sans"/>
          <w:b/>
          <w:i w:val="0"/>
          <w:color w:val="050C2A"/>
          <w:sz w:val="20"/>
          <w:u w:val="none"/>
        </w:rPr>
        <w:t>Deliverables Guide:</w:t>
      </w:r>
      <w:r>
        <w:rPr>
          <w:rFonts w:ascii="DM Sans" w:hAnsi="DM Sans" w:cs="DM Sans"/>
          <w:b w:val="0"/>
          <w:i w:val="0"/>
          <w:color w:val="050C2A"/>
          <w:sz w:val="20"/>
          <w:u w:val="none"/>
        </w:rPr>
        <w:t xml:space="preserve"> Week-by-week specifications including reflection placement</w:t>
      </w:r>
    </w:p>
    <w:p>
      <w:pPr>
        <w:spacing w:before="0" w:after="120" w:line="276" w:lineRule="auto"/>
      </w:pPr>
      <w:r>
        <w:rPr>
          <w:rFonts w:ascii="DM Sans" w:hAnsi="DM Sans" w:cs="DM Sans"/>
          <w:b/>
          <w:i w:val="0"/>
          <w:color w:val="050C2A"/>
          <w:sz w:val="20"/>
          <w:u w:val="none"/>
        </w:rPr>
        <w:t>Reflection Grading Guide:</w:t>
      </w:r>
      <w:r>
        <w:rPr>
          <w:rFonts w:ascii="DM Sans" w:hAnsi="DM Sans" w:cs="DM Sans"/>
          <w:b w:val="0"/>
          <w:i w:val="0"/>
          <w:color w:val="050C2A"/>
          <w:sz w:val="20"/>
          <w:u w:val="none"/>
        </w:rPr>
        <w:t xml:space="preserve"> </w:t>
      </w:r>
      <w:r>
        <w:rPr>
          <w:rFonts w:ascii="DM Sans" w:hAnsi="DM Sans" w:cs="DM Sans"/>
          <w:b w:val="0"/>
          <w:i/>
          <w:color w:val="050C2A"/>
          <w:sz w:val="20"/>
          <w:u w:val="none"/>
        </w:rPr>
        <w:t>(companion document — to be developed)</w:t>
      </w:r>
      <w:r>
        <w:rPr>
          <w:rFonts w:ascii="DM Sans" w:hAnsi="DM Sans" w:cs="DM Sans"/>
          <w:b w:val="0"/>
          <w:i w:val="0"/>
          <w:color w:val="050C2A"/>
          <w:sz w:val="20"/>
          <w:u w:val="none"/>
        </w:rPr>
        <w:t xml:space="preserve"> Calibration tool with concrete examples at each level for each dimension</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