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pPr>
      <w:r>
        <w:rPr>
          <w:rFonts w:ascii="DM Sans" w:hAnsi="DM Sans" w:cs="DM Sans"/>
          <w:b/>
          <w:i w:val="0"/>
          <w:color w:val="050C2A"/>
          <w:sz w:val="20"/>
          <w:u w:val="none"/>
        </w:rPr>
        <w:t>RIIPEN CAREER CATALYST</w:t>
      </w:r>
      <w:r>
        <w:rPr>
          <w:rFonts w:ascii="DM Sans" w:hAnsi="DM Sans" w:cs="DM Sans"/>
          <w:b w:val="0"/>
          <w:i w:val="0"/>
          <w:color w:val="050C2A"/>
          <w:sz w:val="20"/>
          <w:u w:val="none"/>
        </w:rPr>
        <w:t xml:space="preserve"> Weekly Design Document</w:t>
      </w:r>
    </w:p>
    <w:p>
      <w:pPr>
        <w:spacing w:before="0" w:after="120" w:line="276" w:lineRule="auto"/>
      </w:pPr>
      <w:r>
        <w:rPr>
          <w:rFonts w:ascii="DM Sans" w:hAnsi="DM Sans" w:cs="DM Sans"/>
          <w:b/>
          <w:i w:val="0"/>
          <w:color w:val="050C2A"/>
          <w:sz w:val="20"/>
          <w:u w:val="none"/>
        </w:rPr>
        <w:t>Week 1 — Getting Started</w:t>
      </w:r>
    </w:p>
    <w:p>
      <w:pPr>
        <w:pBdr>
          <w:bottom w:val="single" w:sz="6" w:space="1" w:color="ACACAC"/>
        </w:pBdr>
        <w:spacing w:before="120" w:after="120"/>
      </w:pPr>
    </w:p>
    <w:p>
      <w:pPr>
        <w:spacing w:before="360" w:after="0"/>
      </w:pPr>
      <w:r>
        <w:rPr>
          <w:rFonts w:ascii="DM Sans" w:hAnsi="DM Sans" w:cs="DM Sans"/>
          <w:b/>
          <w:i w:val="0"/>
          <w:color w:val="FF7C0A"/>
          <w:sz w:val="34"/>
          <w:u w:val="none"/>
        </w:rPr>
        <w:t>At a Glance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3690"/>
            <w:shd w:fill="FF7C0A" w:val="clear"/>
            <w:vAlign w:val="center"/>
          </w:tcPr>
          <w:p>
            <w:pPr>
              <w:jc w:val="left"/>
              <w:spacing w:before="40" w:after="40"/>
            </w:pPr>
            <w:r>
              <w:rPr>
                <w:rFonts w:ascii="DM Sans" w:hAnsi="DM Sans" w:cs="DM Sans"/>
                <w:b/>
                <w:i w:val="0"/>
                <w:color w:val="FFFFFF"/>
                <w:sz w:val="20"/>
                <w:u w:val="none"/>
              </w:rPr>
            </w:r>
          </w:p>
        </w:tc>
        <w:tc>
          <w:tcPr>
            <w:tcW w:type="dxa" w:w="5670"/>
            <w:shd w:fill="FF7C0A" w:val="clear"/>
            <w:vAlign w:val="center"/>
          </w:tcPr>
          <w:p>
            <w:pPr>
              <w:jc w:val="left"/>
              <w:spacing w:before="40" w:after="40"/>
            </w:pPr>
            <w:r>
              <w:rPr>
                <w:rFonts w:ascii="DM Sans" w:hAnsi="DM Sans" w:cs="DM Sans"/>
                <w:b/>
                <w:i w:val="0"/>
                <w:color w:val="FFFFFF"/>
                <w:sz w:val="20"/>
                <w:u w:val="none"/>
              </w:rPr>
            </w:r>
          </w:p>
        </w:tc>
      </w:tr>
      <w:tr>
        <w:tc>
          <w:tcPr>
            <w:tcW w:type="dxa" w:w="3690"/>
            <w:vAlign w:val="center"/>
          </w:tcPr>
          <w:p>
            <w:pPr>
              <w:spacing w:before="30" w:after="30"/>
            </w:pPr>
            <w:r>
              <w:rPr>
                <w:rFonts w:ascii="DM Sans" w:hAnsi="DM Sans" w:cs="DM Sans"/>
                <w:b/>
                <w:i w:val="0"/>
                <w:color w:val="050C2A"/>
                <w:sz w:val="20"/>
                <w:u w:val="none"/>
              </w:rPr>
              <w:t>Phase</w:t>
            </w:r>
          </w:p>
        </w:tc>
        <w:tc>
          <w:tcPr>
            <w:tcW w:type="dxa" w:w="5670"/>
            <w:vAlign w:val="center"/>
          </w:tcPr>
          <w:p>
            <w:pPr>
              <w:spacing w:before="30" w:after="30"/>
            </w:pPr>
            <w:r>
              <w:rPr>
                <w:rFonts w:ascii="DM Sans" w:hAnsi="DM Sans" w:cs="DM Sans"/>
                <w:b w:val="0"/>
                <w:i w:val="0"/>
                <w:color w:val="050C2A"/>
                <w:sz w:val="20"/>
                <w:u w:val="none"/>
              </w:rPr>
              <w:t>Foundation</w:t>
            </w:r>
          </w:p>
        </w:tc>
      </w:tr>
      <w:tr>
        <w:tc>
          <w:tcPr>
            <w:tcW w:type="dxa" w:w="3690"/>
            <w:shd w:fill="F5F5F5" w:val="clear"/>
            <w:vAlign w:val="center"/>
          </w:tcPr>
          <w:p>
            <w:pPr>
              <w:spacing w:before="30" w:after="30"/>
            </w:pPr>
            <w:r>
              <w:rPr>
                <w:rFonts w:ascii="DM Sans" w:hAnsi="DM Sans" w:cs="DM Sans"/>
                <w:b/>
                <w:i w:val="0"/>
                <w:color w:val="050C2A"/>
                <w:sz w:val="20"/>
                <w:u w:val="none"/>
              </w:rPr>
              <w:t>Module Title</w:t>
            </w:r>
          </w:p>
        </w:tc>
        <w:tc>
          <w:tcPr>
            <w:tcW w:type="dxa" w:w="5670"/>
            <w:shd w:fill="F5F5F5" w:val="clear"/>
            <w:vAlign w:val="center"/>
          </w:tcPr>
          <w:p>
            <w:pPr>
              <w:spacing w:before="30" w:after="30"/>
            </w:pPr>
            <w:r>
              <w:rPr>
                <w:rFonts w:ascii="DM Sans" w:hAnsi="DM Sans" w:cs="DM Sans"/>
                <w:b w:val="0"/>
                <w:i w:val="0"/>
                <w:color w:val="050C2A"/>
                <w:sz w:val="20"/>
                <w:u w:val="none"/>
              </w:rPr>
              <w:t>What Is Experiential Learning?</w:t>
            </w:r>
          </w:p>
        </w:tc>
      </w:tr>
      <w:tr>
        <w:tc>
          <w:tcPr>
            <w:tcW w:type="dxa" w:w="3690"/>
            <w:vAlign w:val="center"/>
          </w:tcPr>
          <w:p>
            <w:pPr>
              <w:spacing w:before="30" w:after="30"/>
            </w:pPr>
            <w:r>
              <w:rPr>
                <w:rFonts w:ascii="DM Sans" w:hAnsi="DM Sans" w:cs="DM Sans"/>
                <w:b/>
                <w:i w:val="0"/>
                <w:color w:val="050C2A"/>
                <w:sz w:val="20"/>
                <w:u w:val="none"/>
              </w:rPr>
              <w:t>Primary Function</w:t>
            </w:r>
          </w:p>
        </w:tc>
        <w:tc>
          <w:tcPr>
            <w:tcW w:type="dxa" w:w="5670"/>
            <w:vAlign w:val="center"/>
          </w:tcPr>
          <w:p>
            <w:pPr>
              <w:spacing w:before="30" w:after="30"/>
            </w:pPr>
            <w:r>
              <w:rPr>
                <w:rFonts w:ascii="DM Sans" w:hAnsi="DM Sans" w:cs="DM Sans"/>
                <w:b w:val="0"/>
                <w:i w:val="0"/>
                <w:color w:val="050C2A"/>
                <w:sz w:val="20"/>
                <w:u w:val="none"/>
              </w:rPr>
              <w:t>Orientation + Skill-building</w:t>
            </w:r>
          </w:p>
        </w:tc>
      </w:tr>
      <w:tr>
        <w:tc>
          <w:tcPr>
            <w:tcW w:type="dxa" w:w="3690"/>
            <w:shd w:fill="F5F5F5" w:val="clear"/>
            <w:vAlign w:val="center"/>
          </w:tcPr>
          <w:p>
            <w:pPr>
              <w:spacing w:before="30" w:after="30"/>
            </w:pPr>
            <w:r>
              <w:rPr>
                <w:rFonts w:ascii="DM Sans" w:hAnsi="DM Sans" w:cs="DM Sans"/>
                <w:b/>
                <w:i w:val="0"/>
                <w:color w:val="050C2A"/>
                <w:sz w:val="20"/>
                <w:u w:val="none"/>
              </w:rPr>
              <w:t>Total Student Time</w:t>
            </w:r>
          </w:p>
        </w:tc>
        <w:tc>
          <w:tcPr>
            <w:tcW w:type="dxa" w:w="5670"/>
            <w:shd w:fill="F5F5F5" w:val="clear"/>
            <w:vAlign w:val="center"/>
          </w:tcPr>
          <w:p>
            <w:pPr>
              <w:spacing w:before="30" w:after="30"/>
            </w:pPr>
            <w:r>
              <w:rPr>
                <w:rFonts w:ascii="DM Sans" w:hAnsi="DM Sans" w:cs="DM Sans"/>
                <w:b w:val="0"/>
                <w:i w:val="0"/>
                <w:color w:val="050C2A"/>
                <w:sz w:val="20"/>
                <w:u w:val="none"/>
              </w:rPr>
              <w:t>~7 hrs 40 min (460 min)</w:t>
            </w:r>
          </w:p>
        </w:tc>
      </w:tr>
      <w:tr>
        <w:tc>
          <w:tcPr>
            <w:tcW w:type="dxa" w:w="3690"/>
            <w:vAlign w:val="center"/>
          </w:tcPr>
          <w:p>
            <w:pPr>
              <w:spacing w:before="30" w:after="30"/>
            </w:pPr>
            <w:r>
              <w:rPr>
                <w:rFonts w:ascii="DM Sans" w:hAnsi="DM Sans" w:cs="DM Sans"/>
                <w:b/>
                <w:i w:val="0"/>
                <w:color w:val="050C2A"/>
                <w:sz w:val="20"/>
                <w:u w:val="none"/>
              </w:rPr>
              <w:t>Deliverable This Week</w:t>
            </w:r>
          </w:p>
        </w:tc>
        <w:tc>
          <w:tcPr>
            <w:tcW w:type="dxa" w:w="5670"/>
            <w:vAlign w:val="center"/>
          </w:tcPr>
          <w:p>
            <w:pPr>
              <w:spacing w:before="30" w:after="30"/>
            </w:pPr>
            <w:r>
              <w:rPr>
                <w:rFonts w:ascii="DM Sans" w:hAnsi="DM Sans" w:cs="DM Sans"/>
                <w:b w:val="0"/>
                <w:i w:val="0"/>
                <w:color w:val="050C2A"/>
                <w:sz w:val="20"/>
                <w:u w:val="none"/>
              </w:rPr>
              <w:t>Student Intake Questionnaire (checkpoint, completion-based)</w:t>
            </w:r>
          </w:p>
        </w:tc>
      </w:tr>
    </w:tbl>
    <w:p>
      <w:pPr>
        <w:spacing w:before="0" w:after="120"/>
      </w:pPr>
    </w:p>
    <w:p>
      <w:pPr>
        <w:spacing w:before="360" w:after="120"/>
      </w:pPr>
      <w:r>
        <w:rPr>
          <w:rFonts w:ascii="DM Sans" w:hAnsi="DM Sans" w:cs="DM Sans"/>
          <w:b/>
          <w:i w:val="0"/>
          <w:color w:val="050C2A"/>
          <w:sz w:val="34"/>
          <w:u w:val="none"/>
        </w:rPr>
        <w:t>Learning Objectives</w:t>
      </w:r>
    </w:p>
    <w:p>
      <w:pPr>
        <w:spacing w:before="0" w:after="120" w:line="276" w:lineRule="auto"/>
      </w:pPr>
      <w:r>
        <w:rPr>
          <w:rFonts w:ascii="DM Sans" w:hAnsi="DM Sans" w:cs="DM Sans"/>
          <w:b w:val="0"/>
          <w:i w:val="0"/>
          <w:color w:val="050C2A"/>
          <w:sz w:val="20"/>
          <w:u w:val="none"/>
        </w:rPr>
        <w:t>By the end of Week 1, students will be able to:</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929"/>
            <w:shd w:fill="FF7C0A" w:val="clear"/>
            <w:vAlign w:val="center"/>
          </w:tcPr>
          <w:p>
            <w:pPr>
              <w:jc w:val="left"/>
              <w:spacing w:before="40" w:after="40"/>
            </w:pPr>
            <w:r>
              <w:rPr>
                <w:rFonts w:ascii="DM Sans" w:hAnsi="DM Sans" w:cs="DM Sans"/>
                <w:b/>
                <w:i w:val="0"/>
                <w:color w:val="FFFFFF"/>
                <w:sz w:val="20"/>
                <w:u w:val="none"/>
              </w:rPr>
              <w:t>#</w:t>
            </w:r>
          </w:p>
        </w:tc>
        <w:tc>
          <w:tcPr>
            <w:tcW w:type="dxa" w:w="4666"/>
            <w:shd w:fill="FF7C0A" w:val="clear"/>
            <w:vAlign w:val="center"/>
          </w:tcPr>
          <w:p>
            <w:pPr>
              <w:jc w:val="left"/>
              <w:spacing w:before="40" w:after="40"/>
            </w:pPr>
            <w:r>
              <w:rPr>
                <w:rFonts w:ascii="DM Sans" w:hAnsi="DM Sans" w:cs="DM Sans"/>
                <w:b/>
                <w:i w:val="0"/>
                <w:color w:val="FFFFFF"/>
                <w:sz w:val="20"/>
                <w:u w:val="none"/>
              </w:rPr>
              <w:t>Objective</w:t>
            </w:r>
          </w:p>
        </w:tc>
        <w:tc>
          <w:tcPr>
            <w:tcW w:type="dxa" w:w="3765"/>
            <w:shd w:fill="FF7C0A" w:val="clear"/>
            <w:vAlign w:val="center"/>
          </w:tcPr>
          <w:p>
            <w:pPr>
              <w:jc w:val="left"/>
              <w:spacing w:before="40" w:after="40"/>
            </w:pPr>
            <w:r>
              <w:rPr>
                <w:rFonts w:ascii="DM Sans" w:hAnsi="DM Sans" w:cs="DM Sans"/>
                <w:b/>
                <w:i w:val="0"/>
                <w:color w:val="FFFFFF"/>
                <w:sz w:val="20"/>
                <w:u w:val="none"/>
              </w:rPr>
              <w:t>Competency</w:t>
            </w:r>
          </w:p>
        </w:tc>
      </w:tr>
      <w:tr>
        <w:tc>
          <w:tcPr>
            <w:tcW w:type="dxa" w:w="929"/>
            <w:vAlign w:val="center"/>
          </w:tcPr>
          <w:p>
            <w:pPr>
              <w:spacing w:before="30" w:after="30"/>
            </w:pPr>
            <w:r>
              <w:rPr>
                <w:rFonts w:ascii="DM Sans" w:hAnsi="DM Sans" w:cs="DM Sans"/>
                <w:b/>
                <w:i w:val="0"/>
                <w:color w:val="050C2A"/>
                <w:sz w:val="20"/>
                <w:u w:val="none"/>
              </w:rPr>
              <w:t>1</w:t>
            </w:r>
          </w:p>
        </w:tc>
        <w:tc>
          <w:tcPr>
            <w:tcW w:type="dxa" w:w="4666"/>
            <w:vAlign w:val="center"/>
          </w:tcPr>
          <w:p>
            <w:pPr>
              <w:spacing w:before="30" w:after="30"/>
            </w:pPr>
            <w:r>
              <w:rPr>
                <w:rFonts w:ascii="DM Sans" w:hAnsi="DM Sans" w:cs="DM Sans"/>
                <w:b w:val="0"/>
                <w:i w:val="0"/>
                <w:color w:val="050C2A"/>
                <w:sz w:val="20"/>
                <w:u w:val="none"/>
              </w:rPr>
              <w:t>Describe what distinguishes experiential learning in an AI-enabled professional context from traditional coursework.</w:t>
            </w:r>
          </w:p>
        </w:tc>
        <w:tc>
          <w:tcPr>
            <w:tcW w:type="dxa" w:w="3765"/>
            <w:vAlign w:val="center"/>
          </w:tcPr>
          <w:p>
            <w:pPr>
              <w:spacing w:before="30" w:after="30"/>
            </w:pPr>
            <w:r>
              <w:rPr>
                <w:rFonts w:ascii="DM Sans" w:hAnsi="DM Sans" w:cs="DM Sans"/>
                <w:b w:val="0"/>
                <w:i w:val="0"/>
                <w:color w:val="050C2A"/>
                <w:sz w:val="20"/>
                <w:u w:val="none"/>
              </w:rPr>
              <w:t>Career &amp; Self-Development → Self-Awareness</w:t>
            </w:r>
          </w:p>
        </w:tc>
      </w:tr>
      <w:tr>
        <w:tc>
          <w:tcPr>
            <w:tcW w:type="dxa" w:w="929"/>
            <w:shd w:fill="F5F5F5" w:val="clear"/>
            <w:vAlign w:val="center"/>
          </w:tcPr>
          <w:p>
            <w:pPr>
              <w:spacing w:before="30" w:after="30"/>
            </w:pPr>
            <w:r>
              <w:rPr>
                <w:rFonts w:ascii="DM Sans" w:hAnsi="DM Sans" w:cs="DM Sans"/>
                <w:b/>
                <w:i w:val="0"/>
                <w:color w:val="050C2A"/>
                <w:sz w:val="20"/>
                <w:u w:val="none"/>
              </w:rPr>
              <w:t>2</w:t>
            </w:r>
          </w:p>
        </w:tc>
        <w:tc>
          <w:tcPr>
            <w:tcW w:type="dxa" w:w="4666"/>
            <w:shd w:fill="F5F5F5" w:val="clear"/>
            <w:vAlign w:val="center"/>
          </w:tcPr>
          <w:p>
            <w:pPr>
              <w:spacing w:before="30" w:after="30"/>
            </w:pPr>
            <w:r>
              <w:rPr>
                <w:rFonts w:ascii="DM Sans" w:hAnsi="DM Sans" w:cs="DM Sans"/>
                <w:b w:val="0"/>
                <w:i w:val="0"/>
                <w:color w:val="050C2A"/>
                <w:sz w:val="20"/>
                <w:u w:val="none"/>
              </w:rPr>
              <w:t>Identify the skills and work habits that contribute to effective team performance in a professional project context.</w:t>
            </w:r>
          </w:p>
        </w:tc>
        <w:tc>
          <w:tcPr>
            <w:tcW w:type="dxa" w:w="3765"/>
            <w:shd w:fill="F5F5F5" w:val="clear"/>
            <w:vAlign w:val="center"/>
          </w:tcPr>
          <w:p>
            <w:pPr>
              <w:spacing w:before="30" w:after="30"/>
            </w:pPr>
            <w:r>
              <w:rPr>
                <w:rFonts w:ascii="DM Sans" w:hAnsi="DM Sans" w:cs="DM Sans"/>
                <w:b w:val="0"/>
                <w:i w:val="0"/>
                <w:color w:val="050C2A"/>
                <w:sz w:val="20"/>
                <w:u w:val="none"/>
              </w:rPr>
              <w:t>Teamwork → Shared Accountability</w:t>
            </w:r>
          </w:p>
        </w:tc>
      </w:tr>
      <w:tr>
        <w:tc>
          <w:tcPr>
            <w:tcW w:type="dxa" w:w="929"/>
            <w:vAlign w:val="center"/>
          </w:tcPr>
          <w:p>
            <w:pPr>
              <w:spacing w:before="30" w:after="30"/>
            </w:pPr>
            <w:r>
              <w:rPr>
                <w:rFonts w:ascii="DM Sans" w:hAnsi="DM Sans" w:cs="DM Sans"/>
                <w:b/>
                <w:i w:val="0"/>
                <w:color w:val="050C2A"/>
                <w:sz w:val="20"/>
                <w:u w:val="none"/>
              </w:rPr>
              <w:t>3</w:t>
            </w:r>
          </w:p>
        </w:tc>
        <w:tc>
          <w:tcPr>
            <w:tcW w:type="dxa" w:w="4666"/>
            <w:vAlign w:val="center"/>
          </w:tcPr>
          <w:p>
            <w:pPr>
              <w:spacing w:before="30" w:after="30"/>
            </w:pPr>
            <w:r>
              <w:rPr>
                <w:rFonts w:ascii="DM Sans" w:hAnsi="DM Sans" w:cs="DM Sans"/>
                <w:b w:val="0"/>
                <w:i w:val="0"/>
                <w:color w:val="050C2A"/>
                <w:sz w:val="20"/>
                <w:u w:val="none"/>
              </w:rPr>
              <w:t>Identify project opportunities that align with their interests and growth goals and submit preferences with written rationale.</w:t>
            </w:r>
          </w:p>
        </w:tc>
        <w:tc>
          <w:tcPr>
            <w:tcW w:type="dxa" w:w="3765"/>
            <w:vAlign w:val="center"/>
          </w:tcPr>
          <w:p>
            <w:pPr>
              <w:spacing w:before="30" w:after="30"/>
            </w:pPr>
            <w:r>
              <w:rPr>
                <w:rFonts w:ascii="DM Sans" w:hAnsi="DM Sans" w:cs="DM Sans"/>
                <w:b w:val="0"/>
                <w:i w:val="0"/>
                <w:color w:val="050C2A"/>
                <w:sz w:val="20"/>
                <w:u w:val="none"/>
              </w:rPr>
              <w:t>Critical Thinking → Prioritization; Career &amp; Self-Development → Growth Orientation</w:t>
            </w:r>
          </w:p>
        </w:tc>
      </w:tr>
      <w:tr>
        <w:tc>
          <w:tcPr>
            <w:tcW w:type="dxa" w:w="929"/>
            <w:shd w:fill="F5F5F5" w:val="clear"/>
            <w:vAlign w:val="center"/>
          </w:tcPr>
          <w:p>
            <w:pPr>
              <w:spacing w:before="30" w:after="30"/>
            </w:pPr>
            <w:r>
              <w:rPr>
                <w:rFonts w:ascii="DM Sans" w:hAnsi="DM Sans" w:cs="DM Sans"/>
                <w:b/>
                <w:i w:val="0"/>
                <w:color w:val="050C2A"/>
                <w:sz w:val="20"/>
                <w:u w:val="none"/>
              </w:rPr>
              <w:t>4</w:t>
            </w:r>
          </w:p>
        </w:tc>
        <w:tc>
          <w:tcPr>
            <w:tcW w:type="dxa" w:w="4666"/>
            <w:shd w:fill="F5F5F5" w:val="clear"/>
            <w:vAlign w:val="center"/>
          </w:tcPr>
          <w:p>
            <w:pPr>
              <w:spacing w:before="30" w:after="30"/>
            </w:pPr>
            <w:r>
              <w:rPr>
                <w:rFonts w:ascii="DM Sans" w:hAnsi="DM Sans" w:cs="DM Sans"/>
                <w:b w:val="0"/>
                <w:i w:val="0"/>
                <w:color w:val="050C2A"/>
                <w:sz w:val="20"/>
                <w:u w:val="none"/>
              </w:rPr>
              <w:t>Describe professional email conventions appropriate to a workplace context.</w:t>
            </w:r>
          </w:p>
        </w:tc>
        <w:tc>
          <w:tcPr>
            <w:tcW w:type="dxa" w:w="3765"/>
            <w:shd w:fill="F5F5F5" w:val="clear"/>
            <w:vAlign w:val="center"/>
          </w:tcPr>
          <w:p>
            <w:pPr>
              <w:spacing w:before="30" w:after="30"/>
            </w:pPr>
            <w:r>
              <w:rPr>
                <w:rFonts w:ascii="DM Sans" w:hAnsi="DM Sans" w:cs="DM Sans"/>
                <w:b w:val="0"/>
                <w:i w:val="0"/>
                <w:color w:val="050C2A"/>
                <w:sz w:val="20"/>
                <w:u w:val="none"/>
              </w:rPr>
              <w:t>Communication → Professional Correspondence</w:t>
            </w:r>
          </w:p>
        </w:tc>
      </w:tr>
      <w:tr>
        <w:tc>
          <w:tcPr>
            <w:tcW w:type="dxa" w:w="929"/>
            <w:vAlign w:val="center"/>
          </w:tcPr>
          <w:p>
            <w:pPr>
              <w:spacing w:before="30" w:after="30"/>
            </w:pPr>
            <w:r>
              <w:rPr>
                <w:rFonts w:ascii="DM Sans" w:hAnsi="DM Sans" w:cs="DM Sans"/>
                <w:b/>
                <w:i w:val="0"/>
                <w:color w:val="050C2A"/>
                <w:sz w:val="20"/>
                <w:u w:val="none"/>
              </w:rPr>
              <w:t>5</w:t>
            </w:r>
          </w:p>
        </w:tc>
        <w:tc>
          <w:tcPr>
            <w:tcW w:type="dxa" w:w="4666"/>
            <w:vAlign w:val="center"/>
          </w:tcPr>
          <w:p>
            <w:pPr>
              <w:spacing w:before="30" w:after="30"/>
            </w:pPr>
            <w:r>
              <w:rPr>
                <w:rFonts w:ascii="DM Sans" w:hAnsi="DM Sans" w:cs="DM Sans"/>
                <w:b w:val="0"/>
                <w:i w:val="0"/>
                <w:color w:val="050C2A"/>
                <w:sz w:val="20"/>
                <w:u w:val="none"/>
              </w:rPr>
              <w:t>Identify the three stages of the DEAL reflective practice model and explain what each stage requires.</w:t>
            </w:r>
          </w:p>
        </w:tc>
        <w:tc>
          <w:tcPr>
            <w:tcW w:type="dxa" w:w="3765"/>
            <w:vAlign w:val="center"/>
          </w:tcPr>
          <w:p>
            <w:pPr>
              <w:spacing w:before="30" w:after="30"/>
            </w:pPr>
            <w:r>
              <w:rPr>
                <w:rFonts w:ascii="DM Sans" w:hAnsi="DM Sans" w:cs="DM Sans"/>
                <w:b w:val="0"/>
                <w:i w:val="0"/>
                <w:color w:val="050C2A"/>
                <w:sz w:val="20"/>
                <w:u w:val="none"/>
              </w:rPr>
              <w:t>Career &amp; Self-Development → Reflection</w:t>
            </w:r>
          </w:p>
        </w:tc>
      </w:tr>
    </w:tbl>
    <w:p>
      <w:pPr>
        <w:spacing w:before="0" w:after="120"/>
      </w:pPr>
    </w:p>
    <w:p>
      <w:pPr>
        <w:spacing w:before="360" w:after="120"/>
      </w:pPr>
      <w:r>
        <w:rPr>
          <w:rFonts w:ascii="DM Sans" w:hAnsi="DM Sans" w:cs="DM Sans"/>
          <w:b/>
          <w:i w:val="0"/>
          <w:color w:val="050C2A"/>
          <w:sz w:val="34"/>
          <w:u w:val="none"/>
        </w:rPr>
        <w:t>Weekly Activity Breakdown</w:t>
      </w:r>
    </w:p>
    <w:p>
      <w:pPr>
        <w:spacing w:before="0" w:after="120" w:line="276" w:lineRule="auto"/>
      </w:pPr>
      <w:r>
        <w:rPr>
          <w:rFonts w:ascii="DM Sans" w:hAnsi="DM Sans" w:cs="DM Sans"/>
          <w:b w:val="0"/>
          <w:i w:val="0"/>
          <w:color w:val="050C2A"/>
          <w:sz w:val="20"/>
          <w:u w:val="none"/>
        </w:rPr>
        <w:t>Week 1 is weighted toward orientation and exploration rather than project production — deliberately so. Teams have not yet been assigned, so no collaborative project work is possible. The week's job is to establish the learning frame, surface students' starting points, and build anticipatory readiness for team formation in Week 2. The module content introduces what experiential learning is, what working in an AI-enabled professional context requires, and what the course will ask of students before they have a team or a project to anchor those ideas to.</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1560"/>
        <w:gridCol w:w="1560"/>
        <w:gridCol w:w="1560"/>
        <w:gridCol w:w="1560"/>
        <w:gridCol w:w="1560"/>
        <w:gridCol w:w="1560"/>
      </w:tblGrid>
      <w:tr>
        <w:tc>
          <w:tcPr>
            <w:tcW w:type="dxa" w:w="717"/>
            <w:shd w:fill="FF7C0A" w:val="clear"/>
            <w:vAlign w:val="center"/>
          </w:tcPr>
          <w:p>
            <w:pPr>
              <w:jc w:val="left"/>
              <w:spacing w:before="40" w:after="40"/>
            </w:pPr>
            <w:r>
              <w:rPr>
                <w:rFonts w:ascii="DM Sans" w:hAnsi="DM Sans" w:cs="DM Sans"/>
                <w:b/>
                <w:i w:val="0"/>
                <w:color w:val="FFFFFF"/>
                <w:sz w:val="20"/>
                <w:u w:val="none"/>
              </w:rPr>
              <w:t>#</w:t>
            </w:r>
          </w:p>
        </w:tc>
        <w:tc>
          <w:tcPr>
            <w:tcW w:type="dxa" w:w="1195"/>
            <w:shd w:fill="FF7C0A" w:val="clear"/>
            <w:vAlign w:val="center"/>
          </w:tcPr>
          <w:p>
            <w:pPr>
              <w:jc w:val="left"/>
              <w:spacing w:before="40" w:after="40"/>
            </w:pPr>
            <w:r>
              <w:rPr>
                <w:rFonts w:ascii="DM Sans" w:hAnsi="DM Sans" w:cs="DM Sans"/>
                <w:b/>
                <w:i w:val="0"/>
                <w:color w:val="FFFFFF"/>
                <w:sz w:val="20"/>
                <w:u w:val="none"/>
              </w:rPr>
              <w:t>Category</w:t>
            </w:r>
          </w:p>
        </w:tc>
        <w:tc>
          <w:tcPr>
            <w:tcW w:type="dxa" w:w="2124"/>
            <w:shd w:fill="FF7C0A" w:val="clear"/>
            <w:vAlign w:val="center"/>
          </w:tcPr>
          <w:p>
            <w:pPr>
              <w:jc w:val="left"/>
              <w:spacing w:before="40" w:after="40"/>
            </w:pPr>
            <w:r>
              <w:rPr>
                <w:rFonts w:ascii="DM Sans" w:hAnsi="DM Sans" w:cs="DM Sans"/>
                <w:b/>
                <w:i w:val="0"/>
                <w:color w:val="FFFFFF"/>
                <w:sz w:val="20"/>
                <w:u w:val="none"/>
              </w:rPr>
              <w:t>Activity</w:t>
            </w:r>
          </w:p>
        </w:tc>
        <w:tc>
          <w:tcPr>
            <w:tcW w:type="dxa" w:w="632"/>
            <w:shd w:fill="FF7C0A" w:val="clear"/>
            <w:vAlign w:val="center"/>
          </w:tcPr>
          <w:p>
            <w:pPr>
              <w:jc w:val="left"/>
              <w:spacing w:before="40" w:after="40"/>
            </w:pPr>
            <w:r>
              <w:rPr>
                <w:rFonts w:ascii="DM Sans" w:hAnsi="DM Sans" w:cs="DM Sans"/>
                <w:b/>
                <w:i w:val="0"/>
                <w:color w:val="FFFFFF"/>
                <w:sz w:val="20"/>
                <w:u w:val="none"/>
              </w:rPr>
              <w:t>Format</w:t>
            </w:r>
          </w:p>
        </w:tc>
        <w:tc>
          <w:tcPr>
            <w:tcW w:type="dxa" w:w="792"/>
            <w:shd w:fill="FF7C0A" w:val="clear"/>
            <w:vAlign w:val="center"/>
          </w:tcPr>
          <w:p>
            <w:pPr>
              <w:jc w:val="left"/>
              <w:spacing w:before="40" w:after="40"/>
            </w:pPr>
            <w:r>
              <w:rPr>
                <w:rFonts w:ascii="DM Sans" w:hAnsi="DM Sans" w:cs="DM Sans"/>
                <w:b/>
                <w:i w:val="0"/>
                <w:color w:val="FFFFFF"/>
                <w:sz w:val="20"/>
                <w:u w:val="none"/>
              </w:rPr>
              <w:t>Min</w:t>
            </w:r>
          </w:p>
        </w:tc>
        <w:tc>
          <w:tcPr>
            <w:tcW w:type="dxa" w:w="3900"/>
            <w:shd w:fill="FF7C0A" w:val="clear"/>
            <w:vAlign w:val="center"/>
          </w:tcPr>
          <w:p>
            <w:pPr>
              <w:jc w:val="left"/>
              <w:spacing w:before="40" w:after="40"/>
            </w:pPr>
            <w:r>
              <w:rPr>
                <w:rFonts w:ascii="DM Sans" w:hAnsi="DM Sans" w:cs="DM Sans"/>
                <w:b/>
                <w:i w:val="0"/>
                <w:color w:val="FFFFFF"/>
                <w:sz w:val="20"/>
                <w:u w:val="none"/>
              </w:rPr>
              <w:t>Note</w:t>
            </w:r>
          </w:p>
        </w:tc>
      </w:tr>
      <w:tr>
        <w:tc>
          <w:tcPr>
            <w:tcW w:type="dxa" w:w="717"/>
            <w:vAlign w:val="center"/>
          </w:tcPr>
          <w:p>
            <w:pPr>
              <w:spacing w:before="30" w:after="30"/>
            </w:pPr>
            <w:r>
              <w:rPr>
                <w:rFonts w:ascii="DM Sans" w:hAnsi="DM Sans" w:cs="DM Sans"/>
                <w:b w:val="0"/>
                <w:i w:val="0"/>
                <w:color w:val="050C2A"/>
                <w:sz w:val="20"/>
                <w:u w:val="none"/>
              </w:rPr>
              <w:t>1.01</w:t>
            </w:r>
          </w:p>
        </w:tc>
        <w:tc>
          <w:tcPr>
            <w:tcW w:type="dxa" w:w="1195"/>
            <w:vAlign w:val="center"/>
          </w:tcPr>
          <w:p>
            <w:pPr>
              <w:spacing w:before="30" w:after="30"/>
            </w:pPr>
            <w:r>
              <w:rPr>
                <w:rFonts w:ascii="DM Sans" w:hAnsi="DM Sans" w:cs="DM Sans"/>
                <w:b w:val="0"/>
                <w:i w:val="0"/>
                <w:color w:val="050C2A"/>
                <w:sz w:val="20"/>
                <w:u w:val="none"/>
              </w:rPr>
              <w:t>Course Orientation</w:t>
            </w:r>
          </w:p>
        </w:tc>
        <w:tc>
          <w:tcPr>
            <w:tcW w:type="dxa" w:w="2124"/>
            <w:vAlign w:val="center"/>
          </w:tcPr>
          <w:p>
            <w:pPr>
              <w:spacing w:before="30" w:after="30"/>
            </w:pPr>
            <w:r>
              <w:rPr>
                <w:rFonts w:ascii="DM Sans" w:hAnsi="DM Sans" w:cs="DM Sans"/>
                <w:b w:val="0"/>
                <w:i w:val="0"/>
                <w:color w:val="050C2A"/>
                <w:sz w:val="20"/>
                <w:u w:val="none"/>
              </w:rPr>
              <w:t>Welcome to Career Catalyst Week 1</w:t>
            </w:r>
          </w:p>
        </w:tc>
        <w:tc>
          <w:tcPr>
            <w:tcW w:type="dxa" w:w="632"/>
            <w:vAlign w:val="center"/>
          </w:tcPr>
          <w:p>
            <w:pPr>
              <w:spacing w:before="30" w:after="30"/>
            </w:pPr>
            <w:r>
              <w:rPr>
                <w:rFonts w:ascii="DM Sans" w:hAnsi="DM Sans" w:cs="DM Sans"/>
                <w:b w:val="0"/>
                <w:i w:val="0"/>
                <w:color w:val="050C2A"/>
                <w:sz w:val="20"/>
                <w:u w:val="none"/>
              </w:rPr>
              <w:t>Text</w:t>
            </w:r>
          </w:p>
        </w:tc>
        <w:tc>
          <w:tcPr>
            <w:tcW w:type="dxa" w:w="792"/>
            <w:vAlign w:val="center"/>
          </w:tcPr>
          <w:p>
            <w:pPr>
              <w:spacing w:before="30" w:after="30"/>
            </w:pPr>
            <w:r>
              <w:rPr>
                <w:rFonts w:ascii="DM Sans" w:hAnsi="DM Sans" w:cs="DM Sans"/>
                <w:b w:val="0"/>
                <w:i w:val="0"/>
                <w:color w:val="050C2A"/>
                <w:sz w:val="20"/>
                <w:u w:val="none"/>
              </w:rPr>
              <w:t>5</w:t>
            </w:r>
          </w:p>
        </w:tc>
        <w:tc>
          <w:tcPr>
            <w:tcW w:type="dxa" w:w="3900"/>
            <w:vAlign w:val="center"/>
          </w:tcPr>
          <w:p>
            <w:pPr>
              <w:spacing w:before="30" w:after="30"/>
            </w:pPr>
            <w:r>
              <w:rPr>
                <w:rFonts w:ascii="DM Sans" w:hAnsi="DM Sans" w:cs="DM Sans"/>
                <w:b w:val="0"/>
                <w:i w:val="0"/>
                <w:color w:val="050C2A"/>
                <w:sz w:val="20"/>
                <w:u w:val="none"/>
              </w:rPr>
              <w:t>Overview of what will be covered this week, objectives, suggested order of completion, and time estimates</w:t>
            </w:r>
          </w:p>
        </w:tc>
      </w:tr>
      <w:tr>
        <w:tc>
          <w:tcPr>
            <w:tcW w:type="dxa" w:w="717"/>
            <w:shd w:fill="F5F5F5" w:val="clear"/>
            <w:vAlign w:val="center"/>
          </w:tcPr>
          <w:p>
            <w:pPr>
              <w:spacing w:before="30" w:after="30"/>
            </w:pPr>
            <w:r>
              <w:rPr>
                <w:rFonts w:ascii="DM Sans" w:hAnsi="DM Sans" w:cs="DM Sans"/>
                <w:b w:val="0"/>
                <w:i w:val="0"/>
                <w:color w:val="050C2A"/>
                <w:sz w:val="20"/>
                <w:u w:val="none"/>
              </w:rPr>
              <w:t>1.02</w:t>
            </w:r>
          </w:p>
        </w:tc>
        <w:tc>
          <w:tcPr>
            <w:tcW w:type="dxa" w:w="1195"/>
            <w:shd w:fill="F5F5F5" w:val="clear"/>
            <w:vAlign w:val="center"/>
          </w:tcPr>
          <w:p>
            <w:pPr>
              <w:spacing w:before="30" w:after="30"/>
            </w:pPr>
            <w:r>
              <w:rPr>
                <w:rFonts w:ascii="DM Sans" w:hAnsi="DM Sans" w:cs="DM Sans"/>
                <w:b w:val="0"/>
                <w:i w:val="0"/>
                <w:color w:val="050C2A"/>
                <w:sz w:val="20"/>
                <w:u w:val="none"/>
              </w:rPr>
              <w:t>Course Orientation</w:t>
            </w:r>
          </w:p>
        </w:tc>
        <w:tc>
          <w:tcPr>
            <w:tcW w:type="dxa" w:w="2124"/>
            <w:shd w:fill="F5F5F5" w:val="clear"/>
            <w:vAlign w:val="center"/>
          </w:tcPr>
          <w:p>
            <w:pPr>
              <w:spacing w:before="30" w:after="30"/>
            </w:pPr>
            <w:r>
              <w:rPr>
                <w:rFonts w:ascii="DM Sans" w:hAnsi="DM Sans" w:cs="DM Sans"/>
                <w:b w:val="0"/>
                <w:i w:val="0"/>
                <w:color w:val="050C2A"/>
                <w:sz w:val="20"/>
                <w:u w:val="none"/>
              </w:rPr>
              <w:t>What Is Experiential Learning?</w:t>
            </w:r>
          </w:p>
        </w:tc>
        <w:tc>
          <w:tcPr>
            <w:tcW w:type="dxa" w:w="632"/>
            <w:shd w:fill="F5F5F5" w:val="clear"/>
            <w:vAlign w:val="center"/>
          </w:tcPr>
          <w:p>
            <w:pPr>
              <w:spacing w:before="30" w:after="30"/>
            </w:pPr>
            <w:r>
              <w:rPr>
                <w:rFonts w:ascii="DM Sans" w:hAnsi="DM Sans" w:cs="DM Sans"/>
                <w:b w:val="0"/>
                <w:i w:val="0"/>
                <w:color w:val="050C2A"/>
                <w:sz w:val="20"/>
                <w:u w:val="none"/>
              </w:rPr>
              <w:t>Module</w:t>
            </w:r>
          </w:p>
        </w:tc>
        <w:tc>
          <w:tcPr>
            <w:tcW w:type="dxa" w:w="792"/>
            <w:shd w:fill="F5F5F5" w:val="clear"/>
            <w:vAlign w:val="center"/>
          </w:tcPr>
          <w:p>
            <w:pPr>
              <w:spacing w:before="30" w:after="30"/>
            </w:pPr>
            <w:r>
              <w:rPr>
                <w:rFonts w:ascii="DM Sans" w:hAnsi="DM Sans" w:cs="DM Sans"/>
                <w:b w:val="0"/>
                <w:i w:val="0"/>
                <w:color w:val="050C2A"/>
                <w:sz w:val="20"/>
                <w:u w:val="none"/>
              </w:rPr>
              <w:t>15</w:t>
            </w:r>
          </w:p>
        </w:tc>
        <w:tc>
          <w:tcPr>
            <w:tcW w:type="dxa" w:w="3900"/>
            <w:shd w:fill="F5F5F5" w:val="clear"/>
            <w:vAlign w:val="center"/>
          </w:tcPr>
          <w:p>
            <w:pPr>
              <w:spacing w:before="30" w:after="30"/>
            </w:pPr>
            <w:r>
              <w:rPr>
                <w:rFonts w:ascii="DM Sans" w:hAnsi="DM Sans" w:cs="DM Sans"/>
                <w:b w:val="0"/>
                <w:i w:val="0"/>
                <w:color w:val="050C2A"/>
                <w:sz w:val="20"/>
                <w:u w:val="none"/>
              </w:rPr>
              <w:t>Frames the learning cycle and sets expectations for how this course differs from traditional coursework</w:t>
            </w:r>
          </w:p>
        </w:tc>
      </w:tr>
      <w:tr>
        <w:tc>
          <w:tcPr>
            <w:tcW w:type="dxa" w:w="717"/>
            <w:vAlign w:val="center"/>
          </w:tcPr>
          <w:p>
            <w:pPr>
              <w:spacing w:before="30" w:after="30"/>
            </w:pPr>
            <w:r>
              <w:rPr>
                <w:rFonts w:ascii="DM Sans" w:hAnsi="DM Sans" w:cs="DM Sans"/>
                <w:b w:val="0"/>
                <w:i w:val="0"/>
                <w:color w:val="050C2A"/>
                <w:sz w:val="20"/>
                <w:u w:val="none"/>
              </w:rPr>
              <w:t>1.03</w:t>
            </w:r>
          </w:p>
        </w:tc>
        <w:tc>
          <w:tcPr>
            <w:tcW w:type="dxa" w:w="1195"/>
            <w:vAlign w:val="center"/>
          </w:tcPr>
          <w:p>
            <w:pPr>
              <w:spacing w:before="30" w:after="30"/>
            </w:pPr>
            <w:r>
              <w:rPr>
                <w:rFonts w:ascii="DM Sans" w:hAnsi="DM Sans" w:cs="DM Sans"/>
                <w:b w:val="0"/>
                <w:i w:val="0"/>
                <w:color w:val="050C2A"/>
                <w:sz w:val="20"/>
                <w:u w:val="none"/>
              </w:rPr>
              <w:t>Course Orientation</w:t>
            </w:r>
          </w:p>
        </w:tc>
        <w:tc>
          <w:tcPr>
            <w:tcW w:type="dxa" w:w="2124"/>
            <w:vAlign w:val="center"/>
          </w:tcPr>
          <w:p>
            <w:pPr>
              <w:spacing w:before="30" w:after="30"/>
            </w:pPr>
            <w:r>
              <w:rPr>
                <w:rFonts w:ascii="DM Sans" w:hAnsi="DM Sans" w:cs="DM Sans"/>
                <w:b w:val="0"/>
                <w:i w:val="0"/>
                <w:color w:val="050C2A"/>
                <w:sz w:val="20"/>
                <w:u w:val="none"/>
              </w:rPr>
              <w:t>Syllabus and assessment review</w:t>
            </w:r>
          </w:p>
        </w:tc>
        <w:tc>
          <w:tcPr>
            <w:tcW w:type="dxa" w:w="632"/>
            <w:vAlign w:val="center"/>
          </w:tcPr>
          <w:p>
            <w:pPr>
              <w:spacing w:before="30" w:after="30"/>
            </w:pPr>
            <w:r>
              <w:rPr>
                <w:rFonts w:ascii="DM Sans" w:hAnsi="DM Sans" w:cs="DM Sans"/>
                <w:b w:val="0"/>
                <w:i w:val="0"/>
                <w:color w:val="050C2A"/>
                <w:sz w:val="20"/>
                <w:u w:val="none"/>
              </w:rPr>
              <w:t>Module</w:t>
            </w:r>
          </w:p>
        </w:tc>
        <w:tc>
          <w:tcPr>
            <w:tcW w:type="dxa" w:w="792"/>
            <w:vAlign w:val="center"/>
          </w:tcPr>
          <w:p>
            <w:pPr>
              <w:spacing w:before="30" w:after="30"/>
            </w:pPr>
            <w:r>
              <w:rPr>
                <w:rFonts w:ascii="DM Sans" w:hAnsi="DM Sans" w:cs="DM Sans"/>
                <w:b w:val="0"/>
                <w:i w:val="0"/>
                <w:color w:val="050C2A"/>
                <w:sz w:val="20"/>
                <w:u w:val="none"/>
              </w:rPr>
              <w:t>40</w:t>
            </w:r>
          </w:p>
        </w:tc>
        <w:tc>
          <w:tcPr>
            <w:tcW w:type="dxa" w:w="3900"/>
            <w:vAlign w:val="center"/>
          </w:tcPr>
          <w:p>
            <w:pPr>
              <w:spacing w:before="30" w:after="30"/>
            </w:pPr>
            <w:r>
              <w:rPr>
                <w:rFonts w:ascii="DM Sans" w:hAnsi="DM Sans" w:cs="DM Sans"/>
                <w:b w:val="0"/>
                <w:i w:val="0"/>
                <w:color w:val="050C2A"/>
                <w:sz w:val="20"/>
                <w:u w:val="none"/>
              </w:rPr>
              <w:t>Foundational for academic integrity and student planning; students look ahead to what is expected and how they will be assessed</w:t>
            </w:r>
          </w:p>
        </w:tc>
      </w:tr>
      <w:tr>
        <w:tc>
          <w:tcPr>
            <w:tcW w:type="dxa" w:w="717"/>
            <w:shd w:fill="F5F5F5" w:val="clear"/>
            <w:vAlign w:val="center"/>
          </w:tcPr>
          <w:p>
            <w:pPr>
              <w:spacing w:before="30" w:after="30"/>
            </w:pPr>
            <w:r>
              <w:rPr>
                <w:rFonts w:ascii="DM Sans" w:hAnsi="DM Sans" w:cs="DM Sans"/>
                <w:b w:val="0"/>
                <w:i w:val="0"/>
                <w:color w:val="050C2A"/>
                <w:sz w:val="20"/>
                <w:u w:val="none"/>
              </w:rPr>
              <w:t>1.04</w:t>
            </w:r>
          </w:p>
        </w:tc>
        <w:tc>
          <w:tcPr>
            <w:tcW w:type="dxa" w:w="1195"/>
            <w:shd w:fill="F5F5F5" w:val="clear"/>
            <w:vAlign w:val="center"/>
          </w:tcPr>
          <w:p>
            <w:pPr>
              <w:spacing w:before="30" w:after="30"/>
            </w:pPr>
            <w:r>
              <w:rPr>
                <w:rFonts w:ascii="DM Sans" w:hAnsi="DM Sans" w:cs="DM Sans"/>
                <w:b w:val="0"/>
                <w:i w:val="0"/>
                <w:color w:val="050C2A"/>
                <w:sz w:val="20"/>
                <w:u w:val="none"/>
              </w:rPr>
              <w:t>Course Orientation</w:t>
            </w:r>
          </w:p>
        </w:tc>
        <w:tc>
          <w:tcPr>
            <w:tcW w:type="dxa" w:w="2124"/>
            <w:shd w:fill="F5F5F5" w:val="clear"/>
            <w:vAlign w:val="center"/>
          </w:tcPr>
          <w:p>
            <w:pPr>
              <w:spacing w:before="30" w:after="30"/>
            </w:pPr>
            <w:r>
              <w:rPr>
                <w:rFonts w:ascii="DM Sans" w:hAnsi="DM Sans" w:cs="DM Sans"/>
                <w:b w:val="0"/>
                <w:i w:val="0"/>
                <w:color w:val="050C2A"/>
                <w:sz w:val="20"/>
                <w:u w:val="none"/>
              </w:rPr>
              <w:t>AI in Today's Workplace &amp; This Course</w:t>
            </w:r>
          </w:p>
        </w:tc>
        <w:tc>
          <w:tcPr>
            <w:tcW w:type="dxa" w:w="632"/>
            <w:shd w:fill="F5F5F5" w:val="clear"/>
            <w:vAlign w:val="center"/>
          </w:tcPr>
          <w:p>
            <w:pPr>
              <w:spacing w:before="30" w:after="30"/>
            </w:pPr>
            <w:r>
              <w:rPr>
                <w:rFonts w:ascii="DM Sans" w:hAnsi="DM Sans" w:cs="DM Sans"/>
                <w:b w:val="0"/>
                <w:i w:val="0"/>
                <w:color w:val="050C2A"/>
                <w:sz w:val="20"/>
                <w:u w:val="none"/>
              </w:rPr>
              <w:t>Module</w:t>
            </w:r>
          </w:p>
        </w:tc>
        <w:tc>
          <w:tcPr>
            <w:tcW w:type="dxa" w:w="792"/>
            <w:shd w:fill="F5F5F5" w:val="clear"/>
            <w:vAlign w:val="center"/>
          </w:tcPr>
          <w:p>
            <w:pPr>
              <w:spacing w:before="30" w:after="30"/>
            </w:pPr>
            <w:r>
              <w:rPr>
                <w:rFonts w:ascii="DM Sans" w:hAnsi="DM Sans" w:cs="DM Sans"/>
                <w:b w:val="0"/>
                <w:i w:val="0"/>
                <w:color w:val="050C2A"/>
                <w:sz w:val="20"/>
                <w:u w:val="none"/>
              </w:rPr>
              <w:t>30</w:t>
            </w:r>
          </w:p>
        </w:tc>
        <w:tc>
          <w:tcPr>
            <w:tcW w:type="dxa" w:w="3900"/>
            <w:shd w:fill="F5F5F5" w:val="clear"/>
            <w:vAlign w:val="center"/>
          </w:tcPr>
          <w:p>
            <w:pPr>
              <w:spacing w:before="30" w:after="30"/>
            </w:pPr>
            <w:r>
              <w:rPr>
                <w:rFonts w:ascii="DM Sans" w:hAnsi="DM Sans" w:cs="DM Sans"/>
                <w:b w:val="0"/>
                <w:i w:val="0"/>
                <w:color w:val="050C2A"/>
                <w:sz w:val="20"/>
                <w:u w:val="none"/>
              </w:rPr>
              <w:t>Introduces the AI-enabled workplace context and the course's policy orientation: what's permitted, what requires disclosure, the defend-your-work standard</w:t>
            </w:r>
          </w:p>
        </w:tc>
      </w:tr>
      <w:tr>
        <w:tc>
          <w:tcPr>
            <w:tcW w:type="dxa" w:w="717"/>
            <w:vAlign w:val="center"/>
          </w:tcPr>
          <w:p>
            <w:pPr>
              <w:spacing w:before="30" w:after="30"/>
            </w:pPr>
            <w:r>
              <w:rPr>
                <w:rFonts w:ascii="DM Sans" w:hAnsi="DM Sans" w:cs="DM Sans"/>
                <w:b w:val="0"/>
                <w:i w:val="0"/>
                <w:color w:val="050C2A"/>
                <w:sz w:val="20"/>
                <w:u w:val="none"/>
              </w:rPr>
              <w:t>1.05</w:t>
            </w:r>
          </w:p>
        </w:tc>
        <w:tc>
          <w:tcPr>
            <w:tcW w:type="dxa" w:w="1195"/>
            <w:vAlign w:val="center"/>
          </w:tcPr>
          <w:p>
            <w:pPr>
              <w:spacing w:before="30" w:after="30"/>
            </w:pPr>
            <w:r>
              <w:rPr>
                <w:rFonts w:ascii="DM Sans" w:hAnsi="DM Sans" w:cs="DM Sans"/>
                <w:b w:val="0"/>
                <w:i w:val="0"/>
                <w:color w:val="050C2A"/>
                <w:sz w:val="20"/>
                <w:u w:val="none"/>
              </w:rPr>
              <w:t>Course Orientation</w:t>
            </w:r>
          </w:p>
        </w:tc>
        <w:tc>
          <w:tcPr>
            <w:tcW w:type="dxa" w:w="2124"/>
            <w:vAlign w:val="center"/>
          </w:tcPr>
          <w:p>
            <w:pPr>
              <w:spacing w:before="30" w:after="30"/>
            </w:pPr>
            <w:r>
              <w:rPr>
                <w:rFonts w:ascii="DM Sans" w:hAnsi="DM Sans" w:cs="DM Sans"/>
                <w:b w:val="0"/>
                <w:i w:val="0"/>
                <w:color w:val="050C2A"/>
                <w:sz w:val="20"/>
                <w:u w:val="none"/>
              </w:rPr>
              <w:t>Your Project and Team</w:t>
            </w:r>
          </w:p>
        </w:tc>
        <w:tc>
          <w:tcPr>
            <w:tcW w:type="dxa" w:w="632"/>
            <w:vAlign w:val="center"/>
          </w:tcPr>
          <w:p>
            <w:pPr>
              <w:spacing w:before="30" w:after="30"/>
            </w:pPr>
            <w:r>
              <w:rPr>
                <w:rFonts w:ascii="DM Sans" w:hAnsi="DM Sans" w:cs="DM Sans"/>
                <w:b w:val="0"/>
                <w:i w:val="0"/>
                <w:color w:val="050C2A"/>
                <w:sz w:val="20"/>
                <w:u w:val="none"/>
              </w:rPr>
              <w:t>Module</w:t>
            </w:r>
          </w:p>
        </w:tc>
        <w:tc>
          <w:tcPr>
            <w:tcW w:type="dxa" w:w="792"/>
            <w:vAlign w:val="center"/>
          </w:tcPr>
          <w:p>
            <w:pPr>
              <w:spacing w:before="30" w:after="30"/>
            </w:pPr>
            <w:r>
              <w:rPr>
                <w:rFonts w:ascii="DM Sans" w:hAnsi="DM Sans" w:cs="DM Sans"/>
                <w:b w:val="0"/>
                <w:i w:val="0"/>
                <w:color w:val="050C2A"/>
                <w:sz w:val="20"/>
                <w:u w:val="none"/>
              </w:rPr>
              <w:t>30</w:t>
            </w:r>
          </w:p>
        </w:tc>
        <w:tc>
          <w:tcPr>
            <w:tcW w:type="dxa" w:w="3900"/>
            <w:vAlign w:val="center"/>
          </w:tcPr>
          <w:p>
            <w:pPr>
              <w:spacing w:before="30" w:after="30"/>
            </w:pPr>
            <w:r>
              <w:rPr>
                <w:rFonts w:ascii="DM Sans" w:hAnsi="DM Sans" w:cs="DM Sans"/>
                <w:b w:val="0"/>
                <w:i w:val="0"/>
                <w:color w:val="050C2A"/>
                <w:sz w:val="20"/>
                <w:u w:val="none"/>
              </w:rPr>
              <w:t>Orients students to the project-based structure and how they will be expected to work in teams</w:t>
            </w:r>
          </w:p>
        </w:tc>
      </w:tr>
      <w:tr>
        <w:tc>
          <w:tcPr>
            <w:tcW w:type="dxa" w:w="717"/>
            <w:shd w:fill="F5F5F5" w:val="clear"/>
            <w:vAlign w:val="center"/>
          </w:tcPr>
          <w:p>
            <w:pPr>
              <w:spacing w:before="30" w:after="30"/>
            </w:pPr>
            <w:r>
              <w:rPr>
                <w:rFonts w:ascii="DM Sans" w:hAnsi="DM Sans" w:cs="DM Sans"/>
                <w:b w:val="0"/>
                <w:i w:val="0"/>
                <w:color w:val="050C2A"/>
                <w:sz w:val="20"/>
                <w:u w:val="none"/>
              </w:rPr>
              <w:t>1.06</w:t>
            </w:r>
          </w:p>
        </w:tc>
        <w:tc>
          <w:tcPr>
            <w:tcW w:type="dxa" w:w="1195"/>
            <w:shd w:fill="F5F5F5" w:val="clear"/>
            <w:vAlign w:val="center"/>
          </w:tcPr>
          <w:p>
            <w:pPr>
              <w:spacing w:before="30" w:after="30"/>
            </w:pPr>
            <w:r>
              <w:rPr>
                <w:rFonts w:ascii="DM Sans" w:hAnsi="DM Sans" w:cs="DM Sans"/>
                <w:b w:val="0"/>
                <w:i w:val="0"/>
                <w:color w:val="050C2A"/>
                <w:sz w:val="20"/>
                <w:u w:val="none"/>
              </w:rPr>
              <w:t>Course Orientation</w:t>
            </w:r>
          </w:p>
        </w:tc>
        <w:tc>
          <w:tcPr>
            <w:tcW w:type="dxa" w:w="2124"/>
            <w:shd w:fill="F5F5F5" w:val="clear"/>
            <w:vAlign w:val="center"/>
          </w:tcPr>
          <w:p>
            <w:pPr>
              <w:spacing w:before="30" w:after="30"/>
            </w:pPr>
            <w:r>
              <w:rPr>
                <w:rFonts w:ascii="DM Sans" w:hAnsi="DM Sans" w:cs="DM Sans"/>
                <w:b w:val="0"/>
                <w:i w:val="0"/>
                <w:color w:val="050C2A"/>
                <w:sz w:val="20"/>
                <w:u w:val="none"/>
              </w:rPr>
              <w:t>Platform orientation</w:t>
            </w:r>
          </w:p>
        </w:tc>
        <w:tc>
          <w:tcPr>
            <w:tcW w:type="dxa" w:w="632"/>
            <w:shd w:fill="F5F5F5" w:val="clear"/>
            <w:vAlign w:val="center"/>
          </w:tcPr>
          <w:p>
            <w:pPr>
              <w:spacing w:before="30" w:after="30"/>
            </w:pPr>
            <w:r>
              <w:rPr>
                <w:rFonts w:ascii="DM Sans" w:hAnsi="DM Sans" w:cs="DM Sans"/>
                <w:b w:val="0"/>
                <w:i w:val="0"/>
                <w:color w:val="050C2A"/>
                <w:sz w:val="20"/>
                <w:u w:val="none"/>
              </w:rPr>
              <w:t>Admin</w:t>
            </w:r>
          </w:p>
        </w:tc>
        <w:tc>
          <w:tcPr>
            <w:tcW w:type="dxa" w:w="792"/>
            <w:shd w:fill="F5F5F5" w:val="clear"/>
            <w:vAlign w:val="center"/>
          </w:tcPr>
          <w:p>
            <w:pPr>
              <w:spacing w:before="30" w:after="30"/>
            </w:pPr>
            <w:r>
              <w:rPr>
                <w:rFonts w:ascii="DM Sans" w:hAnsi="DM Sans" w:cs="DM Sans"/>
                <w:b w:val="0"/>
                <w:i w:val="0"/>
                <w:color w:val="050C2A"/>
                <w:sz w:val="20"/>
                <w:u w:val="none"/>
              </w:rPr>
              <w:t>15</w:t>
            </w:r>
          </w:p>
        </w:tc>
        <w:tc>
          <w:tcPr>
            <w:tcW w:type="dxa" w:w="3900"/>
            <w:shd w:fill="F5F5F5" w:val="clear"/>
            <w:vAlign w:val="center"/>
          </w:tcPr>
          <w:p>
            <w:pPr>
              <w:spacing w:before="30" w:after="30"/>
            </w:pPr>
            <w:r>
              <w:rPr>
                <w:rFonts w:ascii="DM Sans" w:hAnsi="DM Sans" w:cs="DM Sans"/>
                <w:b w:val="0"/>
                <w:i w:val="0"/>
                <w:color w:val="050C2A"/>
                <w:sz w:val="20"/>
                <w:u w:val="none"/>
              </w:rPr>
              <w:t>Navigating Riipen and LMS; reduces friction in subsequent weeks</w:t>
            </w:r>
          </w:p>
        </w:tc>
      </w:tr>
      <w:tr>
        <w:tc>
          <w:tcPr>
            <w:tcW w:type="dxa" w:w="717"/>
            <w:vAlign w:val="center"/>
          </w:tcPr>
          <w:p>
            <w:pPr>
              <w:spacing w:before="30" w:after="30"/>
            </w:pPr>
            <w:r>
              <w:rPr>
                <w:rFonts w:ascii="DM Sans" w:hAnsi="DM Sans" w:cs="DM Sans"/>
                <w:b w:val="0"/>
                <w:i w:val="0"/>
                <w:color w:val="050C2A"/>
                <w:sz w:val="20"/>
                <w:u w:val="none"/>
              </w:rPr>
              <w:t>1.07</w:t>
            </w:r>
          </w:p>
        </w:tc>
        <w:tc>
          <w:tcPr>
            <w:tcW w:type="dxa" w:w="1195"/>
            <w:vAlign w:val="center"/>
          </w:tcPr>
          <w:p>
            <w:pPr>
              <w:spacing w:before="30" w:after="30"/>
            </w:pPr>
            <w:r>
              <w:rPr>
                <w:rFonts w:ascii="DM Sans" w:hAnsi="DM Sans" w:cs="DM Sans"/>
                <w:b w:val="0"/>
                <w:i w:val="0"/>
                <w:color w:val="050C2A"/>
                <w:sz w:val="20"/>
                <w:u w:val="none"/>
              </w:rPr>
              <w:t>Project Work</w:t>
            </w:r>
          </w:p>
        </w:tc>
        <w:tc>
          <w:tcPr>
            <w:tcW w:type="dxa" w:w="2124"/>
            <w:vAlign w:val="center"/>
          </w:tcPr>
          <w:p>
            <w:pPr>
              <w:spacing w:before="30" w:after="30"/>
            </w:pPr>
            <w:r>
              <w:rPr>
                <w:rFonts w:ascii="DM Sans" w:hAnsi="DM Sans" w:cs="DM Sans"/>
                <w:b w:val="0"/>
                <w:i w:val="0"/>
                <w:color w:val="050C2A"/>
                <w:sz w:val="20"/>
                <w:u w:val="none"/>
              </w:rPr>
              <w:t>Review project briefs</w:t>
            </w:r>
          </w:p>
        </w:tc>
        <w:tc>
          <w:tcPr>
            <w:tcW w:type="dxa" w:w="632"/>
            <w:vAlign w:val="center"/>
          </w:tcPr>
          <w:p>
            <w:pPr>
              <w:spacing w:before="30" w:after="30"/>
            </w:pPr>
            <w:r>
              <w:rPr>
                <w:rFonts w:ascii="DM Sans" w:hAnsi="DM Sans" w:cs="DM Sans"/>
                <w:b w:val="0"/>
                <w:i w:val="0"/>
                <w:color w:val="050C2A"/>
                <w:sz w:val="20"/>
                <w:u w:val="none"/>
              </w:rPr>
              <w:t>Project</w:t>
            </w:r>
          </w:p>
        </w:tc>
        <w:tc>
          <w:tcPr>
            <w:tcW w:type="dxa" w:w="792"/>
            <w:vAlign w:val="center"/>
          </w:tcPr>
          <w:p>
            <w:pPr>
              <w:spacing w:before="30" w:after="30"/>
            </w:pPr>
            <w:r>
              <w:rPr>
                <w:rFonts w:ascii="DM Sans" w:hAnsi="DM Sans" w:cs="DM Sans"/>
                <w:b w:val="0"/>
                <w:i w:val="0"/>
                <w:color w:val="050C2A"/>
                <w:sz w:val="20"/>
                <w:u w:val="none"/>
              </w:rPr>
              <w:t>60</w:t>
            </w:r>
          </w:p>
        </w:tc>
        <w:tc>
          <w:tcPr>
            <w:tcW w:type="dxa" w:w="3900"/>
            <w:vAlign w:val="center"/>
          </w:tcPr>
          <w:p>
            <w:pPr>
              <w:spacing w:before="30" w:after="30"/>
            </w:pPr>
            <w:r>
              <w:rPr>
                <w:rFonts w:ascii="DM Sans" w:hAnsi="DM Sans" w:cs="DM Sans"/>
                <w:b w:val="0"/>
                <w:i w:val="0"/>
                <w:color w:val="050C2A"/>
                <w:sz w:val="20"/>
                <w:u w:val="none"/>
              </w:rPr>
              <w:t>Students skim all available briefs before deep-reading; skimming first prevents anchoring on the first brief encountered; students select 2–3 finalists based on initial skim before deep-reading</w:t>
            </w:r>
          </w:p>
        </w:tc>
      </w:tr>
      <w:tr>
        <w:tc>
          <w:tcPr>
            <w:tcW w:type="dxa" w:w="717"/>
            <w:shd w:fill="F5F5F5" w:val="clear"/>
            <w:vAlign w:val="center"/>
          </w:tcPr>
          <w:p>
            <w:pPr>
              <w:spacing w:before="30" w:after="30"/>
            </w:pPr>
            <w:r>
              <w:rPr>
                <w:rFonts w:ascii="DM Sans" w:hAnsi="DM Sans" w:cs="DM Sans"/>
                <w:b w:val="0"/>
                <w:i w:val="0"/>
                <w:color w:val="050C2A"/>
                <w:sz w:val="20"/>
                <w:u w:val="none"/>
              </w:rPr>
              <w:t>1.08</w:t>
            </w:r>
          </w:p>
        </w:tc>
        <w:tc>
          <w:tcPr>
            <w:tcW w:type="dxa" w:w="1195"/>
            <w:shd w:fill="F5F5F5" w:val="clear"/>
            <w:vAlign w:val="center"/>
          </w:tcPr>
          <w:p>
            <w:pPr>
              <w:spacing w:before="30" w:after="30"/>
            </w:pPr>
            <w:r>
              <w:rPr>
                <w:rFonts w:ascii="DM Sans" w:hAnsi="DM Sans" w:cs="DM Sans"/>
                <w:b w:val="0"/>
                <w:i w:val="0"/>
                <w:color w:val="050C2A"/>
                <w:sz w:val="20"/>
                <w:u w:val="none"/>
              </w:rPr>
              <w:t>Project Work</w:t>
            </w:r>
          </w:p>
        </w:tc>
        <w:tc>
          <w:tcPr>
            <w:tcW w:type="dxa" w:w="2124"/>
            <w:shd w:fill="F5F5F5" w:val="clear"/>
            <w:vAlign w:val="center"/>
          </w:tcPr>
          <w:p>
            <w:pPr>
              <w:spacing w:before="30" w:after="30"/>
            </w:pPr>
            <w:r>
              <w:rPr>
                <w:rFonts w:ascii="DM Sans" w:hAnsi="DM Sans" w:cs="DM Sans"/>
                <w:b w:val="0"/>
                <w:i w:val="0"/>
                <w:color w:val="050C2A"/>
                <w:sz w:val="20"/>
                <w:u w:val="none"/>
              </w:rPr>
              <w:t>Complete student intake, including preference submission with written rationale</w:t>
            </w:r>
          </w:p>
        </w:tc>
        <w:tc>
          <w:tcPr>
            <w:tcW w:type="dxa" w:w="632"/>
            <w:shd w:fill="F5F5F5" w:val="clear"/>
            <w:vAlign w:val="center"/>
          </w:tcPr>
          <w:p>
            <w:pPr>
              <w:spacing w:before="30" w:after="30"/>
            </w:pPr>
            <w:r>
              <w:rPr>
                <w:rFonts w:ascii="DM Sans" w:hAnsi="DM Sans" w:cs="DM Sans"/>
                <w:b w:val="0"/>
                <w:i w:val="0"/>
                <w:color w:val="050C2A"/>
                <w:sz w:val="20"/>
                <w:u w:val="none"/>
              </w:rPr>
              <w:t>Project</w:t>
            </w:r>
          </w:p>
        </w:tc>
        <w:tc>
          <w:tcPr>
            <w:tcW w:type="dxa" w:w="792"/>
            <w:shd w:fill="F5F5F5" w:val="clear"/>
            <w:vAlign w:val="center"/>
          </w:tcPr>
          <w:p>
            <w:pPr>
              <w:spacing w:before="30" w:after="30"/>
            </w:pPr>
            <w:r>
              <w:rPr>
                <w:rFonts w:ascii="DM Sans" w:hAnsi="DM Sans" w:cs="DM Sans"/>
                <w:b w:val="0"/>
                <w:i w:val="0"/>
                <w:color w:val="050C2A"/>
                <w:sz w:val="20"/>
                <w:u w:val="none"/>
              </w:rPr>
              <w:t>55</w:t>
            </w:r>
          </w:p>
        </w:tc>
        <w:tc>
          <w:tcPr>
            <w:tcW w:type="dxa" w:w="3900"/>
            <w:shd w:fill="F5F5F5" w:val="clear"/>
            <w:vAlign w:val="center"/>
          </w:tcPr>
          <w:p>
            <w:pPr>
              <w:spacing w:before="30" w:after="30"/>
            </w:pPr>
            <w:r>
              <w:rPr>
                <w:rFonts w:ascii="DM Sans" w:hAnsi="DM Sans" w:cs="DM Sans"/>
                <w:b w:val="0"/>
                <w:i w:val="0"/>
                <w:color w:val="050C2A"/>
                <w:sz w:val="20"/>
                <w:u w:val="none"/>
              </w:rPr>
              <w:t>Frames the purpose of the intake questionnaire, how it will support project matching, and how it should be used for reflection and goal-tracking; written justification for project selections required; develops reasoned decision-making and surfaces student priorities</w:t>
            </w:r>
          </w:p>
        </w:tc>
      </w:tr>
      <w:tr>
        <w:tc>
          <w:tcPr>
            <w:tcW w:type="dxa" w:w="717"/>
            <w:vAlign w:val="center"/>
          </w:tcPr>
          <w:p>
            <w:pPr>
              <w:spacing w:before="30" w:after="30"/>
            </w:pPr>
            <w:r>
              <w:rPr>
                <w:rFonts w:ascii="DM Sans" w:hAnsi="DM Sans" w:cs="DM Sans"/>
                <w:b w:val="0"/>
                <w:i w:val="0"/>
                <w:color w:val="050C2A"/>
                <w:sz w:val="20"/>
                <w:u w:val="none"/>
              </w:rPr>
              <w:t>1.09</w:t>
            </w:r>
          </w:p>
        </w:tc>
        <w:tc>
          <w:tcPr>
            <w:tcW w:type="dxa" w:w="1195"/>
            <w:vAlign w:val="center"/>
          </w:tcPr>
          <w:p>
            <w:pPr>
              <w:spacing w:before="30" w:after="30"/>
            </w:pPr>
            <w:r>
              <w:rPr>
                <w:rFonts w:ascii="DM Sans" w:hAnsi="DM Sans" w:cs="DM Sans"/>
                <w:b w:val="0"/>
                <w:i w:val="0"/>
                <w:color w:val="050C2A"/>
                <w:sz w:val="20"/>
                <w:u w:val="none"/>
              </w:rPr>
              <w:t>Course Orientation</w:t>
            </w:r>
          </w:p>
        </w:tc>
        <w:tc>
          <w:tcPr>
            <w:tcW w:type="dxa" w:w="2124"/>
            <w:vAlign w:val="center"/>
          </w:tcPr>
          <w:p>
            <w:pPr>
              <w:spacing w:before="30" w:after="30"/>
            </w:pPr>
            <w:r>
              <w:rPr>
                <w:rFonts w:ascii="DM Sans" w:hAnsi="DM Sans" w:cs="DM Sans"/>
                <w:b w:val="0"/>
                <w:i w:val="0"/>
                <w:color w:val="050C2A"/>
                <w:sz w:val="20"/>
                <w:u w:val="none"/>
              </w:rPr>
              <w:t>LMS introduction post + reading peers</w:t>
            </w:r>
          </w:p>
        </w:tc>
        <w:tc>
          <w:tcPr>
            <w:tcW w:type="dxa" w:w="632"/>
            <w:vAlign w:val="center"/>
          </w:tcPr>
          <w:p>
            <w:pPr>
              <w:spacing w:before="30" w:after="30"/>
            </w:pPr>
            <w:r>
              <w:rPr>
                <w:rFonts w:ascii="DM Sans" w:hAnsi="DM Sans" w:cs="DM Sans"/>
                <w:b w:val="0"/>
                <w:i w:val="0"/>
                <w:color w:val="050C2A"/>
                <w:sz w:val="20"/>
                <w:u w:val="none"/>
              </w:rPr>
              <w:t>Admin</w:t>
            </w:r>
          </w:p>
        </w:tc>
        <w:tc>
          <w:tcPr>
            <w:tcW w:type="dxa" w:w="792"/>
            <w:vAlign w:val="center"/>
          </w:tcPr>
          <w:p>
            <w:pPr>
              <w:spacing w:before="30" w:after="30"/>
            </w:pPr>
            <w:r>
              <w:rPr>
                <w:rFonts w:ascii="DM Sans" w:hAnsi="DM Sans" w:cs="DM Sans"/>
                <w:b w:val="0"/>
                <w:i w:val="0"/>
                <w:color w:val="050C2A"/>
                <w:sz w:val="20"/>
                <w:u w:val="none"/>
              </w:rPr>
              <w:t>75</w:t>
            </w:r>
          </w:p>
        </w:tc>
        <w:tc>
          <w:tcPr>
            <w:tcW w:type="dxa" w:w="3900"/>
            <w:vAlign w:val="center"/>
          </w:tcPr>
          <w:p>
            <w:pPr>
              <w:spacing w:before="30" w:after="30"/>
            </w:pPr>
            <w:r>
              <w:rPr>
                <w:rFonts w:ascii="DM Sans" w:hAnsi="DM Sans" w:cs="DM Sans"/>
                <w:b w:val="0"/>
                <w:i w:val="0"/>
                <w:color w:val="050C2A"/>
                <w:sz w:val="20"/>
                <w:u w:val="none"/>
              </w:rPr>
              <w:t>Community-building before teams are assigned; students post a self-intro and respond to peers</w:t>
            </w:r>
          </w:p>
        </w:tc>
      </w:tr>
      <w:tr>
        <w:tc>
          <w:tcPr>
            <w:tcW w:type="dxa" w:w="717"/>
            <w:shd w:fill="F5F5F5" w:val="clear"/>
            <w:vAlign w:val="center"/>
          </w:tcPr>
          <w:p>
            <w:pPr>
              <w:spacing w:before="30" w:after="30"/>
            </w:pPr>
            <w:r>
              <w:rPr>
                <w:rFonts w:ascii="DM Sans" w:hAnsi="DM Sans" w:cs="DM Sans"/>
                <w:b w:val="0"/>
                <w:i w:val="0"/>
                <w:color w:val="050C2A"/>
                <w:sz w:val="20"/>
                <w:u w:val="none"/>
              </w:rPr>
              <w:t>1.10</w:t>
            </w:r>
          </w:p>
        </w:tc>
        <w:tc>
          <w:tcPr>
            <w:tcW w:type="dxa" w:w="1195"/>
            <w:shd w:fill="F5F5F5" w:val="clear"/>
            <w:vAlign w:val="center"/>
          </w:tcPr>
          <w:p>
            <w:pPr>
              <w:spacing w:before="30" w:after="30"/>
            </w:pPr>
            <w:r>
              <w:rPr>
                <w:rFonts w:ascii="DM Sans" w:hAnsi="DM Sans" w:cs="DM Sans"/>
                <w:b w:val="0"/>
                <w:i w:val="0"/>
                <w:color w:val="050C2A"/>
                <w:sz w:val="20"/>
                <w:u w:val="none"/>
              </w:rPr>
              <w:t>Professional Fundamentals</w:t>
            </w:r>
          </w:p>
        </w:tc>
        <w:tc>
          <w:tcPr>
            <w:tcW w:type="dxa" w:w="2124"/>
            <w:shd w:fill="F5F5F5" w:val="clear"/>
            <w:vAlign w:val="center"/>
          </w:tcPr>
          <w:p>
            <w:pPr>
              <w:spacing w:before="30" w:after="30"/>
            </w:pPr>
            <w:r>
              <w:rPr>
                <w:rFonts w:ascii="DM Sans" w:hAnsi="DM Sans" w:cs="DM Sans"/>
                <w:b w:val="0"/>
                <w:i w:val="0"/>
                <w:color w:val="050C2A"/>
                <w:sz w:val="20"/>
                <w:u w:val="none"/>
              </w:rPr>
              <w:t>Module: Introduction to Reflective Practice and the DEAL Model</w:t>
            </w:r>
          </w:p>
        </w:tc>
        <w:tc>
          <w:tcPr>
            <w:tcW w:type="dxa" w:w="632"/>
            <w:shd w:fill="F5F5F5" w:val="clear"/>
            <w:vAlign w:val="center"/>
          </w:tcPr>
          <w:p>
            <w:pPr>
              <w:spacing w:before="30" w:after="30"/>
            </w:pPr>
            <w:r>
              <w:rPr>
                <w:rFonts w:ascii="DM Sans" w:hAnsi="DM Sans" w:cs="DM Sans"/>
                <w:b w:val="0"/>
                <w:i w:val="0"/>
                <w:color w:val="050C2A"/>
                <w:sz w:val="20"/>
                <w:u w:val="none"/>
              </w:rPr>
              <w:t>Module</w:t>
            </w:r>
          </w:p>
        </w:tc>
        <w:tc>
          <w:tcPr>
            <w:tcW w:type="dxa" w:w="792"/>
            <w:shd w:fill="F5F5F5" w:val="clear"/>
            <w:vAlign w:val="center"/>
          </w:tcPr>
          <w:p>
            <w:pPr>
              <w:spacing w:before="30" w:after="30"/>
            </w:pPr>
            <w:r>
              <w:rPr>
                <w:rFonts w:ascii="DM Sans" w:hAnsi="DM Sans" w:cs="DM Sans"/>
                <w:b w:val="0"/>
                <w:i w:val="0"/>
                <w:color w:val="050C2A"/>
                <w:sz w:val="20"/>
                <w:u w:val="none"/>
              </w:rPr>
              <w:t>15</w:t>
            </w:r>
          </w:p>
        </w:tc>
        <w:tc>
          <w:tcPr>
            <w:tcW w:type="dxa" w:w="3900"/>
            <w:shd w:fill="F5F5F5" w:val="clear"/>
            <w:vAlign w:val="center"/>
          </w:tcPr>
          <w:p>
            <w:pPr>
              <w:spacing w:before="30" w:after="30"/>
            </w:pPr>
            <w:r>
              <w:rPr>
                <w:rFonts w:ascii="DM Sans" w:hAnsi="DM Sans" w:cs="DM Sans"/>
                <w:b w:val="0"/>
                <w:i w:val="0"/>
                <w:color w:val="050C2A"/>
                <w:sz w:val="20"/>
                <w:u w:val="none"/>
              </w:rPr>
              <w:t>Introduces reflective practice as a professional skill; teaches the three DEAL stages (Describe, Examine, Articulate Learning) with a worked example; students will apply the framework for the first time in Week 3</w:t>
            </w:r>
          </w:p>
        </w:tc>
      </w:tr>
      <w:tr>
        <w:tc>
          <w:tcPr>
            <w:tcW w:type="dxa" w:w="717"/>
            <w:vAlign w:val="center"/>
          </w:tcPr>
          <w:p>
            <w:pPr>
              <w:spacing w:before="30" w:after="30"/>
            </w:pPr>
            <w:r>
              <w:rPr>
                <w:rFonts w:ascii="DM Sans" w:hAnsi="DM Sans" w:cs="DM Sans"/>
                <w:b w:val="0"/>
                <w:i w:val="0"/>
                <w:color w:val="050C2A"/>
                <w:sz w:val="20"/>
                <w:u w:val="none"/>
              </w:rPr>
              <w:t>1.11</w:t>
            </w:r>
          </w:p>
        </w:tc>
        <w:tc>
          <w:tcPr>
            <w:tcW w:type="dxa" w:w="1195"/>
            <w:vAlign w:val="center"/>
          </w:tcPr>
          <w:p>
            <w:pPr>
              <w:spacing w:before="30" w:after="30"/>
            </w:pPr>
            <w:r>
              <w:rPr>
                <w:rFonts w:ascii="DM Sans" w:hAnsi="DM Sans" w:cs="DM Sans"/>
                <w:b w:val="0"/>
                <w:i w:val="0"/>
                <w:color w:val="050C2A"/>
                <w:sz w:val="20"/>
                <w:u w:val="none"/>
              </w:rPr>
              <w:t>Professional Fundamentals</w:t>
            </w:r>
          </w:p>
        </w:tc>
        <w:tc>
          <w:tcPr>
            <w:tcW w:type="dxa" w:w="2124"/>
            <w:vAlign w:val="center"/>
          </w:tcPr>
          <w:p>
            <w:pPr>
              <w:spacing w:before="30" w:after="30"/>
            </w:pPr>
            <w:r>
              <w:rPr>
                <w:rFonts w:ascii="DM Sans" w:hAnsi="DM Sans" w:cs="DM Sans"/>
                <w:b w:val="0"/>
                <w:i w:val="0"/>
                <w:color w:val="050C2A"/>
                <w:sz w:val="20"/>
                <w:u w:val="none"/>
              </w:rPr>
              <w:t>Setting Yourself Up for Success</w:t>
            </w:r>
          </w:p>
        </w:tc>
        <w:tc>
          <w:tcPr>
            <w:tcW w:type="dxa" w:w="632"/>
            <w:vAlign w:val="center"/>
          </w:tcPr>
          <w:p>
            <w:pPr>
              <w:spacing w:before="30" w:after="30"/>
            </w:pPr>
            <w:r>
              <w:rPr>
                <w:rFonts w:ascii="DM Sans" w:hAnsi="DM Sans" w:cs="DM Sans"/>
                <w:b w:val="0"/>
                <w:i w:val="0"/>
                <w:color w:val="050C2A"/>
                <w:sz w:val="20"/>
                <w:u w:val="none"/>
              </w:rPr>
              <w:t>Module</w:t>
            </w:r>
          </w:p>
        </w:tc>
        <w:tc>
          <w:tcPr>
            <w:tcW w:type="dxa" w:w="792"/>
            <w:vAlign w:val="center"/>
          </w:tcPr>
          <w:p>
            <w:pPr>
              <w:spacing w:before="30" w:after="30"/>
            </w:pPr>
            <w:r>
              <w:rPr>
                <w:rFonts w:ascii="DM Sans" w:hAnsi="DM Sans" w:cs="DM Sans"/>
                <w:b w:val="0"/>
                <w:i w:val="0"/>
                <w:color w:val="050C2A"/>
                <w:sz w:val="20"/>
                <w:u w:val="none"/>
              </w:rPr>
              <w:t>30</w:t>
            </w:r>
          </w:p>
        </w:tc>
        <w:tc>
          <w:tcPr>
            <w:tcW w:type="dxa" w:w="3900"/>
            <w:vAlign w:val="center"/>
          </w:tcPr>
          <w:p>
            <w:pPr>
              <w:spacing w:before="30" w:after="30"/>
            </w:pPr>
            <w:r>
              <w:rPr>
                <w:rFonts w:ascii="DM Sans" w:hAnsi="DM Sans" w:cs="DM Sans"/>
                <w:b w:val="0"/>
                <w:i w:val="0"/>
                <w:color w:val="050C2A"/>
                <w:sz w:val="20"/>
                <w:u w:val="none"/>
              </w:rPr>
              <w:t>Time management and planning basics for project-based work; early-semester planning is a reliable predictor of student performance</w:t>
            </w:r>
          </w:p>
        </w:tc>
      </w:tr>
      <w:tr>
        <w:tc>
          <w:tcPr>
            <w:tcW w:type="dxa" w:w="717"/>
            <w:shd w:fill="F5F5F5" w:val="clear"/>
            <w:vAlign w:val="center"/>
          </w:tcPr>
          <w:p>
            <w:pPr>
              <w:spacing w:before="30" w:after="30"/>
            </w:pPr>
            <w:r>
              <w:rPr>
                <w:rFonts w:ascii="DM Sans" w:hAnsi="DM Sans" w:cs="DM Sans"/>
                <w:b w:val="0"/>
                <w:i w:val="0"/>
                <w:color w:val="050C2A"/>
                <w:sz w:val="20"/>
                <w:u w:val="none"/>
              </w:rPr>
              <w:t>1.12</w:t>
            </w:r>
          </w:p>
        </w:tc>
        <w:tc>
          <w:tcPr>
            <w:tcW w:type="dxa" w:w="1195"/>
            <w:shd w:fill="F5F5F5" w:val="clear"/>
            <w:vAlign w:val="center"/>
          </w:tcPr>
          <w:p>
            <w:pPr>
              <w:spacing w:before="30" w:after="30"/>
            </w:pPr>
            <w:r>
              <w:rPr>
                <w:rFonts w:ascii="DM Sans" w:hAnsi="DM Sans" w:cs="DM Sans"/>
                <w:b w:val="0"/>
                <w:i w:val="0"/>
                <w:color w:val="050C2A"/>
                <w:sz w:val="20"/>
                <w:u w:val="none"/>
              </w:rPr>
              <w:t>Course Orientation</w:t>
            </w:r>
          </w:p>
        </w:tc>
        <w:tc>
          <w:tcPr>
            <w:tcW w:type="dxa" w:w="2124"/>
            <w:shd w:fill="F5F5F5" w:val="clear"/>
            <w:vAlign w:val="center"/>
          </w:tcPr>
          <w:p>
            <w:pPr>
              <w:spacing w:before="30" w:after="30"/>
            </w:pPr>
            <w:r>
              <w:rPr>
                <w:rFonts w:ascii="DM Sans" w:hAnsi="DM Sans" w:cs="DM Sans"/>
                <w:b w:val="0"/>
                <w:i w:val="0"/>
                <w:color w:val="050C2A"/>
                <w:sz w:val="20"/>
                <w:u w:val="none"/>
              </w:rPr>
              <w:t>Course calendar / planning</w:t>
            </w:r>
          </w:p>
        </w:tc>
        <w:tc>
          <w:tcPr>
            <w:tcW w:type="dxa" w:w="632"/>
            <w:shd w:fill="F5F5F5" w:val="clear"/>
            <w:vAlign w:val="center"/>
          </w:tcPr>
          <w:p>
            <w:pPr>
              <w:spacing w:before="30" w:after="30"/>
            </w:pPr>
            <w:r>
              <w:rPr>
                <w:rFonts w:ascii="DM Sans" w:hAnsi="DM Sans" w:cs="DM Sans"/>
                <w:b w:val="0"/>
                <w:i w:val="0"/>
                <w:color w:val="050C2A"/>
                <w:sz w:val="20"/>
                <w:u w:val="none"/>
              </w:rPr>
              <w:t>Admin</w:t>
            </w:r>
          </w:p>
        </w:tc>
        <w:tc>
          <w:tcPr>
            <w:tcW w:type="dxa" w:w="792"/>
            <w:shd w:fill="F5F5F5" w:val="clear"/>
            <w:vAlign w:val="center"/>
          </w:tcPr>
          <w:p>
            <w:pPr>
              <w:spacing w:before="30" w:after="30"/>
            </w:pPr>
            <w:r>
              <w:rPr>
                <w:rFonts w:ascii="DM Sans" w:hAnsi="DM Sans" w:cs="DM Sans"/>
                <w:b w:val="0"/>
                <w:i w:val="0"/>
                <w:color w:val="050C2A"/>
                <w:sz w:val="20"/>
                <w:u w:val="none"/>
              </w:rPr>
              <w:t>15</w:t>
            </w:r>
          </w:p>
        </w:tc>
        <w:tc>
          <w:tcPr>
            <w:tcW w:type="dxa" w:w="3900"/>
            <w:shd w:fill="F5F5F5" w:val="clear"/>
            <w:vAlign w:val="center"/>
          </w:tcPr>
          <w:p>
            <w:pPr>
              <w:spacing w:before="30" w:after="30"/>
            </w:pPr>
            <w:r>
              <w:rPr>
                <w:rFonts w:ascii="DM Sans" w:hAnsi="DM Sans" w:cs="DM Sans"/>
                <w:b w:val="0"/>
                <w:i w:val="0"/>
                <w:color w:val="050C2A"/>
                <w:sz w:val="20"/>
                <w:u w:val="none"/>
              </w:rPr>
              <w:t>Students map deliverable dates to their own calendars; supports time management and reduces late submissions</w:t>
            </w:r>
          </w:p>
        </w:tc>
      </w:tr>
      <w:tr>
        <w:tc>
          <w:tcPr>
            <w:tcW w:type="dxa" w:w="717"/>
            <w:vAlign w:val="center"/>
          </w:tcPr>
          <w:p>
            <w:pPr>
              <w:spacing w:before="30" w:after="30"/>
            </w:pPr>
            <w:r>
              <w:rPr>
                <w:rFonts w:ascii="DM Sans" w:hAnsi="DM Sans" w:cs="DM Sans"/>
                <w:b w:val="0"/>
                <w:i w:val="0"/>
                <w:color w:val="050C2A"/>
                <w:sz w:val="20"/>
                <w:u w:val="none"/>
              </w:rPr>
              <w:t>1.13</w:t>
            </w:r>
          </w:p>
        </w:tc>
        <w:tc>
          <w:tcPr>
            <w:tcW w:type="dxa" w:w="1195"/>
            <w:vAlign w:val="center"/>
          </w:tcPr>
          <w:p>
            <w:pPr>
              <w:spacing w:before="30" w:after="30"/>
            </w:pPr>
            <w:r>
              <w:rPr>
                <w:rFonts w:ascii="DM Sans" w:hAnsi="DM Sans" w:cs="DM Sans"/>
                <w:b w:val="0"/>
                <w:i w:val="0"/>
                <w:color w:val="050C2A"/>
                <w:sz w:val="20"/>
                <w:u w:val="none"/>
              </w:rPr>
              <w:t>Professional Fundamentals</w:t>
            </w:r>
          </w:p>
        </w:tc>
        <w:tc>
          <w:tcPr>
            <w:tcW w:type="dxa" w:w="2124"/>
            <w:vAlign w:val="center"/>
          </w:tcPr>
          <w:p>
            <w:pPr>
              <w:spacing w:before="30" w:after="30"/>
            </w:pPr>
            <w:r>
              <w:rPr>
                <w:rFonts w:ascii="DM Sans" w:hAnsi="DM Sans" w:cs="DM Sans"/>
                <w:b w:val="0"/>
                <w:i w:val="0"/>
                <w:color w:val="050C2A"/>
                <w:sz w:val="20"/>
                <w:u w:val="none"/>
              </w:rPr>
              <w:t>Professional Email Basics</w:t>
            </w:r>
          </w:p>
        </w:tc>
        <w:tc>
          <w:tcPr>
            <w:tcW w:type="dxa" w:w="632"/>
            <w:vAlign w:val="center"/>
          </w:tcPr>
          <w:p>
            <w:pPr>
              <w:spacing w:before="30" w:after="30"/>
            </w:pPr>
            <w:r>
              <w:rPr>
                <w:rFonts w:ascii="DM Sans" w:hAnsi="DM Sans" w:cs="DM Sans"/>
                <w:b w:val="0"/>
                <w:i w:val="0"/>
                <w:color w:val="050C2A"/>
                <w:sz w:val="20"/>
                <w:u w:val="none"/>
              </w:rPr>
              <w:t>Module</w:t>
            </w:r>
          </w:p>
        </w:tc>
        <w:tc>
          <w:tcPr>
            <w:tcW w:type="dxa" w:w="792"/>
            <w:vAlign w:val="center"/>
          </w:tcPr>
          <w:p>
            <w:pPr>
              <w:spacing w:before="30" w:after="30"/>
            </w:pPr>
            <w:r>
              <w:rPr>
                <w:rFonts w:ascii="DM Sans" w:hAnsi="DM Sans" w:cs="DM Sans"/>
                <w:b w:val="0"/>
                <w:i w:val="0"/>
                <w:color w:val="050C2A"/>
                <w:sz w:val="20"/>
                <w:u w:val="none"/>
              </w:rPr>
              <w:t>30</w:t>
            </w:r>
          </w:p>
        </w:tc>
        <w:tc>
          <w:tcPr>
            <w:tcW w:type="dxa" w:w="3900"/>
            <w:vAlign w:val="center"/>
          </w:tcPr>
          <w:p>
            <w:pPr>
              <w:spacing w:before="30" w:after="30"/>
            </w:pPr>
            <w:r>
              <w:rPr>
                <w:rFonts w:ascii="DM Sans" w:hAnsi="DM Sans" w:cs="DM Sans"/>
                <w:b w:val="0"/>
                <w:i w:val="0"/>
                <w:color w:val="050C2A"/>
                <w:sz w:val="20"/>
                <w:u w:val="none"/>
              </w:rPr>
              <w:t>Practical skill introduced before students need to communicate professionally; applies immediately in Week 2 outreach</w:t>
            </w:r>
          </w:p>
        </w:tc>
      </w:tr>
      <w:tr>
        <w:tc>
          <w:tcPr>
            <w:tcW w:type="dxa" w:w="717"/>
            <w:shd w:fill="F5F5F5" w:val="clear"/>
            <w:vAlign w:val="center"/>
          </w:tcPr>
          <w:p>
            <w:pPr>
              <w:spacing w:before="30" w:after="30"/>
            </w:pPr>
            <w:r>
              <w:rPr>
                <w:rFonts w:ascii="DM Sans" w:hAnsi="DM Sans" w:cs="DM Sans"/>
                <w:b w:val="0"/>
                <w:i w:val="0"/>
                <w:color w:val="050C2A"/>
                <w:sz w:val="20"/>
                <w:u w:val="none"/>
              </w:rPr>
              <w:t>1.14</w:t>
            </w:r>
          </w:p>
        </w:tc>
        <w:tc>
          <w:tcPr>
            <w:tcW w:type="dxa" w:w="1195"/>
            <w:shd w:fill="F5F5F5" w:val="clear"/>
            <w:vAlign w:val="center"/>
          </w:tcPr>
          <w:p>
            <w:pPr>
              <w:spacing w:before="30" w:after="30"/>
            </w:pPr>
            <w:r>
              <w:rPr>
                <w:rFonts w:ascii="DM Sans" w:hAnsi="DM Sans" w:cs="DM Sans"/>
                <w:b w:val="0"/>
                <w:i w:val="0"/>
                <w:color w:val="050C2A"/>
                <w:sz w:val="20"/>
                <w:u w:val="none"/>
              </w:rPr>
              <w:t>Team Formation</w:t>
            </w:r>
          </w:p>
        </w:tc>
        <w:tc>
          <w:tcPr>
            <w:tcW w:type="dxa" w:w="2124"/>
            <w:shd w:fill="F5F5F5" w:val="clear"/>
            <w:vAlign w:val="center"/>
          </w:tcPr>
          <w:p>
            <w:pPr>
              <w:spacing w:before="30" w:after="30"/>
            </w:pPr>
            <w:r>
              <w:rPr>
                <w:rFonts w:ascii="DM Sans" w:hAnsi="DM Sans" w:cs="DM Sans"/>
                <w:b w:val="0"/>
                <w:i w:val="0"/>
                <w:color w:val="050C2A"/>
                <w:sz w:val="20"/>
                <w:u w:val="none"/>
              </w:rPr>
              <w:t>Team norms overview</w:t>
            </w:r>
          </w:p>
        </w:tc>
        <w:tc>
          <w:tcPr>
            <w:tcW w:type="dxa" w:w="632"/>
            <w:shd w:fill="F5F5F5" w:val="clear"/>
            <w:vAlign w:val="center"/>
          </w:tcPr>
          <w:p>
            <w:pPr>
              <w:spacing w:before="30" w:after="30"/>
            </w:pPr>
            <w:r>
              <w:rPr>
                <w:rFonts w:ascii="DM Sans" w:hAnsi="DM Sans" w:cs="DM Sans"/>
                <w:b w:val="0"/>
                <w:i w:val="0"/>
                <w:color w:val="050C2A"/>
                <w:sz w:val="20"/>
                <w:u w:val="none"/>
              </w:rPr>
              <w:t>Project</w:t>
            </w:r>
          </w:p>
        </w:tc>
        <w:tc>
          <w:tcPr>
            <w:tcW w:type="dxa" w:w="792"/>
            <w:shd w:fill="F5F5F5" w:val="clear"/>
            <w:vAlign w:val="center"/>
          </w:tcPr>
          <w:p>
            <w:pPr>
              <w:spacing w:before="30" w:after="30"/>
            </w:pPr>
            <w:r>
              <w:rPr>
                <w:rFonts w:ascii="DM Sans" w:hAnsi="DM Sans" w:cs="DM Sans"/>
                <w:b w:val="0"/>
                <w:i w:val="0"/>
                <w:color w:val="050C2A"/>
                <w:sz w:val="20"/>
                <w:u w:val="none"/>
              </w:rPr>
              <w:t>30</w:t>
            </w:r>
          </w:p>
        </w:tc>
        <w:tc>
          <w:tcPr>
            <w:tcW w:type="dxa" w:w="3900"/>
            <w:shd w:fill="F5F5F5" w:val="clear"/>
            <w:vAlign w:val="center"/>
          </w:tcPr>
          <w:p>
            <w:pPr>
              <w:spacing w:before="30" w:after="30"/>
            </w:pPr>
            <w:r>
              <w:rPr>
                <w:rFonts w:ascii="DM Sans" w:hAnsi="DM Sans" w:cs="DM Sans"/>
                <w:b w:val="0"/>
                <w:i w:val="0"/>
                <w:color w:val="050C2A"/>
                <w:sz w:val="20"/>
                <w:u w:val="none"/>
              </w:rPr>
              <w:t>Pre-exposure to Week 2 content before teams are assigned; students arrive primed for the charter conversation with shared vocabulary</w:t>
            </w:r>
          </w:p>
        </w:tc>
      </w:tr>
      <w:tr>
        <w:tc>
          <w:tcPr>
            <w:tcW w:type="dxa" w:w="717"/>
            <w:vAlign w:val="center"/>
          </w:tcPr>
          <w:p>
            <w:pPr>
              <w:spacing w:before="30" w:after="30"/>
            </w:pPr>
            <w:r>
              <w:rPr>
                <w:rFonts w:ascii="DM Sans" w:hAnsi="DM Sans" w:cs="DM Sans"/>
                <w:b w:val="0"/>
                <w:i w:val="0"/>
                <w:color w:val="050C2A"/>
                <w:sz w:val="20"/>
                <w:u w:val="none"/>
              </w:rPr>
              <w:t>1.15</w:t>
            </w:r>
          </w:p>
        </w:tc>
        <w:tc>
          <w:tcPr>
            <w:tcW w:type="dxa" w:w="1195"/>
            <w:vAlign w:val="center"/>
          </w:tcPr>
          <w:p>
            <w:pPr>
              <w:spacing w:before="30" w:after="30"/>
            </w:pPr>
            <w:r>
              <w:rPr>
                <w:rFonts w:ascii="DM Sans" w:hAnsi="DM Sans" w:cs="DM Sans"/>
                <w:b w:val="0"/>
                <w:i w:val="0"/>
                <w:color w:val="050C2A"/>
                <w:sz w:val="20"/>
                <w:u w:val="none"/>
              </w:rPr>
              <w:t>Team Formation</w:t>
            </w:r>
          </w:p>
        </w:tc>
        <w:tc>
          <w:tcPr>
            <w:tcW w:type="dxa" w:w="2124"/>
            <w:vAlign w:val="center"/>
          </w:tcPr>
          <w:p>
            <w:pPr>
              <w:spacing w:before="30" w:after="30"/>
            </w:pPr>
            <w:r>
              <w:rPr>
                <w:rFonts w:ascii="DM Sans" w:hAnsi="DM Sans" w:cs="DM Sans"/>
                <w:b w:val="0"/>
                <w:i w:val="0"/>
                <w:color w:val="050C2A"/>
                <w:sz w:val="20"/>
                <w:u w:val="none"/>
              </w:rPr>
              <w:t>Team Charter template review</w:t>
            </w:r>
          </w:p>
        </w:tc>
        <w:tc>
          <w:tcPr>
            <w:tcW w:type="dxa" w:w="632"/>
            <w:vAlign w:val="center"/>
          </w:tcPr>
          <w:p>
            <w:pPr>
              <w:spacing w:before="30" w:after="30"/>
            </w:pPr>
            <w:r>
              <w:rPr>
                <w:rFonts w:ascii="DM Sans" w:hAnsi="DM Sans" w:cs="DM Sans"/>
                <w:b w:val="0"/>
                <w:i w:val="0"/>
                <w:color w:val="050C2A"/>
                <w:sz w:val="20"/>
                <w:u w:val="none"/>
              </w:rPr>
              <w:t>Project</w:t>
            </w:r>
          </w:p>
        </w:tc>
        <w:tc>
          <w:tcPr>
            <w:tcW w:type="dxa" w:w="792"/>
            <w:vAlign w:val="center"/>
          </w:tcPr>
          <w:p>
            <w:pPr>
              <w:spacing w:before="30" w:after="30"/>
            </w:pPr>
            <w:r>
              <w:rPr>
                <w:rFonts w:ascii="DM Sans" w:hAnsi="DM Sans" w:cs="DM Sans"/>
                <w:b w:val="0"/>
                <w:i w:val="0"/>
                <w:color w:val="050C2A"/>
                <w:sz w:val="20"/>
                <w:u w:val="none"/>
              </w:rPr>
              <w:t>15</w:t>
            </w:r>
          </w:p>
        </w:tc>
        <w:tc>
          <w:tcPr>
            <w:tcW w:type="dxa" w:w="3900"/>
            <w:vAlign w:val="center"/>
          </w:tcPr>
          <w:p>
            <w:pPr>
              <w:spacing w:before="30" w:after="30"/>
            </w:pPr>
            <w:r>
              <w:rPr>
                <w:rFonts w:ascii="DM Sans" w:hAnsi="DM Sans" w:cs="DM Sans"/>
                <w:b w:val="0"/>
                <w:i w:val="0"/>
                <w:color w:val="050C2A"/>
                <w:sz w:val="20"/>
                <w:u w:val="none"/>
              </w:rPr>
              <w:t>Template review only — not completed this week; reduces cognitive load when teams meet in Week 2</w:t>
            </w:r>
          </w:p>
        </w:tc>
      </w:tr>
      <w:tr>
        <w:tc>
          <w:tcPr>
            <w:tcW w:type="dxa" w:w="717"/>
            <w:shd w:fill="F5F5F5" w:val="clear"/>
            <w:vAlign w:val="center"/>
          </w:tcPr>
          <w:p>
            <w:pPr>
              <w:spacing w:before="30" w:after="30"/>
            </w:pPr>
            <w:r>
              <w:rPr>
                <w:rFonts w:ascii="DM Sans" w:hAnsi="DM Sans" w:cs="DM Sans"/>
                <w:b/>
                <w:i w:val="0"/>
                <w:color w:val="050C2A"/>
                <w:sz w:val="20"/>
                <w:u w:val="none"/>
              </w:rPr>
              <w:t>TOTAL</w:t>
            </w:r>
          </w:p>
        </w:tc>
        <w:tc>
          <w:tcPr>
            <w:tcW w:type="dxa" w:w="1195"/>
            <w:shd w:fill="F5F5F5" w:val="clear"/>
            <w:vAlign w:val="center"/>
          </w:tcPr>
          <w:p>
            <w:pPr>
              <w:spacing w:before="30" w:after="30"/>
            </w:pPr>
          </w:p>
        </w:tc>
        <w:tc>
          <w:tcPr>
            <w:tcW w:type="dxa" w:w="2124"/>
            <w:shd w:fill="F5F5F5" w:val="clear"/>
            <w:vAlign w:val="center"/>
          </w:tcPr>
          <w:p>
            <w:pPr>
              <w:spacing w:before="30" w:after="30"/>
            </w:pPr>
          </w:p>
        </w:tc>
        <w:tc>
          <w:tcPr>
            <w:tcW w:type="dxa" w:w="632"/>
            <w:shd w:fill="F5F5F5" w:val="clear"/>
            <w:vAlign w:val="center"/>
          </w:tcPr>
          <w:p>
            <w:pPr>
              <w:spacing w:before="30" w:after="30"/>
            </w:pPr>
          </w:p>
        </w:tc>
        <w:tc>
          <w:tcPr>
            <w:tcW w:type="dxa" w:w="792"/>
            <w:shd w:fill="F5F5F5" w:val="clear"/>
            <w:vAlign w:val="center"/>
          </w:tcPr>
          <w:p>
            <w:pPr>
              <w:spacing w:before="30" w:after="30"/>
            </w:pPr>
            <w:r>
              <w:rPr>
                <w:rFonts w:ascii="DM Sans" w:hAnsi="DM Sans" w:cs="DM Sans"/>
                <w:b/>
                <w:i w:val="0"/>
                <w:color w:val="050C2A"/>
                <w:sz w:val="20"/>
                <w:u w:val="none"/>
              </w:rPr>
              <w:t>460 min</w:t>
            </w:r>
          </w:p>
        </w:tc>
        <w:tc>
          <w:tcPr>
            <w:tcW w:type="dxa" w:w="3900"/>
            <w:shd w:fill="F5F5F5" w:val="clear"/>
            <w:vAlign w:val="center"/>
          </w:tcPr>
          <w:p>
            <w:pPr>
              <w:spacing w:before="30" w:after="30"/>
            </w:pPr>
            <w:r>
              <w:rPr>
                <w:rFonts w:ascii="DM Sans" w:hAnsi="DM Sans" w:cs="DM Sans"/>
                <w:b/>
                <w:i w:val="0"/>
                <w:color w:val="050C2A"/>
                <w:sz w:val="20"/>
                <w:u w:val="none"/>
              </w:rPr>
              <w:t>~7 hrs 40 min</w:t>
            </w:r>
          </w:p>
        </w:tc>
      </w:tr>
    </w:tbl>
    <w:p>
      <w:pPr>
        <w:spacing w:before="0" w:after="120"/>
      </w:pPr>
    </w:p>
    <w:p>
      <w:pPr>
        <w:spacing w:before="360" w:after="120"/>
      </w:pPr>
      <w:r>
        <w:rPr>
          <w:rFonts w:ascii="DM Sans" w:hAnsi="DM Sans" w:cs="DM Sans"/>
          <w:b/>
          <w:i w:val="0"/>
          <w:color w:val="050C2A"/>
          <w:sz w:val="34"/>
          <w:u w:val="none"/>
        </w:rPr>
        <w:t>Competency Alignment</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1814"/>
            <w:shd w:fill="FF7C0A" w:val="clear"/>
            <w:vAlign w:val="center"/>
          </w:tcPr>
          <w:p>
            <w:pPr>
              <w:jc w:val="left"/>
              <w:spacing w:before="40" w:after="40"/>
            </w:pPr>
            <w:r>
              <w:rPr>
                <w:rFonts w:ascii="DM Sans" w:hAnsi="DM Sans" w:cs="DM Sans"/>
                <w:b/>
                <w:i w:val="0"/>
                <w:color w:val="FFFFFF"/>
                <w:sz w:val="20"/>
                <w:u w:val="none"/>
              </w:rPr>
              <w:t>Competency Area</w:t>
            </w:r>
          </w:p>
        </w:tc>
        <w:tc>
          <w:tcPr>
            <w:tcW w:type="dxa" w:w="1750"/>
            <w:shd w:fill="FF7C0A" w:val="clear"/>
            <w:vAlign w:val="center"/>
          </w:tcPr>
          <w:p>
            <w:pPr>
              <w:jc w:val="left"/>
              <w:spacing w:before="40" w:after="40"/>
            </w:pPr>
            <w:r>
              <w:rPr>
                <w:rFonts w:ascii="DM Sans" w:hAnsi="DM Sans" w:cs="DM Sans"/>
                <w:b/>
                <w:i w:val="0"/>
                <w:color w:val="FFFFFF"/>
                <w:sz w:val="20"/>
                <w:u w:val="none"/>
              </w:rPr>
              <w:t>Subskill</w:t>
            </w:r>
          </w:p>
        </w:tc>
        <w:tc>
          <w:tcPr>
            <w:tcW w:type="dxa" w:w="5796"/>
            <w:shd w:fill="FF7C0A" w:val="clear"/>
            <w:vAlign w:val="center"/>
          </w:tcPr>
          <w:p>
            <w:pPr>
              <w:jc w:val="left"/>
              <w:spacing w:before="40" w:after="40"/>
            </w:pPr>
            <w:r>
              <w:rPr>
                <w:rFonts w:ascii="DM Sans" w:hAnsi="DM Sans" w:cs="DM Sans"/>
                <w:b/>
                <w:i w:val="0"/>
                <w:color w:val="FFFFFF"/>
                <w:sz w:val="20"/>
                <w:u w:val="none"/>
              </w:rPr>
              <w:t>How This Week Builds It</w:t>
            </w:r>
          </w:p>
        </w:tc>
      </w:tr>
      <w:tr>
        <w:tc>
          <w:tcPr>
            <w:tcW w:type="dxa" w:w="1814"/>
            <w:vAlign w:val="center"/>
          </w:tcPr>
          <w:p>
            <w:pPr>
              <w:spacing w:before="30" w:after="30"/>
            </w:pPr>
            <w:r>
              <w:rPr>
                <w:rFonts w:ascii="DM Sans" w:hAnsi="DM Sans" w:cs="DM Sans"/>
                <w:b/>
                <w:i w:val="0"/>
                <w:color w:val="050C2A"/>
                <w:sz w:val="20"/>
                <w:u w:val="none"/>
              </w:rPr>
              <w:t>Career &amp; Self-Development</w:t>
            </w:r>
          </w:p>
        </w:tc>
        <w:tc>
          <w:tcPr>
            <w:tcW w:type="dxa" w:w="1750"/>
            <w:vAlign w:val="center"/>
          </w:tcPr>
          <w:p>
            <w:pPr>
              <w:spacing w:before="30" w:after="30"/>
            </w:pPr>
            <w:r>
              <w:rPr>
                <w:rFonts w:ascii="DM Sans" w:hAnsi="DM Sans" w:cs="DM Sans"/>
                <w:b w:val="0"/>
                <w:i w:val="0"/>
                <w:color w:val="050C2A"/>
                <w:sz w:val="20"/>
                <w:u w:val="none"/>
              </w:rPr>
              <w:t>Self-awareness</w:t>
            </w:r>
          </w:p>
        </w:tc>
        <w:tc>
          <w:tcPr>
            <w:tcW w:type="dxa" w:w="5796"/>
            <w:vAlign w:val="center"/>
          </w:tcPr>
          <w:p>
            <w:pPr>
              <w:spacing w:before="30" w:after="30"/>
            </w:pPr>
            <w:r>
              <w:rPr>
                <w:rFonts w:ascii="DM Sans" w:hAnsi="DM Sans" w:cs="DM Sans"/>
                <w:b w:val="0"/>
                <w:i w:val="0"/>
                <w:color w:val="050C2A"/>
                <w:sz w:val="20"/>
                <w:u w:val="none"/>
              </w:rPr>
              <w:t>The intake questionnaire frames how project matching, reflection, and goal-tracking will work throughout the course; the written justification for project selections develops reasoned decision-making and surfaces student priorities early</w:t>
            </w:r>
          </w:p>
        </w:tc>
      </w:tr>
      <w:tr>
        <w:tc>
          <w:tcPr>
            <w:tcW w:type="dxa" w:w="1814"/>
            <w:shd w:fill="F5F5F5" w:val="clear"/>
            <w:vAlign w:val="center"/>
          </w:tcPr>
          <w:p>
            <w:pPr>
              <w:spacing w:before="30" w:after="30"/>
            </w:pPr>
            <w:r>
              <w:rPr>
                <w:rFonts w:ascii="DM Sans" w:hAnsi="DM Sans" w:cs="DM Sans"/>
                <w:b/>
                <w:i w:val="0"/>
                <w:color w:val="050C2A"/>
                <w:sz w:val="20"/>
                <w:u w:val="none"/>
              </w:rPr>
              <w:t>Career &amp; Self-Development</w:t>
            </w:r>
          </w:p>
        </w:tc>
        <w:tc>
          <w:tcPr>
            <w:tcW w:type="dxa" w:w="1750"/>
            <w:shd w:fill="F5F5F5" w:val="clear"/>
            <w:vAlign w:val="center"/>
          </w:tcPr>
          <w:p>
            <w:pPr>
              <w:spacing w:before="30" w:after="30"/>
            </w:pPr>
            <w:r>
              <w:rPr>
                <w:rFonts w:ascii="DM Sans" w:hAnsi="DM Sans" w:cs="DM Sans"/>
                <w:b w:val="0"/>
                <w:i w:val="0"/>
                <w:color w:val="050C2A"/>
                <w:sz w:val="20"/>
                <w:u w:val="none"/>
              </w:rPr>
              <w:t>Reflection</w:t>
            </w:r>
          </w:p>
        </w:tc>
        <w:tc>
          <w:tcPr>
            <w:tcW w:type="dxa" w:w="5796"/>
            <w:shd w:fill="F5F5F5" w:val="clear"/>
            <w:vAlign w:val="center"/>
          </w:tcPr>
          <w:p>
            <w:pPr>
              <w:spacing w:before="30" w:after="30"/>
            </w:pPr>
            <w:r>
              <w:rPr>
                <w:rFonts w:ascii="DM Sans" w:hAnsi="DM Sans" w:cs="DM Sans"/>
                <w:b w:val="0"/>
                <w:i w:val="0"/>
                <w:color w:val="050C2A"/>
                <w:sz w:val="20"/>
                <w:u w:val="none"/>
              </w:rPr>
              <w:t>Module 1.10 introduces DEAL as the reflective practice framework used throughout the course. Students encounter the framework before they need to use it, reducing cognitive load at Week 3 when the first reflection is due. The worked example gives students a concrete reference point to return to.</w:t>
            </w:r>
          </w:p>
        </w:tc>
      </w:tr>
      <w:tr>
        <w:tc>
          <w:tcPr>
            <w:tcW w:type="dxa" w:w="1814"/>
            <w:vAlign w:val="center"/>
          </w:tcPr>
          <w:p>
            <w:pPr>
              <w:spacing w:before="30" w:after="30"/>
            </w:pPr>
            <w:r>
              <w:rPr>
                <w:rFonts w:ascii="DM Sans" w:hAnsi="DM Sans" w:cs="DM Sans"/>
                <w:b/>
                <w:i w:val="0"/>
                <w:color w:val="050C2A"/>
                <w:sz w:val="20"/>
                <w:u w:val="none"/>
              </w:rPr>
              <w:t>Professionalism</w:t>
            </w:r>
          </w:p>
        </w:tc>
        <w:tc>
          <w:tcPr>
            <w:tcW w:type="dxa" w:w="1750"/>
            <w:vAlign w:val="center"/>
          </w:tcPr>
          <w:p>
            <w:pPr>
              <w:spacing w:before="30" w:after="30"/>
            </w:pPr>
            <w:r>
              <w:rPr>
                <w:rFonts w:ascii="DM Sans" w:hAnsi="DM Sans" w:cs="DM Sans"/>
                <w:b w:val="0"/>
                <w:i w:val="0"/>
                <w:color w:val="050C2A"/>
                <w:sz w:val="20"/>
                <w:u w:val="none"/>
              </w:rPr>
              <w:t>Dependability</w:t>
            </w:r>
          </w:p>
        </w:tc>
        <w:tc>
          <w:tcPr>
            <w:tcW w:type="dxa" w:w="5796"/>
            <w:vAlign w:val="center"/>
          </w:tcPr>
          <w:p>
            <w:pPr>
              <w:spacing w:before="30" w:after="30"/>
            </w:pPr>
            <w:r>
              <w:rPr>
                <w:rFonts w:ascii="DM Sans" w:hAnsi="DM Sans" w:cs="DM Sans"/>
                <w:b w:val="0"/>
                <w:i w:val="0"/>
                <w:color w:val="050C2A"/>
                <w:sz w:val="20"/>
                <w:u w:val="none"/>
              </w:rPr>
              <w:t>The time management module establishes expectations for sustained, distributed work rather than cramming; the calendar planning activity reinforces this from day one by making the full semester's commitments visible</w:t>
            </w:r>
          </w:p>
        </w:tc>
      </w:tr>
      <w:tr>
        <w:tc>
          <w:tcPr>
            <w:tcW w:type="dxa" w:w="1814"/>
            <w:shd w:fill="F5F5F5" w:val="clear"/>
            <w:vAlign w:val="center"/>
          </w:tcPr>
          <w:p>
            <w:pPr>
              <w:spacing w:before="30" w:after="30"/>
            </w:pPr>
            <w:r>
              <w:rPr>
                <w:rFonts w:ascii="DM Sans" w:hAnsi="DM Sans" w:cs="DM Sans"/>
                <w:b/>
                <w:i w:val="0"/>
                <w:color w:val="050C2A"/>
                <w:sz w:val="20"/>
                <w:u w:val="none"/>
              </w:rPr>
              <w:t>Communication</w:t>
            </w:r>
          </w:p>
        </w:tc>
        <w:tc>
          <w:tcPr>
            <w:tcW w:type="dxa" w:w="1750"/>
            <w:shd w:fill="F5F5F5" w:val="clear"/>
            <w:vAlign w:val="center"/>
          </w:tcPr>
          <w:p>
            <w:pPr>
              <w:spacing w:before="30" w:after="30"/>
            </w:pPr>
            <w:r>
              <w:rPr>
                <w:rFonts w:ascii="DM Sans" w:hAnsi="DM Sans" w:cs="DM Sans"/>
                <w:b w:val="0"/>
                <w:i w:val="0"/>
                <w:color w:val="050C2A"/>
                <w:sz w:val="20"/>
                <w:u w:val="none"/>
              </w:rPr>
              <w:t>Professional correspondence</w:t>
            </w:r>
          </w:p>
        </w:tc>
        <w:tc>
          <w:tcPr>
            <w:tcW w:type="dxa" w:w="5796"/>
            <w:shd w:fill="F5F5F5" w:val="clear"/>
            <w:vAlign w:val="center"/>
          </w:tcPr>
          <w:p>
            <w:pPr>
              <w:spacing w:before="30" w:after="30"/>
            </w:pPr>
            <w:r>
              <w:rPr>
                <w:rFonts w:ascii="DM Sans" w:hAnsi="DM Sans" w:cs="DM Sans"/>
                <w:b w:val="0"/>
                <w:i w:val="0"/>
                <w:color w:val="050C2A"/>
                <w:sz w:val="20"/>
                <w:u w:val="none"/>
              </w:rPr>
              <w:t>The email basics module introduces structure, tone, and context-sensitivity before students need to write professionally; the skill is applied immediately in Week 2 when the team sends outreach to their employer contact</w:t>
            </w:r>
          </w:p>
        </w:tc>
      </w:tr>
      <w:tr>
        <w:tc>
          <w:tcPr>
            <w:tcW w:type="dxa" w:w="1814"/>
            <w:vAlign w:val="center"/>
          </w:tcPr>
          <w:p>
            <w:pPr>
              <w:spacing w:before="30" w:after="30"/>
            </w:pPr>
            <w:r>
              <w:rPr>
                <w:rFonts w:ascii="DM Sans" w:hAnsi="DM Sans" w:cs="DM Sans"/>
                <w:b/>
                <w:i w:val="0"/>
                <w:color w:val="050C2A"/>
                <w:sz w:val="20"/>
                <w:u w:val="none"/>
              </w:rPr>
              <w:t>Critical Thinking</w:t>
            </w:r>
          </w:p>
        </w:tc>
        <w:tc>
          <w:tcPr>
            <w:tcW w:type="dxa" w:w="1750"/>
            <w:vAlign w:val="center"/>
          </w:tcPr>
          <w:p>
            <w:pPr>
              <w:spacing w:before="30" w:after="30"/>
            </w:pPr>
            <w:r>
              <w:rPr>
                <w:rFonts w:ascii="DM Sans" w:hAnsi="DM Sans" w:cs="DM Sans"/>
                <w:b w:val="0"/>
                <w:i w:val="0"/>
                <w:color w:val="050C2A"/>
                <w:sz w:val="20"/>
                <w:u w:val="none"/>
              </w:rPr>
              <w:t>Prioritization</w:t>
            </w:r>
          </w:p>
        </w:tc>
        <w:tc>
          <w:tcPr>
            <w:tcW w:type="dxa" w:w="5796"/>
            <w:vAlign w:val="center"/>
          </w:tcPr>
          <w:p>
            <w:pPr>
              <w:spacing w:before="30" w:after="30"/>
            </w:pPr>
            <w:r>
              <w:rPr>
                <w:rFonts w:ascii="DM Sans" w:hAnsi="DM Sans" w:cs="DM Sans"/>
                <w:b w:val="0"/>
                <w:i w:val="0"/>
                <w:color w:val="050C2A"/>
                <w:sz w:val="20"/>
                <w:u w:val="none"/>
              </w:rPr>
              <w:t>Project brief browsing and deep-reading requires active comparison across multiple options; the written preference rationale requires students to justify their choice rather than simply expressing a preference</w:t>
            </w:r>
          </w:p>
        </w:tc>
      </w:tr>
      <w:tr>
        <w:tc>
          <w:tcPr>
            <w:tcW w:type="dxa" w:w="1814"/>
            <w:shd w:fill="F5F5F5" w:val="clear"/>
            <w:vAlign w:val="center"/>
          </w:tcPr>
          <w:p>
            <w:pPr>
              <w:spacing w:before="30" w:after="30"/>
            </w:pPr>
            <w:r>
              <w:rPr>
                <w:rFonts w:ascii="DM Sans" w:hAnsi="DM Sans" w:cs="DM Sans"/>
                <w:b/>
                <w:i w:val="0"/>
                <w:color w:val="050C2A"/>
                <w:sz w:val="20"/>
                <w:u w:val="none"/>
              </w:rPr>
              <w:t>Teamwork</w:t>
            </w:r>
          </w:p>
        </w:tc>
        <w:tc>
          <w:tcPr>
            <w:tcW w:type="dxa" w:w="1750"/>
            <w:shd w:fill="F5F5F5" w:val="clear"/>
            <w:vAlign w:val="center"/>
          </w:tcPr>
          <w:p>
            <w:pPr>
              <w:spacing w:before="30" w:after="30"/>
            </w:pPr>
            <w:r>
              <w:rPr>
                <w:rFonts w:ascii="DM Sans" w:hAnsi="DM Sans" w:cs="DM Sans"/>
                <w:b w:val="0"/>
                <w:i w:val="0"/>
                <w:color w:val="050C2A"/>
                <w:sz w:val="20"/>
                <w:u w:val="none"/>
              </w:rPr>
              <w:t>Shared accountability</w:t>
            </w:r>
          </w:p>
        </w:tc>
        <w:tc>
          <w:tcPr>
            <w:tcW w:type="dxa" w:w="5796"/>
            <w:shd w:fill="F5F5F5" w:val="clear"/>
            <w:vAlign w:val="center"/>
          </w:tcPr>
          <w:p>
            <w:pPr>
              <w:spacing w:before="30" w:after="30"/>
            </w:pPr>
            <w:r>
              <w:rPr>
                <w:rFonts w:ascii="DM Sans" w:hAnsi="DM Sans" w:cs="DM Sans"/>
                <w:b w:val="0"/>
                <w:i w:val="0"/>
                <w:color w:val="050C2A"/>
                <w:sz w:val="20"/>
                <w:u w:val="none"/>
              </w:rPr>
              <w:t>The team norms reading and charter template review prime students for the Week 2 charter conversation; they arrive having already thought about what shared accountability means before the team has even met</w:t>
            </w:r>
          </w:p>
        </w:tc>
      </w:tr>
    </w:tbl>
    <w:p>
      <w:pPr>
        <w:spacing w:before="0" w:after="120"/>
      </w:pPr>
    </w:p>
    <w:p>
      <w:pPr>
        <w:spacing w:before="360" w:after="120"/>
      </w:pPr>
      <w:r>
        <w:rPr>
          <w:rFonts w:ascii="DM Sans" w:hAnsi="DM Sans" w:cs="DM Sans"/>
          <w:b/>
          <w:i w:val="0"/>
          <w:color w:val="050C2A"/>
          <w:sz w:val="34"/>
          <w:u w:val="none"/>
        </w:rPr>
        <w:t>Deliverable Connection</w:t>
      </w:r>
    </w:p>
    <w:p>
      <w:pPr>
        <w:spacing w:before="0" w:after="120" w:line="276" w:lineRule="auto"/>
      </w:pPr>
      <w:r>
        <w:rPr>
          <w:rFonts w:ascii="DM Sans" w:hAnsi="DM Sans" w:cs="DM Sans"/>
          <w:b/>
          <w:i w:val="0"/>
          <w:color w:val="050C2A"/>
          <w:sz w:val="20"/>
          <w:u w:val="none"/>
        </w:rPr>
        <w:t>Student Intake Questionnaire</w:t>
      </w:r>
      <w:r>
        <w:rPr>
          <w:rFonts w:ascii="DM Sans" w:hAnsi="DM Sans" w:cs="DM Sans"/>
          <w:b w:val="0"/>
          <w:i w:val="0"/>
          <w:color w:val="050C2A"/>
          <w:sz w:val="20"/>
          <w:u w:val="none"/>
        </w:rPr>
        <w:t xml:space="preserve"> → Career &amp; Self-Development: Self-awareness</w:t>
      </w:r>
    </w:p>
    <w:p>
      <w:pPr>
        <w:spacing w:before="0" w:after="120" w:line="276" w:lineRule="auto"/>
      </w:pPr>
      <w:r>
        <w:rPr>
          <w:rFonts w:ascii="DM Sans" w:hAnsi="DM Sans" w:cs="DM Sans"/>
          <w:b w:val="0"/>
          <w:i w:val="0"/>
          <w:color w:val="050C2A"/>
          <w:sz w:val="20"/>
          <w:u w:val="none"/>
        </w:rPr>
        <w:t>Checkpoint; completion-based. Frames the purpose of the intake questionnaire, how it will support project matching, and how it should be used for reflection and goal-tracking throughout the course. Must be completed without AI assistance; responses feed personalized reflection prompts later in the course, and AI-generated answers break that personalization chain. Not graded for quality, but honest completion is foundational to how the reflection system works. Students who approach this as a compliance task rather than a genuine self-assessment will get less out of the reflection sequence in Weeks 3, 6, 9, 12, and 15.</w:t>
      </w:r>
    </w:p>
    <w:p>
      <w:pPr>
        <w:spacing w:before="0" w:after="120" w:line="276" w:lineRule="auto"/>
      </w:pPr>
      <w:r>
        <w:rPr>
          <w:rFonts w:ascii="DM Sans" w:hAnsi="DM Sans" w:cs="DM Sans"/>
          <w:b/>
          <w:i w:val="0"/>
          <w:color w:val="050C2A"/>
          <w:sz w:val="20"/>
          <w:u w:val="none"/>
        </w:rPr>
        <w:t>Preference Submission</w:t>
      </w:r>
      <w:r>
        <w:rPr>
          <w:rFonts w:ascii="DM Sans" w:hAnsi="DM Sans" w:cs="DM Sans"/>
          <w:b w:val="0"/>
          <w:i w:val="0"/>
          <w:color w:val="050C2A"/>
          <w:sz w:val="20"/>
          <w:u w:val="none"/>
        </w:rPr>
        <w:t xml:space="preserve"> → Critical Thinking: Prioritization</w:t>
      </w:r>
    </w:p>
    <w:p>
      <w:pPr>
        <w:spacing w:before="0" w:after="120" w:line="276" w:lineRule="auto"/>
      </w:pPr>
      <w:r>
        <w:rPr>
          <w:rFonts w:ascii="DM Sans" w:hAnsi="DM Sans" w:cs="DM Sans"/>
          <w:b w:val="0"/>
          <w:i w:val="0"/>
          <w:color w:val="050C2A"/>
          <w:sz w:val="20"/>
          <w:u w:val="none"/>
        </w:rPr>
        <w:t>Platform task, not a standalone graded deliverable. The mechanism through which team and project assignments are made — students who do not complete it may be assigned by default. The written justification requirement makes this more than an administrative step; it develops reasoned decision-making and surfaces student priorities, which is the first instance of evidence-based reasoning in the course.</w:t>
      </w:r>
    </w:p>
    <w:p>
      <w:pPr>
        <w:spacing w:before="360" w:after="120"/>
      </w:pPr>
      <w:r>
        <w:rPr>
          <w:rFonts w:ascii="DM Sans" w:hAnsi="DM Sans" w:cs="DM Sans"/>
          <w:b/>
          <w:i w:val="0"/>
          <w:color w:val="050C2A"/>
          <w:sz w:val="34"/>
          <w:u w:val="none"/>
        </w:rPr>
        <w:t>AI in This Week</w:t>
      </w:r>
    </w:p>
    <w:p>
      <w:pPr>
        <w:spacing w:before="0" w:after="120" w:line="276" w:lineRule="auto"/>
      </w:pPr>
      <w:r>
        <w:rPr>
          <w:rFonts w:ascii="DM Sans" w:hAnsi="DM Sans" w:cs="DM Sans"/>
          <w:b/>
          <w:i w:val="0"/>
          <w:color w:val="050C2A"/>
          <w:sz w:val="20"/>
          <w:u w:val="none"/>
        </w:rPr>
        <w:t>Permitted and encouraged:</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Using AI to compare and evaluate project briefs — generating summary questions or a comparison framework to evaluate options across multiple briefs is a legitimate use of AI as a thinking tool</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Using AI to draft the LMS introduction post, then personalizing it before posting</w:t>
      </w:r>
    </w:p>
    <w:p>
      <w:pPr>
        <w:spacing w:before="0" w:after="120" w:line="276" w:lineRule="auto"/>
      </w:pPr>
      <w:r>
        <w:rPr>
          <w:rFonts w:ascii="DM Sans" w:hAnsi="DM Sans" w:cs="DM Sans"/>
          <w:b/>
          <w:i w:val="0"/>
          <w:color w:val="050C2A"/>
          <w:sz w:val="20"/>
          <w:u w:val="none"/>
        </w:rPr>
        <w:t>Off-limits this week:</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The Student Intake Questionnaire must be completed without AI assistance — this is one of the few hard prohibitions in the course; it is explicitly stated in the module and the assignment instructions; AI-generated responses break the personalization chain that the reflection system depends on</w:t>
      </w:r>
    </w:p>
    <w:p>
      <w:pPr>
        <w:spacing w:before="0" w:after="120" w:line="276" w:lineRule="auto"/>
      </w:pPr>
      <w:r>
        <w:rPr>
          <w:rFonts w:ascii="DM Sans" w:hAnsi="DM Sans" w:cs="DM Sans"/>
          <w:b/>
          <w:i w:val="0"/>
          <w:color w:val="050C2A"/>
          <w:sz w:val="20"/>
          <w:u w:val="none"/>
        </w:rPr>
        <w:t>No disclosure required this week</w:t>
      </w:r>
      <w:r>
        <w:rPr>
          <w:rFonts w:ascii="DM Sans" w:hAnsi="DM Sans" w:cs="DM Sans"/>
          <w:b w:val="0"/>
          <w:i w:val="0"/>
          <w:color w:val="050C2A"/>
          <w:sz w:val="20"/>
          <w:u w:val="none"/>
        </w:rPr>
        <w:t xml:space="preserve"> — no graded work is submitted, so the disclosure requirement is not yet in effect.</w:t>
      </w:r>
    </w:p>
    <w:p>
      <w:pPr>
        <w:spacing w:before="0" w:after="120" w:line="276" w:lineRule="auto"/>
      </w:pPr>
      <w:r>
        <w:rPr>
          <w:rFonts w:ascii="DM Sans" w:hAnsi="DM Sans" w:cs="DM Sans"/>
          <w:b/>
          <w:i w:val="0"/>
          <w:color w:val="050C2A"/>
          <w:sz w:val="20"/>
          <w:u w:val="none"/>
        </w:rPr>
        <w:t>Policy context:</w:t>
      </w:r>
      <w:r>
        <w:rPr>
          <w:rFonts w:ascii="DM Sans" w:hAnsi="DM Sans" w:cs="DM Sans"/>
          <w:b w:val="0"/>
          <w:i w:val="0"/>
          <w:color w:val="050C2A"/>
          <w:sz w:val="20"/>
          <w:u w:val="none"/>
        </w:rPr>
        <w:t xml:space="preserve"> The AI in Today's Workplace &amp; This Course module (1.04) introduces the full policy. Students are expected to have read it before Week 2, when graded work and AI-assisted tasks begin. No specific prompt strategies are introduced this week — that begins in Week 2 with the Using AI Responsibly module. The AI-as-Socratic-interlocutor strategy for DEAL reflections is introduced in Week 2 and first applied in Week 3.</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