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2 — Building Your Team</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130"/>
            <w:shd w:fill="FF7C0A" w:val="clear"/>
            <w:vAlign w:val="center"/>
          </w:tcPr>
          <w:p>
            <w:pPr>
              <w:jc w:val="left"/>
              <w:spacing w:before="40" w:after="40"/>
            </w:pPr>
            <w:r>
              <w:rPr>
                <w:rFonts w:ascii="DM Sans" w:hAnsi="DM Sans" w:cs="DM Sans"/>
                <w:b/>
                <w:i w:val="0"/>
                <w:color w:val="FFFFFF"/>
                <w:sz w:val="20"/>
                <w:u w:val="none"/>
              </w:rPr>
            </w:r>
          </w:p>
        </w:tc>
        <w:tc>
          <w:tcPr>
            <w:tcW w:type="dxa" w:w="6230"/>
            <w:shd w:fill="FF7C0A" w:val="clear"/>
            <w:vAlign w:val="center"/>
          </w:tcPr>
          <w:p>
            <w:pPr>
              <w:jc w:val="left"/>
              <w:spacing w:before="40" w:after="40"/>
            </w:pPr>
            <w:r>
              <w:rPr>
                <w:rFonts w:ascii="DM Sans" w:hAnsi="DM Sans" w:cs="DM Sans"/>
                <w:b/>
                <w:i w:val="0"/>
                <w:color w:val="FFFFFF"/>
                <w:sz w:val="20"/>
                <w:u w:val="none"/>
              </w:rPr>
            </w:r>
          </w:p>
        </w:tc>
      </w:tr>
      <w:tr>
        <w:tc>
          <w:tcPr>
            <w:tcW w:type="dxa" w:w="3130"/>
            <w:vAlign w:val="center"/>
          </w:tcPr>
          <w:p>
            <w:pPr>
              <w:spacing w:before="30" w:after="30"/>
            </w:pPr>
            <w:r>
              <w:rPr>
                <w:rFonts w:ascii="DM Sans" w:hAnsi="DM Sans" w:cs="DM Sans"/>
                <w:b/>
                <w:i w:val="0"/>
                <w:color w:val="050C2A"/>
                <w:sz w:val="20"/>
                <w:u w:val="none"/>
              </w:rPr>
              <w:t>Phase</w:t>
            </w:r>
          </w:p>
        </w:tc>
        <w:tc>
          <w:tcPr>
            <w:tcW w:type="dxa" w:w="6230"/>
            <w:vAlign w:val="center"/>
          </w:tcPr>
          <w:p>
            <w:pPr>
              <w:spacing w:before="30" w:after="30"/>
            </w:pPr>
            <w:r>
              <w:rPr>
                <w:rFonts w:ascii="DM Sans" w:hAnsi="DM Sans" w:cs="DM Sans"/>
                <w:b w:val="0"/>
                <w:i w:val="0"/>
                <w:color w:val="050C2A"/>
                <w:sz w:val="20"/>
                <w:u w:val="none"/>
              </w:rPr>
              <w:t>Foundation</w:t>
            </w:r>
          </w:p>
        </w:tc>
      </w:tr>
      <w:tr>
        <w:tc>
          <w:tcPr>
            <w:tcW w:type="dxa" w:w="3130"/>
            <w:shd w:fill="F5F5F5" w:val="clear"/>
            <w:vAlign w:val="center"/>
          </w:tcPr>
          <w:p>
            <w:pPr>
              <w:spacing w:before="30" w:after="30"/>
            </w:pPr>
            <w:r>
              <w:rPr>
                <w:rFonts w:ascii="DM Sans" w:hAnsi="DM Sans" w:cs="DM Sans"/>
                <w:b/>
                <w:i w:val="0"/>
                <w:color w:val="050C2A"/>
                <w:sz w:val="20"/>
                <w:u w:val="none"/>
              </w:rPr>
              <w:t>Module Title</w:t>
            </w:r>
          </w:p>
        </w:tc>
        <w:tc>
          <w:tcPr>
            <w:tcW w:type="dxa" w:w="6230"/>
            <w:shd w:fill="F5F5F5" w:val="clear"/>
            <w:vAlign w:val="center"/>
          </w:tcPr>
          <w:p>
            <w:pPr>
              <w:spacing w:before="30" w:after="30"/>
            </w:pPr>
            <w:r>
              <w:rPr>
                <w:rFonts w:ascii="DM Sans" w:hAnsi="DM Sans" w:cs="DM Sans"/>
                <w:b w:val="0"/>
                <w:i w:val="0"/>
                <w:color w:val="050C2A"/>
                <w:sz w:val="20"/>
                <w:u w:val="none"/>
              </w:rPr>
              <w:t>Building Your Team</w:t>
            </w:r>
          </w:p>
        </w:tc>
      </w:tr>
      <w:tr>
        <w:tc>
          <w:tcPr>
            <w:tcW w:type="dxa" w:w="3130"/>
            <w:vAlign w:val="center"/>
          </w:tcPr>
          <w:p>
            <w:pPr>
              <w:spacing w:before="30" w:after="30"/>
            </w:pPr>
            <w:r>
              <w:rPr>
                <w:rFonts w:ascii="DM Sans" w:hAnsi="DM Sans" w:cs="DM Sans"/>
                <w:b/>
                <w:i w:val="0"/>
                <w:color w:val="050C2A"/>
                <w:sz w:val="20"/>
                <w:u w:val="none"/>
              </w:rPr>
              <w:t>Primary Function</w:t>
            </w:r>
          </w:p>
        </w:tc>
        <w:tc>
          <w:tcPr>
            <w:tcW w:type="dxa" w:w="6230"/>
            <w:vAlign w:val="center"/>
          </w:tcPr>
          <w:p>
            <w:pPr>
              <w:spacing w:before="30" w:after="30"/>
            </w:pPr>
            <w:r>
              <w:rPr>
                <w:rFonts w:ascii="DM Sans" w:hAnsi="DM Sans" w:cs="DM Sans"/>
                <w:b w:val="0"/>
                <w:i w:val="0"/>
                <w:color w:val="050C2A"/>
                <w:sz w:val="20"/>
                <w:u w:val="none"/>
              </w:rPr>
              <w:t>Skill-building + Just-in-time prep</w:t>
            </w:r>
          </w:p>
        </w:tc>
      </w:tr>
      <w:tr>
        <w:tc>
          <w:tcPr>
            <w:tcW w:type="dxa" w:w="3130"/>
            <w:shd w:fill="F5F5F5" w:val="clear"/>
            <w:vAlign w:val="center"/>
          </w:tcPr>
          <w:p>
            <w:pPr>
              <w:spacing w:before="30" w:after="30"/>
            </w:pPr>
            <w:r>
              <w:rPr>
                <w:rFonts w:ascii="DM Sans" w:hAnsi="DM Sans" w:cs="DM Sans"/>
                <w:b/>
                <w:i w:val="0"/>
                <w:color w:val="050C2A"/>
                <w:sz w:val="20"/>
                <w:u w:val="none"/>
              </w:rPr>
              <w:t>Total Student Time</w:t>
            </w:r>
          </w:p>
        </w:tc>
        <w:tc>
          <w:tcPr>
            <w:tcW w:type="dxa" w:w="6230"/>
            <w:shd w:fill="F5F5F5" w:val="clear"/>
            <w:vAlign w:val="center"/>
          </w:tcPr>
          <w:p>
            <w:pPr>
              <w:spacing w:before="30" w:after="30"/>
            </w:pPr>
            <w:r>
              <w:rPr>
                <w:rFonts w:ascii="DM Sans" w:hAnsi="DM Sans" w:cs="DM Sans"/>
                <w:b w:val="0"/>
                <w:i w:val="0"/>
                <w:color w:val="050C2A"/>
                <w:sz w:val="20"/>
                <w:u w:val="none"/>
              </w:rPr>
              <w:t>~9 hrs 20 min (560 min)</w:t>
            </w:r>
          </w:p>
        </w:tc>
      </w:tr>
      <w:tr>
        <w:tc>
          <w:tcPr>
            <w:tcW w:type="dxa" w:w="3130"/>
            <w:vAlign w:val="center"/>
          </w:tcPr>
          <w:p>
            <w:pPr>
              <w:spacing w:before="30" w:after="30"/>
            </w:pPr>
            <w:r>
              <w:rPr>
                <w:rFonts w:ascii="DM Sans" w:hAnsi="DM Sans" w:cs="DM Sans"/>
                <w:b/>
                <w:i w:val="0"/>
                <w:color w:val="050C2A"/>
                <w:sz w:val="20"/>
                <w:u w:val="none"/>
              </w:rPr>
              <w:t>Deliverable This Week</w:t>
            </w:r>
          </w:p>
        </w:tc>
        <w:tc>
          <w:tcPr>
            <w:tcW w:type="dxa" w:w="6230"/>
            <w:vAlign w:val="center"/>
          </w:tcPr>
          <w:p>
            <w:pPr>
              <w:spacing w:before="30" w:after="30"/>
            </w:pPr>
            <w:r>
              <w:rPr>
                <w:rFonts w:ascii="DM Sans" w:hAnsi="DM Sans" w:cs="DM Sans"/>
                <w:b w:val="0"/>
                <w:i w:val="0"/>
                <w:color w:val="050C2A"/>
                <w:sz w:val="20"/>
                <w:u w:val="none"/>
              </w:rPr>
              <w:t>Team Charter (checkpoint, completion-based); Employer Outreach Email (checkpoint, completion-based)</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2,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65"/>
            <w:shd w:fill="FF7C0A" w:val="clear"/>
            <w:vAlign w:val="center"/>
          </w:tcPr>
          <w:p>
            <w:pPr>
              <w:jc w:val="left"/>
              <w:spacing w:before="40" w:after="40"/>
            </w:pPr>
            <w:r>
              <w:rPr>
                <w:rFonts w:ascii="DM Sans" w:hAnsi="DM Sans" w:cs="DM Sans"/>
                <w:b/>
                <w:i w:val="0"/>
                <w:color w:val="FFFFFF"/>
                <w:sz w:val="20"/>
                <w:u w:val="none"/>
              </w:rPr>
              <w:t>#</w:t>
            </w:r>
          </w:p>
        </w:tc>
        <w:tc>
          <w:tcPr>
            <w:tcW w:type="dxa" w:w="4723"/>
            <w:shd w:fill="FF7C0A" w:val="clear"/>
            <w:vAlign w:val="center"/>
          </w:tcPr>
          <w:p>
            <w:pPr>
              <w:jc w:val="left"/>
              <w:spacing w:before="40" w:after="40"/>
            </w:pPr>
            <w:r>
              <w:rPr>
                <w:rFonts w:ascii="DM Sans" w:hAnsi="DM Sans" w:cs="DM Sans"/>
                <w:b/>
                <w:i w:val="0"/>
                <w:color w:val="FFFFFF"/>
                <w:sz w:val="20"/>
                <w:u w:val="none"/>
              </w:rPr>
              <w:t>Objective</w:t>
            </w:r>
          </w:p>
        </w:tc>
        <w:tc>
          <w:tcPr>
            <w:tcW w:type="dxa" w:w="3772"/>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65"/>
            <w:vAlign w:val="center"/>
          </w:tcPr>
          <w:p>
            <w:pPr>
              <w:spacing w:before="30" w:after="30"/>
            </w:pPr>
            <w:r>
              <w:rPr>
                <w:rFonts w:ascii="DM Sans" w:hAnsi="DM Sans" w:cs="DM Sans"/>
                <w:b/>
                <w:i w:val="0"/>
                <w:color w:val="050C2A"/>
                <w:sz w:val="20"/>
                <w:u w:val="none"/>
              </w:rPr>
              <w:t>1</w:t>
            </w:r>
          </w:p>
        </w:tc>
        <w:tc>
          <w:tcPr>
            <w:tcW w:type="dxa" w:w="4723"/>
            <w:vAlign w:val="center"/>
          </w:tcPr>
          <w:p>
            <w:pPr>
              <w:spacing w:before="30" w:after="30"/>
            </w:pPr>
            <w:r>
              <w:rPr>
                <w:rFonts w:ascii="DM Sans" w:hAnsi="DM Sans" w:cs="DM Sans"/>
                <w:b w:val="0"/>
                <w:i w:val="0"/>
                <w:color w:val="050C2A"/>
                <w:sz w:val="20"/>
                <w:u w:val="none"/>
              </w:rPr>
              <w:t>Negotiate and document team operating agreements that establish shared expectations for communication, contribution, reliability, and accountability.</w:t>
            </w:r>
          </w:p>
        </w:tc>
        <w:tc>
          <w:tcPr>
            <w:tcW w:type="dxa" w:w="3772"/>
            <w:vAlign w:val="center"/>
          </w:tcPr>
          <w:p>
            <w:pPr>
              <w:spacing w:before="30" w:after="30"/>
            </w:pPr>
            <w:r>
              <w:rPr>
                <w:rFonts w:ascii="DM Sans" w:hAnsi="DM Sans" w:cs="DM Sans"/>
                <w:b w:val="0"/>
                <w:i w:val="0"/>
                <w:color w:val="050C2A"/>
                <w:sz w:val="20"/>
                <w:u w:val="none"/>
              </w:rPr>
              <w:t>Teamwork → Shared Accountability; Teamwork → Collaborative Contribution; Teamwork → Reliability</w:t>
            </w:r>
          </w:p>
        </w:tc>
      </w:tr>
      <w:tr>
        <w:tc>
          <w:tcPr>
            <w:tcW w:type="dxa" w:w="865"/>
            <w:shd w:fill="F5F5F5" w:val="clear"/>
            <w:vAlign w:val="center"/>
          </w:tcPr>
          <w:p>
            <w:pPr>
              <w:spacing w:before="30" w:after="30"/>
            </w:pPr>
            <w:r>
              <w:rPr>
                <w:rFonts w:ascii="DM Sans" w:hAnsi="DM Sans" w:cs="DM Sans"/>
                <w:b/>
                <w:i w:val="0"/>
                <w:color w:val="050C2A"/>
                <w:sz w:val="20"/>
                <w:u w:val="none"/>
              </w:rPr>
              <w:t>2</w:t>
            </w:r>
          </w:p>
        </w:tc>
        <w:tc>
          <w:tcPr>
            <w:tcW w:type="dxa" w:w="4723"/>
            <w:shd w:fill="F5F5F5" w:val="clear"/>
            <w:vAlign w:val="center"/>
          </w:tcPr>
          <w:p>
            <w:pPr>
              <w:spacing w:before="30" w:after="30"/>
            </w:pPr>
            <w:r>
              <w:rPr>
                <w:rFonts w:ascii="DM Sans" w:hAnsi="DM Sans" w:cs="DM Sans"/>
                <w:b w:val="0"/>
                <w:i w:val="0"/>
                <w:color w:val="050C2A"/>
                <w:sz w:val="20"/>
                <w:u w:val="none"/>
              </w:rPr>
              <w:t>Compose a professional outreach email to an employer contact that introduces the team and requests a kickoff meeting.</w:t>
            </w:r>
          </w:p>
        </w:tc>
        <w:tc>
          <w:tcPr>
            <w:tcW w:type="dxa" w:w="3772"/>
            <w:shd w:fill="F5F5F5" w:val="clear"/>
            <w:vAlign w:val="center"/>
          </w:tcPr>
          <w:p>
            <w:pPr>
              <w:spacing w:before="30" w:after="30"/>
            </w:pPr>
            <w:r>
              <w:rPr>
                <w:rFonts w:ascii="DM Sans" w:hAnsi="DM Sans" w:cs="DM Sans"/>
                <w:b w:val="0"/>
                <w:i w:val="0"/>
                <w:color w:val="050C2A"/>
                <w:sz w:val="20"/>
                <w:u w:val="none"/>
              </w:rPr>
              <w:t>Communication → Professional Correspondence</w:t>
            </w:r>
          </w:p>
        </w:tc>
      </w:tr>
      <w:tr>
        <w:tc>
          <w:tcPr>
            <w:tcW w:type="dxa" w:w="865"/>
            <w:vAlign w:val="center"/>
          </w:tcPr>
          <w:p>
            <w:pPr>
              <w:spacing w:before="30" w:after="30"/>
            </w:pPr>
            <w:r>
              <w:rPr>
                <w:rFonts w:ascii="DM Sans" w:hAnsi="DM Sans" w:cs="DM Sans"/>
                <w:b/>
                <w:i w:val="0"/>
                <w:color w:val="050C2A"/>
                <w:sz w:val="20"/>
                <w:u w:val="none"/>
              </w:rPr>
              <w:t>3</w:t>
            </w:r>
          </w:p>
        </w:tc>
        <w:tc>
          <w:tcPr>
            <w:tcW w:type="dxa" w:w="4723"/>
            <w:vAlign w:val="center"/>
          </w:tcPr>
          <w:p>
            <w:pPr>
              <w:spacing w:before="30" w:after="30"/>
            </w:pPr>
            <w:r>
              <w:rPr>
                <w:rFonts w:ascii="DM Sans" w:hAnsi="DM Sans" w:cs="DM Sans"/>
                <w:b w:val="0"/>
                <w:i w:val="0"/>
                <w:color w:val="050C2A"/>
                <w:sz w:val="20"/>
                <w:u w:val="none"/>
              </w:rPr>
              <w:t>Conduct initial organizational research on an employer to develop working knowledge of its context, sector, and project scope.</w:t>
            </w:r>
          </w:p>
        </w:tc>
        <w:tc>
          <w:tcPr>
            <w:tcW w:type="dxa" w:w="3772"/>
            <w:vAlign w:val="center"/>
          </w:tcPr>
          <w:p>
            <w:pPr>
              <w:spacing w:before="30" w:after="30"/>
            </w:pPr>
            <w:r>
              <w:rPr>
                <w:rFonts w:ascii="DM Sans" w:hAnsi="DM Sans" w:cs="DM Sans"/>
                <w:b w:val="0"/>
                <w:i w:val="0"/>
                <w:color w:val="050C2A"/>
                <w:sz w:val="20"/>
                <w:u w:val="none"/>
              </w:rPr>
              <w:t>Critical Thinking → Research &amp; Analysis</w:t>
            </w:r>
          </w:p>
        </w:tc>
      </w:tr>
      <w:tr>
        <w:tc>
          <w:tcPr>
            <w:tcW w:type="dxa" w:w="865"/>
            <w:shd w:fill="F5F5F5" w:val="clear"/>
            <w:vAlign w:val="center"/>
          </w:tcPr>
          <w:p>
            <w:pPr>
              <w:spacing w:before="30" w:after="30"/>
            </w:pPr>
            <w:r>
              <w:rPr>
                <w:rFonts w:ascii="DM Sans" w:hAnsi="DM Sans" w:cs="DM Sans"/>
                <w:b/>
                <w:i w:val="0"/>
                <w:color w:val="050C2A"/>
                <w:sz w:val="20"/>
                <w:u w:val="none"/>
              </w:rPr>
              <w:t>4</w:t>
            </w:r>
          </w:p>
        </w:tc>
        <w:tc>
          <w:tcPr>
            <w:tcW w:type="dxa" w:w="4723"/>
            <w:shd w:fill="F5F5F5" w:val="clear"/>
            <w:vAlign w:val="center"/>
          </w:tcPr>
          <w:p>
            <w:pPr>
              <w:spacing w:before="30" w:after="30"/>
            </w:pPr>
            <w:r>
              <w:rPr>
                <w:rFonts w:ascii="DM Sans" w:hAnsi="DM Sans" w:cs="DM Sans"/>
                <w:b w:val="0"/>
                <w:i w:val="0"/>
                <w:color w:val="050C2A"/>
                <w:sz w:val="20"/>
                <w:u w:val="none"/>
              </w:rPr>
              <w:t>Identify the criteria and evidence required by a grading rubric in order to set direction for the Discovery phase.</w:t>
            </w:r>
          </w:p>
        </w:tc>
        <w:tc>
          <w:tcPr>
            <w:tcW w:type="dxa" w:w="3772"/>
            <w:shd w:fill="F5F5F5" w:val="clear"/>
            <w:vAlign w:val="center"/>
          </w:tcPr>
          <w:p>
            <w:pPr>
              <w:spacing w:before="30" w:after="30"/>
            </w:pPr>
            <w:r>
              <w:rPr>
                <w:rFonts w:ascii="DM Sans" w:hAnsi="DM Sans" w:cs="DM Sans"/>
                <w:b w:val="0"/>
                <w:i w:val="0"/>
                <w:color w:val="050C2A"/>
                <w:sz w:val="20"/>
                <w:u w:val="none"/>
              </w:rPr>
              <w:t>Critical Thinking → Prioritization</w:t>
            </w:r>
          </w:p>
        </w:tc>
      </w:tr>
      <w:tr>
        <w:tc>
          <w:tcPr>
            <w:tcW w:type="dxa" w:w="865"/>
            <w:vAlign w:val="center"/>
          </w:tcPr>
          <w:p>
            <w:pPr>
              <w:spacing w:before="30" w:after="30"/>
            </w:pPr>
            <w:r>
              <w:rPr>
                <w:rFonts w:ascii="DM Sans" w:hAnsi="DM Sans" w:cs="DM Sans"/>
                <w:b/>
                <w:i w:val="0"/>
                <w:color w:val="050C2A"/>
                <w:sz w:val="20"/>
                <w:u w:val="none"/>
              </w:rPr>
              <w:t>5</w:t>
            </w:r>
          </w:p>
        </w:tc>
        <w:tc>
          <w:tcPr>
            <w:tcW w:type="dxa" w:w="4723"/>
            <w:vAlign w:val="center"/>
          </w:tcPr>
          <w:p>
            <w:pPr>
              <w:spacing w:before="30" w:after="30"/>
            </w:pPr>
            <w:r>
              <w:rPr>
                <w:rFonts w:ascii="DM Sans" w:hAnsi="DM Sans" w:cs="DM Sans"/>
                <w:b w:val="0"/>
                <w:i w:val="0"/>
                <w:color w:val="050C2A"/>
                <w:sz w:val="20"/>
                <w:u w:val="none"/>
              </w:rPr>
              <w:t>Evaluate AI-generated output for accuracy, unsupported claims, and appropriate use in a professional project context.</w:t>
            </w:r>
          </w:p>
        </w:tc>
        <w:tc>
          <w:tcPr>
            <w:tcW w:type="dxa" w:w="3772"/>
            <w:vAlign w:val="center"/>
          </w:tcPr>
          <w:p>
            <w:pPr>
              <w:spacing w:before="30" w:after="30"/>
            </w:pPr>
            <w:r>
              <w:rPr>
                <w:rFonts w:ascii="DM Sans" w:hAnsi="DM Sans" w:cs="DM Sans"/>
                <w:b w:val="0"/>
                <w:i w:val="0"/>
                <w:color w:val="050C2A"/>
                <w:sz w:val="20"/>
                <w:u w:val="none"/>
              </w:rPr>
              <w:t>Critical Thinking → Evidence-Based Reasoning</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2 is anchored by team formation. Teams have just been assigned, and students are meeting each other for the first time while simultaneously taking on a real employer project. The module opens with Using AI Responsibly so that students have a shared frame for AI use before their first team meeting and charter conversation. The week's job is to get the team functional — a shared charter, a first meeting, and an outreach email sent — while beginning the background research that will carry into Weeks 3 and 4. The week runs at 9 hrs 20 min by design: team formation involves inherent inefficiency and coordination overhead that cannot be productively filled.</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652"/>
            <w:shd w:fill="FF7C0A" w:val="clear"/>
            <w:vAlign w:val="center"/>
          </w:tcPr>
          <w:p>
            <w:pPr>
              <w:jc w:val="left"/>
              <w:spacing w:before="40" w:after="40"/>
            </w:pPr>
            <w:r>
              <w:rPr>
                <w:rFonts w:ascii="DM Sans" w:hAnsi="DM Sans" w:cs="DM Sans"/>
                <w:b/>
                <w:i w:val="0"/>
                <w:color w:val="FFFFFF"/>
                <w:sz w:val="20"/>
                <w:u w:val="none"/>
              </w:rPr>
              <w:t>#</w:t>
            </w:r>
          </w:p>
        </w:tc>
        <w:tc>
          <w:tcPr>
            <w:tcW w:type="dxa" w:w="1088"/>
            <w:shd w:fill="FF7C0A" w:val="clear"/>
            <w:vAlign w:val="center"/>
          </w:tcPr>
          <w:p>
            <w:pPr>
              <w:jc w:val="left"/>
              <w:spacing w:before="40" w:after="40"/>
            </w:pPr>
            <w:r>
              <w:rPr>
                <w:rFonts w:ascii="DM Sans" w:hAnsi="DM Sans" w:cs="DM Sans"/>
                <w:b/>
                <w:i w:val="0"/>
                <w:color w:val="FFFFFF"/>
                <w:sz w:val="20"/>
                <w:u w:val="none"/>
              </w:rPr>
              <w:t>Category</w:t>
            </w:r>
          </w:p>
        </w:tc>
        <w:tc>
          <w:tcPr>
            <w:tcW w:type="dxa" w:w="2029"/>
            <w:shd w:fill="FF7C0A" w:val="clear"/>
            <w:vAlign w:val="center"/>
          </w:tcPr>
          <w:p>
            <w:pPr>
              <w:jc w:val="left"/>
              <w:spacing w:before="40" w:after="40"/>
            </w:pPr>
            <w:r>
              <w:rPr>
                <w:rFonts w:ascii="DM Sans" w:hAnsi="DM Sans" w:cs="DM Sans"/>
                <w:b/>
                <w:i w:val="0"/>
                <w:color w:val="FFFFFF"/>
                <w:sz w:val="20"/>
                <w:u w:val="none"/>
              </w:rPr>
              <w:t>Activity</w:t>
            </w:r>
          </w:p>
        </w:tc>
        <w:tc>
          <w:tcPr>
            <w:tcW w:type="dxa" w:w="575"/>
            <w:shd w:fill="FF7C0A" w:val="clear"/>
            <w:vAlign w:val="center"/>
          </w:tcPr>
          <w:p>
            <w:pPr>
              <w:jc w:val="left"/>
              <w:spacing w:before="40" w:after="40"/>
            </w:pPr>
            <w:r>
              <w:rPr>
                <w:rFonts w:ascii="DM Sans" w:hAnsi="DM Sans" w:cs="DM Sans"/>
                <w:b/>
                <w:i w:val="0"/>
                <w:color w:val="FFFFFF"/>
                <w:sz w:val="20"/>
                <w:u w:val="none"/>
              </w:rPr>
              <w:t>Format</w:t>
            </w:r>
          </w:p>
        </w:tc>
        <w:tc>
          <w:tcPr>
            <w:tcW w:type="dxa" w:w="721"/>
            <w:shd w:fill="FF7C0A" w:val="clear"/>
            <w:vAlign w:val="center"/>
          </w:tcPr>
          <w:p>
            <w:pPr>
              <w:jc w:val="left"/>
              <w:spacing w:before="40" w:after="40"/>
            </w:pPr>
            <w:r>
              <w:rPr>
                <w:rFonts w:ascii="DM Sans" w:hAnsi="DM Sans" w:cs="DM Sans"/>
                <w:b/>
                <w:i w:val="0"/>
                <w:color w:val="FFFFFF"/>
                <w:sz w:val="20"/>
                <w:u w:val="none"/>
              </w:rPr>
              <w:t>Min</w:t>
            </w:r>
          </w:p>
        </w:tc>
        <w:tc>
          <w:tcPr>
            <w:tcW w:type="dxa" w:w="4295"/>
            <w:shd w:fill="FF7C0A" w:val="clear"/>
            <w:vAlign w:val="center"/>
          </w:tcPr>
          <w:p>
            <w:pPr>
              <w:jc w:val="left"/>
              <w:spacing w:before="40" w:after="40"/>
            </w:pPr>
            <w:r>
              <w:rPr>
                <w:rFonts w:ascii="DM Sans" w:hAnsi="DM Sans" w:cs="DM Sans"/>
                <w:b/>
                <w:i w:val="0"/>
                <w:color w:val="FFFFFF"/>
                <w:sz w:val="20"/>
                <w:u w:val="none"/>
              </w:rPr>
              <w:t>Note</w:t>
            </w:r>
          </w:p>
        </w:tc>
      </w:tr>
      <w:tr>
        <w:tc>
          <w:tcPr>
            <w:tcW w:type="dxa" w:w="652"/>
            <w:vAlign w:val="center"/>
          </w:tcPr>
          <w:p>
            <w:pPr>
              <w:spacing w:before="30" w:after="30"/>
            </w:pPr>
            <w:r>
              <w:rPr>
                <w:rFonts w:ascii="DM Sans" w:hAnsi="DM Sans" w:cs="DM Sans"/>
                <w:b w:val="0"/>
                <w:i w:val="0"/>
                <w:color w:val="050C2A"/>
                <w:sz w:val="20"/>
                <w:u w:val="none"/>
              </w:rPr>
              <w:t>2.01</w:t>
            </w:r>
          </w:p>
        </w:tc>
        <w:tc>
          <w:tcPr>
            <w:tcW w:type="dxa" w:w="1088"/>
            <w:vAlign w:val="center"/>
          </w:tcPr>
          <w:p>
            <w:pPr>
              <w:spacing w:before="30" w:after="30"/>
            </w:pPr>
            <w:r>
              <w:rPr>
                <w:rFonts w:ascii="DM Sans" w:hAnsi="DM Sans" w:cs="DM Sans"/>
                <w:b w:val="0"/>
                <w:i w:val="0"/>
                <w:color w:val="050C2A"/>
                <w:sz w:val="20"/>
                <w:u w:val="none"/>
              </w:rPr>
              <w:t>Course Orientation</w:t>
            </w:r>
          </w:p>
        </w:tc>
        <w:tc>
          <w:tcPr>
            <w:tcW w:type="dxa" w:w="2029"/>
            <w:vAlign w:val="center"/>
          </w:tcPr>
          <w:p>
            <w:pPr>
              <w:spacing w:before="30" w:after="30"/>
            </w:pPr>
            <w:r>
              <w:rPr>
                <w:rFonts w:ascii="DM Sans" w:hAnsi="DM Sans" w:cs="DM Sans"/>
                <w:b w:val="0"/>
                <w:i w:val="0"/>
                <w:color w:val="050C2A"/>
                <w:sz w:val="20"/>
                <w:u w:val="none"/>
              </w:rPr>
              <w:t>Week 2 Overview — objectives, what's happening this week, suggested order of completion</w:t>
            </w:r>
          </w:p>
        </w:tc>
        <w:tc>
          <w:tcPr>
            <w:tcW w:type="dxa" w:w="575"/>
            <w:vAlign w:val="center"/>
          </w:tcPr>
          <w:p>
            <w:pPr>
              <w:spacing w:before="30" w:after="30"/>
            </w:pPr>
            <w:r>
              <w:rPr>
                <w:rFonts w:ascii="DM Sans" w:hAnsi="DM Sans" w:cs="DM Sans"/>
                <w:b w:val="0"/>
                <w:i w:val="0"/>
                <w:color w:val="050C2A"/>
                <w:sz w:val="20"/>
                <w:u w:val="none"/>
              </w:rPr>
              <w:t>Text</w:t>
            </w:r>
          </w:p>
        </w:tc>
        <w:tc>
          <w:tcPr>
            <w:tcW w:type="dxa" w:w="721"/>
            <w:vAlign w:val="center"/>
          </w:tcPr>
          <w:p>
            <w:pPr>
              <w:spacing w:before="30" w:after="30"/>
            </w:pPr>
            <w:r>
              <w:rPr>
                <w:rFonts w:ascii="DM Sans" w:hAnsi="DM Sans" w:cs="DM Sans"/>
                <w:b w:val="0"/>
                <w:i w:val="0"/>
                <w:color w:val="050C2A"/>
                <w:sz w:val="20"/>
                <w:u w:val="none"/>
              </w:rPr>
              <w:t>5</w:t>
            </w:r>
          </w:p>
        </w:tc>
        <w:tc>
          <w:tcPr>
            <w:tcW w:type="dxa" w:w="4295"/>
            <w:vAlign w:val="center"/>
          </w:tcPr>
          <w:p>
            <w:pPr>
              <w:spacing w:before="30" w:after="30"/>
            </w:pPr>
            <w:r>
              <w:rPr>
                <w:rFonts w:ascii="DM Sans" w:hAnsi="DM Sans" w:cs="DM Sans"/>
                <w:b w:val="0"/>
                <w:i w:val="0"/>
                <w:color w:val="050C2A"/>
                <w:sz w:val="20"/>
                <w:u w:val="none"/>
              </w:rPr>
              <w:t>Sets expectations for the week; names anchor events (first team meeting, employer outreach email); gives suggested order of completion. Parallel to 1.01 in Week 1.</w:t>
            </w:r>
          </w:p>
        </w:tc>
      </w:tr>
      <w:tr>
        <w:tc>
          <w:tcPr>
            <w:tcW w:type="dxa" w:w="652"/>
            <w:shd w:fill="F5F5F5" w:val="clear"/>
            <w:vAlign w:val="center"/>
          </w:tcPr>
          <w:p>
            <w:pPr>
              <w:spacing w:before="30" w:after="30"/>
            </w:pPr>
            <w:r>
              <w:rPr>
                <w:rFonts w:ascii="DM Sans" w:hAnsi="DM Sans" w:cs="DM Sans"/>
                <w:b w:val="0"/>
                <w:i w:val="0"/>
                <w:color w:val="050C2A"/>
                <w:sz w:val="20"/>
                <w:u w:val="none"/>
              </w:rPr>
              <w:t>2.02</w:t>
            </w:r>
          </w:p>
        </w:tc>
        <w:tc>
          <w:tcPr>
            <w:tcW w:type="dxa" w:w="1088"/>
            <w:shd w:fill="F5F5F5" w:val="clear"/>
            <w:vAlign w:val="center"/>
          </w:tcPr>
          <w:p>
            <w:pPr>
              <w:spacing w:before="30" w:after="30"/>
            </w:pPr>
            <w:r>
              <w:rPr>
                <w:rFonts w:ascii="DM Sans" w:hAnsi="DM Sans" w:cs="DM Sans"/>
                <w:b w:val="0"/>
                <w:i w:val="0"/>
                <w:color w:val="050C2A"/>
                <w:sz w:val="20"/>
                <w:u w:val="none"/>
              </w:rPr>
              <w:t>Project Orientation</w:t>
            </w:r>
          </w:p>
        </w:tc>
        <w:tc>
          <w:tcPr>
            <w:tcW w:type="dxa" w:w="2029"/>
            <w:shd w:fill="F5F5F5" w:val="clear"/>
            <w:vAlign w:val="center"/>
          </w:tcPr>
          <w:p>
            <w:pPr>
              <w:spacing w:before="30" w:after="30"/>
            </w:pPr>
            <w:r>
              <w:rPr>
                <w:rFonts w:ascii="DM Sans" w:hAnsi="DM Sans" w:cs="DM Sans"/>
                <w:b w:val="0"/>
                <w:i w:val="0"/>
                <w:color w:val="050C2A"/>
                <w:sz w:val="20"/>
                <w:u w:val="none"/>
              </w:rPr>
              <w:t>Using AI Responsibly module section</w:t>
            </w:r>
          </w:p>
        </w:tc>
        <w:tc>
          <w:tcPr>
            <w:tcW w:type="dxa" w:w="575"/>
            <w:shd w:fill="F5F5F5" w:val="clear"/>
            <w:vAlign w:val="center"/>
          </w:tcPr>
          <w:p>
            <w:pPr>
              <w:spacing w:before="30" w:after="30"/>
            </w:pPr>
            <w:r>
              <w:rPr>
                <w:rFonts w:ascii="DM Sans" w:hAnsi="DM Sans" w:cs="DM Sans"/>
                <w:b w:val="0"/>
                <w:i w:val="0"/>
                <w:color w:val="050C2A"/>
                <w:sz w:val="20"/>
                <w:u w:val="none"/>
              </w:rPr>
              <w:t>Module</w:t>
            </w:r>
          </w:p>
        </w:tc>
        <w:tc>
          <w:tcPr>
            <w:tcW w:type="dxa" w:w="721"/>
            <w:shd w:fill="F5F5F5" w:val="clear"/>
            <w:vAlign w:val="center"/>
          </w:tcPr>
          <w:p>
            <w:pPr>
              <w:spacing w:before="30" w:after="30"/>
            </w:pPr>
            <w:r>
              <w:rPr>
                <w:rFonts w:ascii="DM Sans" w:hAnsi="DM Sans" w:cs="DM Sans"/>
                <w:b w:val="0"/>
                <w:i w:val="0"/>
                <w:color w:val="050C2A"/>
                <w:sz w:val="20"/>
                <w:u w:val="none"/>
              </w:rPr>
              <w:t>30</w:t>
            </w:r>
          </w:p>
        </w:tc>
        <w:tc>
          <w:tcPr>
            <w:tcW w:type="dxa" w:w="4295"/>
            <w:shd w:fill="F5F5F5" w:val="clear"/>
            <w:vAlign w:val="center"/>
          </w:tcPr>
          <w:p>
            <w:pPr>
              <w:spacing w:before="30" w:after="30"/>
            </w:pPr>
            <w:r>
              <w:rPr>
                <w:rFonts w:ascii="DM Sans" w:hAnsi="DM Sans" w:cs="DM Sans"/>
                <w:b w:val="0"/>
                <w:i w:val="0"/>
                <w:color w:val="050C2A"/>
                <w:sz w:val="20"/>
                <w:u w:val="none"/>
              </w:rPr>
              <w:t>How to prompt well, how to evaluate AI output critically, how to verify claims, how to use AI as a thinking partner rather than an answer machine; includes example prompts and critical evaluation exercises; first formal introduction of prompt strategy</w:t>
            </w:r>
          </w:p>
        </w:tc>
      </w:tr>
      <w:tr>
        <w:tc>
          <w:tcPr>
            <w:tcW w:type="dxa" w:w="652"/>
            <w:vAlign w:val="center"/>
          </w:tcPr>
          <w:p>
            <w:pPr>
              <w:spacing w:before="30" w:after="30"/>
            </w:pPr>
            <w:r>
              <w:rPr>
                <w:rFonts w:ascii="DM Sans" w:hAnsi="DM Sans" w:cs="DM Sans"/>
                <w:b w:val="0"/>
                <w:i w:val="0"/>
                <w:color w:val="050C2A"/>
                <w:sz w:val="20"/>
                <w:u w:val="none"/>
              </w:rPr>
              <w:t>2.03</w:t>
            </w:r>
          </w:p>
        </w:tc>
        <w:tc>
          <w:tcPr>
            <w:tcW w:type="dxa" w:w="1088"/>
            <w:vAlign w:val="center"/>
          </w:tcPr>
          <w:p>
            <w:pPr>
              <w:spacing w:before="30" w:after="30"/>
            </w:pPr>
            <w:r>
              <w:rPr>
                <w:rFonts w:ascii="DM Sans" w:hAnsi="DM Sans" w:cs="DM Sans"/>
                <w:b w:val="0"/>
                <w:i w:val="0"/>
                <w:color w:val="050C2A"/>
                <w:sz w:val="20"/>
                <w:u w:val="none"/>
              </w:rPr>
              <w:t>Team Formation</w:t>
            </w:r>
          </w:p>
        </w:tc>
        <w:tc>
          <w:tcPr>
            <w:tcW w:type="dxa" w:w="2029"/>
            <w:vAlign w:val="center"/>
          </w:tcPr>
          <w:p>
            <w:pPr>
              <w:spacing w:before="30" w:after="30"/>
            </w:pPr>
            <w:r>
              <w:rPr>
                <w:rFonts w:ascii="DM Sans" w:hAnsi="DM Sans" w:cs="DM Sans"/>
                <w:b w:val="0"/>
                <w:i w:val="0"/>
                <w:color w:val="050C2A"/>
                <w:sz w:val="20"/>
                <w:u w:val="none"/>
              </w:rPr>
              <w:t>Setting Your Team Up for Success</w:t>
            </w:r>
          </w:p>
        </w:tc>
        <w:tc>
          <w:tcPr>
            <w:tcW w:type="dxa" w:w="575"/>
            <w:vAlign w:val="center"/>
          </w:tcPr>
          <w:p>
            <w:pPr>
              <w:spacing w:before="30" w:after="30"/>
            </w:pPr>
            <w:r>
              <w:rPr>
                <w:rFonts w:ascii="DM Sans" w:hAnsi="DM Sans" w:cs="DM Sans"/>
                <w:b w:val="0"/>
                <w:i w:val="0"/>
                <w:color w:val="050C2A"/>
                <w:sz w:val="20"/>
                <w:u w:val="none"/>
              </w:rPr>
              <w:t>Module</w:t>
            </w:r>
          </w:p>
        </w:tc>
        <w:tc>
          <w:tcPr>
            <w:tcW w:type="dxa" w:w="721"/>
            <w:vAlign w:val="center"/>
          </w:tcPr>
          <w:p>
            <w:pPr>
              <w:spacing w:before="30" w:after="30"/>
            </w:pPr>
            <w:r>
              <w:rPr>
                <w:rFonts w:ascii="DM Sans" w:hAnsi="DM Sans" w:cs="DM Sans"/>
                <w:b w:val="0"/>
                <w:i w:val="0"/>
                <w:color w:val="050C2A"/>
                <w:sz w:val="20"/>
                <w:u w:val="none"/>
              </w:rPr>
              <w:t>15</w:t>
            </w:r>
          </w:p>
        </w:tc>
        <w:tc>
          <w:tcPr>
            <w:tcW w:type="dxa" w:w="4295"/>
            <w:vAlign w:val="center"/>
          </w:tcPr>
          <w:p>
            <w:pPr>
              <w:spacing w:before="30" w:after="30"/>
            </w:pPr>
            <w:r>
              <w:rPr>
                <w:rFonts w:ascii="DM Sans" w:hAnsi="DM Sans" w:cs="DM Sans"/>
                <w:b w:val="0"/>
                <w:i w:val="0"/>
                <w:color w:val="050C2A"/>
                <w:sz w:val="20"/>
                <w:u w:val="none"/>
              </w:rPr>
              <w:t>Three things to get agreement on in your first meeting: how you'll communicate, how you'll make decisions, what 'done' looks like for your team. A brief framing of what the Team Charter is actually for — not a compliance document, but a reference point you'll actually use when things get bumpy. Moved earlier in module sequence — team formation content before kickoff prep content.</w:t>
            </w:r>
          </w:p>
        </w:tc>
      </w:tr>
      <w:tr>
        <w:tc>
          <w:tcPr>
            <w:tcW w:type="dxa" w:w="652"/>
            <w:shd w:fill="F5F5F5" w:val="clear"/>
            <w:vAlign w:val="center"/>
          </w:tcPr>
          <w:p>
            <w:pPr>
              <w:spacing w:before="30" w:after="30"/>
            </w:pPr>
            <w:r>
              <w:rPr>
                <w:rFonts w:ascii="DM Sans" w:hAnsi="DM Sans" w:cs="DM Sans"/>
                <w:b w:val="0"/>
                <w:i w:val="0"/>
                <w:color w:val="050C2A"/>
                <w:sz w:val="20"/>
                <w:u w:val="none"/>
              </w:rPr>
              <w:t>2.04</w:t>
            </w:r>
          </w:p>
        </w:tc>
        <w:tc>
          <w:tcPr>
            <w:tcW w:type="dxa" w:w="1088"/>
            <w:shd w:fill="F5F5F5" w:val="clear"/>
            <w:vAlign w:val="center"/>
          </w:tcPr>
          <w:p>
            <w:pPr>
              <w:spacing w:before="30" w:after="30"/>
            </w:pPr>
            <w:r>
              <w:rPr>
                <w:rFonts w:ascii="DM Sans" w:hAnsi="DM Sans" w:cs="DM Sans"/>
                <w:b w:val="0"/>
                <w:i w:val="0"/>
                <w:color w:val="050C2A"/>
                <w:sz w:val="20"/>
                <w:u w:val="none"/>
              </w:rPr>
              <w:t>Team Formation</w:t>
            </w:r>
          </w:p>
        </w:tc>
        <w:tc>
          <w:tcPr>
            <w:tcW w:type="dxa" w:w="2029"/>
            <w:shd w:fill="F5F5F5" w:val="clear"/>
            <w:vAlign w:val="center"/>
          </w:tcPr>
          <w:p>
            <w:pPr>
              <w:spacing w:before="30" w:after="30"/>
            </w:pPr>
            <w:r>
              <w:rPr>
                <w:rFonts w:ascii="DM Sans" w:hAnsi="DM Sans" w:cs="DM Sans"/>
                <w:b w:val="0"/>
                <w:i w:val="0"/>
                <w:color w:val="050C2A"/>
                <w:sz w:val="20"/>
                <w:u w:val="none"/>
              </w:rPr>
              <w:t>Review teammates' LMS intro posts</w:t>
            </w:r>
          </w:p>
        </w:tc>
        <w:tc>
          <w:tcPr>
            <w:tcW w:type="dxa" w:w="575"/>
            <w:shd w:fill="F5F5F5" w:val="clear"/>
            <w:vAlign w:val="center"/>
          </w:tcPr>
          <w:p>
            <w:pPr>
              <w:spacing w:before="30" w:after="30"/>
            </w:pPr>
            <w:r>
              <w:rPr>
                <w:rFonts w:ascii="DM Sans" w:hAnsi="DM Sans" w:cs="DM Sans"/>
                <w:b w:val="0"/>
                <w:i w:val="0"/>
                <w:color w:val="050C2A"/>
                <w:sz w:val="20"/>
                <w:u w:val="none"/>
              </w:rPr>
              <w:t>Admin</w:t>
            </w:r>
          </w:p>
        </w:tc>
        <w:tc>
          <w:tcPr>
            <w:tcW w:type="dxa" w:w="721"/>
            <w:shd w:fill="F5F5F5" w:val="clear"/>
            <w:vAlign w:val="center"/>
          </w:tcPr>
          <w:p>
            <w:pPr>
              <w:spacing w:before="30" w:after="30"/>
            </w:pPr>
            <w:r>
              <w:rPr>
                <w:rFonts w:ascii="DM Sans" w:hAnsi="DM Sans" w:cs="DM Sans"/>
                <w:b w:val="0"/>
                <w:i w:val="0"/>
                <w:color w:val="050C2A"/>
                <w:sz w:val="20"/>
                <w:u w:val="none"/>
              </w:rPr>
              <w:t>30</w:t>
            </w:r>
          </w:p>
        </w:tc>
        <w:tc>
          <w:tcPr>
            <w:tcW w:type="dxa" w:w="4295"/>
            <w:shd w:fill="F5F5F5" w:val="clear"/>
            <w:vAlign w:val="center"/>
          </w:tcPr>
          <w:p>
            <w:pPr>
              <w:spacing w:before="30" w:after="30"/>
            </w:pPr>
            <w:r>
              <w:rPr>
                <w:rFonts w:ascii="DM Sans" w:hAnsi="DM Sans" w:cs="DM Sans"/>
                <w:b w:val="0"/>
                <w:i w:val="0"/>
                <w:color w:val="050C2A"/>
                <w:sz w:val="20"/>
                <w:u w:val="none"/>
              </w:rPr>
              <w:t>Now that team assignments are known, students read their teammates' Week 1 intro posts; community-building with the specific people they'll be working with for 15 weeks</w:t>
            </w:r>
          </w:p>
        </w:tc>
      </w:tr>
      <w:tr>
        <w:tc>
          <w:tcPr>
            <w:tcW w:type="dxa" w:w="652"/>
            <w:vAlign w:val="center"/>
          </w:tcPr>
          <w:p>
            <w:pPr>
              <w:spacing w:before="30" w:after="30"/>
            </w:pPr>
            <w:r>
              <w:rPr>
                <w:rFonts w:ascii="DM Sans" w:hAnsi="DM Sans" w:cs="DM Sans"/>
                <w:b w:val="0"/>
                <w:i w:val="0"/>
                <w:color w:val="050C2A"/>
                <w:sz w:val="20"/>
                <w:u w:val="none"/>
              </w:rPr>
              <w:t>2.05</w:t>
            </w:r>
          </w:p>
        </w:tc>
        <w:tc>
          <w:tcPr>
            <w:tcW w:type="dxa" w:w="1088"/>
            <w:vAlign w:val="center"/>
          </w:tcPr>
          <w:p>
            <w:pPr>
              <w:spacing w:before="30" w:after="30"/>
            </w:pPr>
            <w:r>
              <w:rPr>
                <w:rFonts w:ascii="DM Sans" w:hAnsi="DM Sans" w:cs="DM Sans"/>
                <w:b w:val="0"/>
                <w:i w:val="0"/>
                <w:color w:val="050C2A"/>
                <w:sz w:val="20"/>
                <w:u w:val="none"/>
              </w:rPr>
              <w:t>Team Formation</w:t>
            </w:r>
          </w:p>
        </w:tc>
        <w:tc>
          <w:tcPr>
            <w:tcW w:type="dxa" w:w="2029"/>
            <w:vAlign w:val="center"/>
          </w:tcPr>
          <w:p>
            <w:pPr>
              <w:spacing w:before="30" w:after="30"/>
            </w:pPr>
            <w:r>
              <w:rPr>
                <w:rFonts w:ascii="DM Sans" w:hAnsi="DM Sans" w:cs="DM Sans"/>
                <w:b w:val="0"/>
                <w:i w:val="0"/>
                <w:color w:val="050C2A"/>
                <w:sz w:val="20"/>
                <w:u w:val="none"/>
              </w:rPr>
              <w:t>First contact with teammates + scheduling</w:t>
            </w:r>
          </w:p>
        </w:tc>
        <w:tc>
          <w:tcPr>
            <w:tcW w:type="dxa" w:w="575"/>
            <w:vAlign w:val="center"/>
          </w:tcPr>
          <w:p>
            <w:pPr>
              <w:spacing w:before="30" w:after="30"/>
            </w:pPr>
            <w:r>
              <w:rPr>
                <w:rFonts w:ascii="DM Sans" w:hAnsi="DM Sans" w:cs="DM Sans"/>
                <w:b w:val="0"/>
                <w:i w:val="0"/>
                <w:color w:val="050C2A"/>
                <w:sz w:val="20"/>
                <w:u w:val="none"/>
              </w:rPr>
              <w:t>Project</w:t>
            </w:r>
          </w:p>
        </w:tc>
        <w:tc>
          <w:tcPr>
            <w:tcW w:type="dxa" w:w="721"/>
            <w:vAlign w:val="center"/>
          </w:tcPr>
          <w:p>
            <w:pPr>
              <w:spacing w:before="30" w:after="30"/>
            </w:pPr>
            <w:r>
              <w:rPr>
                <w:rFonts w:ascii="DM Sans" w:hAnsi="DM Sans" w:cs="DM Sans"/>
                <w:b w:val="0"/>
                <w:i w:val="0"/>
                <w:color w:val="050C2A"/>
                <w:sz w:val="20"/>
                <w:u w:val="none"/>
              </w:rPr>
              <w:t>30</w:t>
            </w:r>
          </w:p>
        </w:tc>
        <w:tc>
          <w:tcPr>
            <w:tcW w:type="dxa" w:w="4295"/>
            <w:vAlign w:val="center"/>
          </w:tcPr>
          <w:p>
            <w:pPr>
              <w:spacing w:before="30" w:after="30"/>
            </w:pPr>
            <w:r>
              <w:rPr>
                <w:rFonts w:ascii="DM Sans" w:hAnsi="DM Sans" w:cs="DM Sans"/>
                <w:b w:val="0"/>
                <w:i w:val="0"/>
                <w:color w:val="050C2A"/>
                <w:sz w:val="20"/>
                <w:u w:val="none"/>
              </w:rPr>
              <w:t>Initiating contact, finding a meeting time across four schedules; inherently inefficient for strangers; async coordination via email or LMS messaging</w:t>
            </w:r>
          </w:p>
        </w:tc>
      </w:tr>
      <w:tr>
        <w:tc>
          <w:tcPr>
            <w:tcW w:type="dxa" w:w="652"/>
            <w:shd w:fill="F5F5F5" w:val="clear"/>
            <w:vAlign w:val="center"/>
          </w:tcPr>
          <w:p>
            <w:pPr>
              <w:spacing w:before="30" w:after="30"/>
            </w:pPr>
            <w:r>
              <w:rPr>
                <w:rFonts w:ascii="DM Sans" w:hAnsi="DM Sans" w:cs="DM Sans"/>
                <w:b w:val="0"/>
                <w:i w:val="0"/>
                <w:color w:val="050C2A"/>
                <w:sz w:val="20"/>
                <w:u w:val="none"/>
              </w:rPr>
              <w:t>2.06</w:t>
            </w:r>
          </w:p>
        </w:tc>
        <w:tc>
          <w:tcPr>
            <w:tcW w:type="dxa" w:w="1088"/>
            <w:shd w:fill="F5F5F5" w:val="clear"/>
            <w:vAlign w:val="center"/>
          </w:tcPr>
          <w:p>
            <w:pPr>
              <w:spacing w:before="30" w:after="30"/>
            </w:pPr>
            <w:r>
              <w:rPr>
                <w:rFonts w:ascii="DM Sans" w:hAnsi="DM Sans" w:cs="DM Sans"/>
                <w:b w:val="0"/>
                <w:i w:val="0"/>
                <w:color w:val="050C2A"/>
                <w:sz w:val="20"/>
                <w:u w:val="none"/>
              </w:rPr>
              <w:t>Team Formation</w:t>
            </w:r>
          </w:p>
        </w:tc>
        <w:tc>
          <w:tcPr>
            <w:tcW w:type="dxa" w:w="2029"/>
            <w:shd w:fill="F5F5F5" w:val="clear"/>
            <w:vAlign w:val="center"/>
          </w:tcPr>
          <w:p>
            <w:pPr>
              <w:spacing w:before="30" w:after="30"/>
            </w:pPr>
            <w:r>
              <w:rPr>
                <w:rFonts w:ascii="DM Sans" w:hAnsi="DM Sans" w:cs="DM Sans"/>
                <w:b w:val="0"/>
                <w:i w:val="0"/>
                <w:color w:val="050C2A"/>
                <w:sz w:val="20"/>
                <w:u w:val="none"/>
              </w:rPr>
              <w:t>First team meeting</w:t>
            </w:r>
          </w:p>
        </w:tc>
        <w:tc>
          <w:tcPr>
            <w:tcW w:type="dxa" w:w="575"/>
            <w:shd w:fill="F5F5F5" w:val="clear"/>
            <w:vAlign w:val="center"/>
          </w:tcPr>
          <w:p>
            <w:pPr>
              <w:spacing w:before="30" w:after="30"/>
            </w:pPr>
            <w:r>
              <w:rPr>
                <w:rFonts w:ascii="DM Sans" w:hAnsi="DM Sans" w:cs="DM Sans"/>
                <w:b w:val="0"/>
                <w:i w:val="0"/>
                <w:color w:val="050C2A"/>
                <w:sz w:val="20"/>
                <w:u w:val="none"/>
              </w:rPr>
              <w:t>Project</w:t>
            </w:r>
          </w:p>
        </w:tc>
        <w:tc>
          <w:tcPr>
            <w:tcW w:type="dxa" w:w="721"/>
            <w:shd w:fill="F5F5F5" w:val="clear"/>
            <w:vAlign w:val="center"/>
          </w:tcPr>
          <w:p>
            <w:pPr>
              <w:spacing w:before="30" w:after="30"/>
            </w:pPr>
            <w:r>
              <w:rPr>
                <w:rFonts w:ascii="DM Sans" w:hAnsi="DM Sans" w:cs="DM Sans"/>
                <w:b w:val="0"/>
                <w:i w:val="0"/>
                <w:color w:val="050C2A"/>
                <w:sz w:val="20"/>
                <w:u w:val="none"/>
              </w:rPr>
              <w:t>105</w:t>
            </w:r>
          </w:p>
        </w:tc>
        <w:tc>
          <w:tcPr>
            <w:tcW w:type="dxa" w:w="4295"/>
            <w:shd w:fill="F5F5F5" w:val="clear"/>
            <w:vAlign w:val="center"/>
          </w:tcPr>
          <w:p>
            <w:pPr>
              <w:spacing w:before="30" w:after="30"/>
            </w:pPr>
            <w:r>
              <w:rPr>
                <w:rFonts w:ascii="DM Sans" w:hAnsi="DM Sans" w:cs="DM Sans"/>
                <w:b w:val="0"/>
                <w:i w:val="0"/>
                <w:color w:val="050C2A"/>
                <w:sz w:val="20"/>
                <w:u w:val="none"/>
              </w:rPr>
              <w:t>90-minute synchronous meeting covering introductions, shared read-through of the project brief, initial reactions, and charter negotiation</w:t>
            </w:r>
          </w:p>
        </w:tc>
      </w:tr>
      <w:tr>
        <w:tc>
          <w:tcPr>
            <w:tcW w:type="dxa" w:w="652"/>
            <w:vAlign w:val="center"/>
          </w:tcPr>
          <w:p>
            <w:pPr>
              <w:spacing w:before="30" w:after="30"/>
            </w:pPr>
            <w:r>
              <w:rPr>
                <w:rFonts w:ascii="DM Sans" w:hAnsi="DM Sans" w:cs="DM Sans"/>
                <w:b w:val="0"/>
                <w:i w:val="0"/>
                <w:color w:val="050C2A"/>
                <w:sz w:val="20"/>
                <w:u w:val="none"/>
              </w:rPr>
              <w:t>2.07</w:t>
            </w:r>
          </w:p>
        </w:tc>
        <w:tc>
          <w:tcPr>
            <w:tcW w:type="dxa" w:w="1088"/>
            <w:vAlign w:val="center"/>
          </w:tcPr>
          <w:p>
            <w:pPr>
              <w:spacing w:before="30" w:after="30"/>
            </w:pPr>
            <w:r>
              <w:rPr>
                <w:rFonts w:ascii="DM Sans" w:hAnsi="DM Sans" w:cs="DM Sans"/>
                <w:b w:val="0"/>
                <w:i w:val="0"/>
                <w:color w:val="050C2A"/>
                <w:sz w:val="20"/>
                <w:u w:val="none"/>
              </w:rPr>
              <w:t>Team Formation</w:t>
            </w:r>
          </w:p>
        </w:tc>
        <w:tc>
          <w:tcPr>
            <w:tcW w:type="dxa" w:w="2029"/>
            <w:vAlign w:val="center"/>
          </w:tcPr>
          <w:p>
            <w:pPr>
              <w:spacing w:before="30" w:after="30"/>
            </w:pPr>
            <w:r>
              <w:rPr>
                <w:rFonts w:ascii="DM Sans" w:hAnsi="DM Sans" w:cs="DM Sans"/>
                <w:b w:val="0"/>
                <w:i w:val="0"/>
                <w:color w:val="050C2A"/>
                <w:sz w:val="20"/>
                <w:u w:val="none"/>
              </w:rPr>
              <w:t>Team Charter drafting, review, and finalization</w:t>
            </w:r>
          </w:p>
        </w:tc>
        <w:tc>
          <w:tcPr>
            <w:tcW w:type="dxa" w:w="575"/>
            <w:vAlign w:val="center"/>
          </w:tcPr>
          <w:p>
            <w:pPr>
              <w:spacing w:before="30" w:after="30"/>
            </w:pPr>
            <w:r>
              <w:rPr>
                <w:rFonts w:ascii="DM Sans" w:hAnsi="DM Sans" w:cs="DM Sans"/>
                <w:b w:val="0"/>
                <w:i w:val="0"/>
                <w:color w:val="050C2A"/>
                <w:sz w:val="20"/>
                <w:u w:val="none"/>
              </w:rPr>
              <w:t>Project</w:t>
            </w:r>
          </w:p>
        </w:tc>
        <w:tc>
          <w:tcPr>
            <w:tcW w:type="dxa" w:w="721"/>
            <w:vAlign w:val="center"/>
          </w:tcPr>
          <w:p>
            <w:pPr>
              <w:spacing w:before="30" w:after="30"/>
            </w:pPr>
            <w:r>
              <w:rPr>
                <w:rFonts w:ascii="DM Sans" w:hAnsi="DM Sans" w:cs="DM Sans"/>
                <w:b w:val="0"/>
                <w:i w:val="0"/>
                <w:color w:val="050C2A"/>
                <w:sz w:val="20"/>
                <w:u w:val="none"/>
              </w:rPr>
              <w:t>120</w:t>
            </w:r>
          </w:p>
        </w:tc>
        <w:tc>
          <w:tcPr>
            <w:tcW w:type="dxa" w:w="4295"/>
            <w:vAlign w:val="center"/>
          </w:tcPr>
          <w:p>
            <w:pPr>
              <w:spacing w:before="30" w:after="30"/>
            </w:pPr>
            <w:r>
              <w:rPr>
                <w:rFonts w:ascii="DM Sans" w:hAnsi="DM Sans" w:cs="DM Sans"/>
                <w:b w:val="0"/>
                <w:i w:val="0"/>
                <w:color w:val="050C2A"/>
                <w:sz w:val="20"/>
                <w:u w:val="none"/>
              </w:rPr>
              <w:t>All four students must agree on the substance before the charter is complete</w:t>
            </w:r>
          </w:p>
        </w:tc>
      </w:tr>
      <w:tr>
        <w:tc>
          <w:tcPr>
            <w:tcW w:type="dxa" w:w="652"/>
            <w:shd w:fill="F5F5F5" w:val="clear"/>
            <w:vAlign w:val="center"/>
          </w:tcPr>
          <w:p>
            <w:pPr>
              <w:spacing w:before="30" w:after="30"/>
            </w:pPr>
            <w:r>
              <w:rPr>
                <w:rFonts w:ascii="DM Sans" w:hAnsi="DM Sans" w:cs="DM Sans"/>
                <w:b w:val="0"/>
                <w:i w:val="0"/>
                <w:color w:val="050C2A"/>
                <w:sz w:val="20"/>
                <w:u w:val="none"/>
              </w:rPr>
              <w:t>2.08</w:t>
            </w:r>
          </w:p>
        </w:tc>
        <w:tc>
          <w:tcPr>
            <w:tcW w:type="dxa" w:w="1088"/>
            <w:shd w:fill="F5F5F5" w:val="clear"/>
            <w:vAlign w:val="center"/>
          </w:tcPr>
          <w:p>
            <w:pPr>
              <w:spacing w:before="30" w:after="30"/>
            </w:pPr>
            <w:r>
              <w:rPr>
                <w:rFonts w:ascii="DM Sans" w:hAnsi="DM Sans" w:cs="DM Sans"/>
                <w:b w:val="0"/>
                <w:i w:val="0"/>
                <w:color w:val="050C2A"/>
                <w:sz w:val="20"/>
                <w:u w:val="none"/>
              </w:rPr>
              <w:t>Team Formation</w:t>
            </w:r>
          </w:p>
        </w:tc>
        <w:tc>
          <w:tcPr>
            <w:tcW w:type="dxa" w:w="2029"/>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575"/>
            <w:shd w:fill="F5F5F5" w:val="clear"/>
            <w:vAlign w:val="center"/>
          </w:tcPr>
          <w:p>
            <w:pPr>
              <w:spacing w:before="30" w:after="30"/>
            </w:pPr>
            <w:r>
              <w:rPr>
                <w:rFonts w:ascii="DM Sans" w:hAnsi="DM Sans" w:cs="DM Sans"/>
                <w:b w:val="0"/>
                <w:i w:val="0"/>
                <w:color w:val="050C2A"/>
                <w:sz w:val="20"/>
                <w:u w:val="none"/>
              </w:rPr>
              <w:t>Project</w:t>
            </w:r>
          </w:p>
        </w:tc>
        <w:tc>
          <w:tcPr>
            <w:tcW w:type="dxa" w:w="721"/>
            <w:shd w:fill="F5F5F5" w:val="clear"/>
            <w:vAlign w:val="center"/>
          </w:tcPr>
          <w:p>
            <w:pPr>
              <w:spacing w:before="30" w:after="30"/>
            </w:pPr>
            <w:r>
              <w:rPr>
                <w:rFonts w:ascii="DM Sans" w:hAnsi="DM Sans" w:cs="DM Sans"/>
                <w:b w:val="0"/>
                <w:i w:val="0"/>
                <w:color w:val="050C2A"/>
                <w:sz w:val="20"/>
                <w:u w:val="none"/>
              </w:rPr>
              <w:t>30</w:t>
            </w:r>
          </w:p>
        </w:tc>
        <w:tc>
          <w:tcPr>
            <w:tcW w:type="dxa" w:w="4295"/>
            <w:shd w:fill="F5F5F5" w:val="clear"/>
            <w:vAlign w:val="center"/>
          </w:tcPr>
          <w:p>
            <w:pPr>
              <w:spacing w:before="30" w:after="30"/>
            </w:pPr>
            <w:r>
              <w:rPr>
                <w:rFonts w:ascii="DM Sans" w:hAnsi="DM Sans" w:cs="DM Sans"/>
                <w:b w:val="0"/>
                <w:i w:val="0"/>
                <w:color w:val="050C2A"/>
                <w:sz w:val="20"/>
                <w:u w:val="none"/>
              </w:rPr>
              <w:t>Coordination outside of the meeting; Slack, email, or LMS; lighter than subsequent weeks because the relationship is brand new and norms are still forming</w:t>
            </w:r>
          </w:p>
        </w:tc>
      </w:tr>
      <w:tr>
        <w:tc>
          <w:tcPr>
            <w:tcW w:type="dxa" w:w="652"/>
            <w:vAlign w:val="center"/>
          </w:tcPr>
          <w:p>
            <w:pPr>
              <w:spacing w:before="30" w:after="30"/>
            </w:pPr>
            <w:r>
              <w:rPr>
                <w:rFonts w:ascii="DM Sans" w:hAnsi="DM Sans" w:cs="DM Sans"/>
                <w:b w:val="0"/>
                <w:i w:val="0"/>
                <w:color w:val="050C2A"/>
                <w:sz w:val="20"/>
                <w:u w:val="none"/>
              </w:rPr>
              <w:t>2.09</w:t>
            </w:r>
          </w:p>
        </w:tc>
        <w:tc>
          <w:tcPr>
            <w:tcW w:type="dxa" w:w="1088"/>
            <w:vAlign w:val="center"/>
          </w:tcPr>
          <w:p>
            <w:pPr>
              <w:spacing w:before="30" w:after="30"/>
            </w:pPr>
            <w:r>
              <w:rPr>
                <w:rFonts w:ascii="DM Sans" w:hAnsi="DM Sans" w:cs="DM Sans"/>
                <w:b w:val="0"/>
                <w:i w:val="0"/>
                <w:color w:val="050C2A"/>
                <w:sz w:val="20"/>
                <w:u w:val="none"/>
              </w:rPr>
              <w:t>Employer Engagement</w:t>
            </w:r>
          </w:p>
        </w:tc>
        <w:tc>
          <w:tcPr>
            <w:tcW w:type="dxa" w:w="2029"/>
            <w:vAlign w:val="center"/>
          </w:tcPr>
          <w:p>
            <w:pPr>
              <w:spacing w:before="30" w:after="30"/>
            </w:pPr>
            <w:r>
              <w:rPr>
                <w:rFonts w:ascii="DM Sans" w:hAnsi="DM Sans" w:cs="DM Sans"/>
                <w:b w:val="0"/>
                <w:i w:val="0"/>
                <w:color w:val="050C2A"/>
                <w:sz w:val="20"/>
                <w:u w:val="none"/>
              </w:rPr>
              <w:t>Draft and agree on employer outreach email</w:t>
            </w:r>
          </w:p>
        </w:tc>
        <w:tc>
          <w:tcPr>
            <w:tcW w:type="dxa" w:w="575"/>
            <w:vAlign w:val="center"/>
          </w:tcPr>
          <w:p>
            <w:pPr>
              <w:spacing w:before="30" w:after="30"/>
            </w:pPr>
            <w:r>
              <w:rPr>
                <w:rFonts w:ascii="DM Sans" w:hAnsi="DM Sans" w:cs="DM Sans"/>
                <w:b w:val="0"/>
                <w:i w:val="0"/>
                <w:color w:val="050C2A"/>
                <w:sz w:val="20"/>
                <w:u w:val="none"/>
              </w:rPr>
              <w:t>Project</w:t>
            </w:r>
          </w:p>
        </w:tc>
        <w:tc>
          <w:tcPr>
            <w:tcW w:type="dxa" w:w="721"/>
            <w:vAlign w:val="center"/>
          </w:tcPr>
          <w:p>
            <w:pPr>
              <w:spacing w:before="30" w:after="30"/>
            </w:pPr>
            <w:r>
              <w:rPr>
                <w:rFonts w:ascii="DM Sans" w:hAnsi="DM Sans" w:cs="DM Sans"/>
                <w:b w:val="0"/>
                <w:i w:val="0"/>
                <w:color w:val="050C2A"/>
                <w:sz w:val="20"/>
                <w:u w:val="none"/>
              </w:rPr>
              <w:t>30</w:t>
            </w:r>
          </w:p>
        </w:tc>
        <w:tc>
          <w:tcPr>
            <w:tcW w:type="dxa" w:w="4295"/>
            <w:vAlign w:val="center"/>
          </w:tcPr>
          <w:p>
            <w:pPr>
              <w:spacing w:before="30" w:after="30"/>
            </w:pPr>
            <w:r>
              <w:rPr>
                <w:rFonts w:ascii="DM Sans" w:hAnsi="DM Sans" w:cs="DM Sans"/>
                <w:b w:val="0"/>
                <w:i w:val="0"/>
                <w:color w:val="050C2A"/>
                <w:sz w:val="20"/>
                <w:u w:val="none"/>
              </w:rPr>
              <w:t>Team drafts the introduction email and requests the kickoff meeting; collective agreement required before sending; AI-assisted drafting is permitted with disclosure</w:t>
            </w:r>
          </w:p>
        </w:tc>
      </w:tr>
      <w:tr>
        <w:tc>
          <w:tcPr>
            <w:tcW w:type="dxa" w:w="652"/>
            <w:shd w:fill="F5F5F5" w:val="clear"/>
            <w:vAlign w:val="center"/>
          </w:tcPr>
          <w:p>
            <w:pPr>
              <w:spacing w:before="30" w:after="30"/>
            </w:pPr>
            <w:r>
              <w:rPr>
                <w:rFonts w:ascii="DM Sans" w:hAnsi="DM Sans" w:cs="DM Sans"/>
                <w:b w:val="0"/>
                <w:i w:val="0"/>
                <w:color w:val="050C2A"/>
                <w:sz w:val="20"/>
                <w:u w:val="none"/>
              </w:rPr>
              <w:t>2.10</w:t>
            </w:r>
          </w:p>
        </w:tc>
        <w:tc>
          <w:tcPr>
            <w:tcW w:type="dxa" w:w="1088"/>
            <w:shd w:fill="F5F5F5" w:val="clear"/>
            <w:vAlign w:val="center"/>
          </w:tcPr>
          <w:p>
            <w:pPr>
              <w:spacing w:before="30" w:after="30"/>
            </w:pPr>
            <w:r>
              <w:rPr>
                <w:rFonts w:ascii="DM Sans" w:hAnsi="DM Sans" w:cs="DM Sans"/>
                <w:b w:val="0"/>
                <w:i w:val="0"/>
                <w:color w:val="050C2A"/>
                <w:sz w:val="20"/>
                <w:u w:val="none"/>
              </w:rPr>
              <w:t>Employer Engagement</w:t>
            </w:r>
          </w:p>
        </w:tc>
        <w:tc>
          <w:tcPr>
            <w:tcW w:type="dxa" w:w="2029"/>
            <w:shd w:fill="F5F5F5" w:val="clear"/>
            <w:vAlign w:val="center"/>
          </w:tcPr>
          <w:p>
            <w:pPr>
              <w:spacing w:before="30" w:after="30"/>
            </w:pPr>
            <w:r>
              <w:rPr>
                <w:rFonts w:ascii="DM Sans" w:hAnsi="DM Sans" w:cs="DM Sans"/>
                <w:b w:val="0"/>
                <w:i w:val="0"/>
                <w:color w:val="050C2A"/>
                <w:sz w:val="20"/>
                <w:u w:val="none"/>
              </w:rPr>
              <w:t>Employer scheduling coordination</w:t>
            </w:r>
          </w:p>
        </w:tc>
        <w:tc>
          <w:tcPr>
            <w:tcW w:type="dxa" w:w="575"/>
            <w:shd w:fill="F5F5F5" w:val="clear"/>
            <w:vAlign w:val="center"/>
          </w:tcPr>
          <w:p>
            <w:pPr>
              <w:spacing w:before="30" w:after="30"/>
            </w:pPr>
            <w:r>
              <w:rPr>
                <w:rFonts w:ascii="DM Sans" w:hAnsi="DM Sans" w:cs="DM Sans"/>
                <w:b w:val="0"/>
                <w:i w:val="0"/>
                <w:color w:val="050C2A"/>
                <w:sz w:val="20"/>
                <w:u w:val="none"/>
              </w:rPr>
              <w:t>Project</w:t>
            </w:r>
          </w:p>
        </w:tc>
        <w:tc>
          <w:tcPr>
            <w:tcW w:type="dxa" w:w="721"/>
            <w:shd w:fill="F5F5F5" w:val="clear"/>
            <w:vAlign w:val="center"/>
          </w:tcPr>
          <w:p>
            <w:pPr>
              <w:spacing w:before="30" w:after="30"/>
            </w:pPr>
            <w:r>
              <w:rPr>
                <w:rFonts w:ascii="DM Sans" w:hAnsi="DM Sans" w:cs="DM Sans"/>
                <w:b w:val="0"/>
                <w:i w:val="0"/>
                <w:color w:val="050C2A"/>
                <w:sz w:val="20"/>
                <w:u w:val="none"/>
              </w:rPr>
              <w:t>15</w:t>
            </w:r>
          </w:p>
        </w:tc>
        <w:tc>
          <w:tcPr>
            <w:tcW w:type="dxa" w:w="4295"/>
            <w:shd w:fill="F5F5F5" w:val="clear"/>
            <w:vAlign w:val="center"/>
          </w:tcPr>
          <w:p>
            <w:pPr>
              <w:spacing w:before="30" w:after="30"/>
            </w:pPr>
            <w:r>
              <w:rPr>
                <w:rFonts w:ascii="DM Sans" w:hAnsi="DM Sans" w:cs="DM Sans"/>
                <w:b w:val="0"/>
                <w:i w:val="0"/>
                <w:color w:val="050C2A"/>
                <w:sz w:val="20"/>
                <w:u w:val="none"/>
              </w:rPr>
              <w:t>Follow-up to confirm receipt and handle logistics; brief but real; missing from original time estimate</w:t>
            </w:r>
          </w:p>
        </w:tc>
      </w:tr>
      <w:tr>
        <w:tc>
          <w:tcPr>
            <w:tcW w:type="dxa" w:w="652"/>
            <w:vAlign w:val="center"/>
          </w:tcPr>
          <w:p>
            <w:pPr>
              <w:spacing w:before="30" w:after="30"/>
            </w:pPr>
            <w:r>
              <w:rPr>
                <w:rFonts w:ascii="DM Sans" w:hAnsi="DM Sans" w:cs="DM Sans"/>
                <w:b w:val="0"/>
                <w:i w:val="0"/>
                <w:color w:val="050C2A"/>
                <w:sz w:val="20"/>
                <w:u w:val="none"/>
              </w:rPr>
              <w:t>2.11</w:t>
            </w:r>
          </w:p>
        </w:tc>
        <w:tc>
          <w:tcPr>
            <w:tcW w:type="dxa" w:w="1088"/>
            <w:vAlign w:val="center"/>
          </w:tcPr>
          <w:p>
            <w:pPr>
              <w:spacing w:before="30" w:after="30"/>
            </w:pPr>
            <w:r>
              <w:rPr>
                <w:rFonts w:ascii="DM Sans" w:hAnsi="DM Sans" w:cs="DM Sans"/>
                <w:b w:val="0"/>
                <w:i w:val="0"/>
                <w:color w:val="050C2A"/>
                <w:sz w:val="20"/>
                <w:u w:val="none"/>
              </w:rPr>
              <w:t>Project Orientation</w:t>
            </w:r>
          </w:p>
        </w:tc>
        <w:tc>
          <w:tcPr>
            <w:tcW w:type="dxa" w:w="2029"/>
            <w:vAlign w:val="center"/>
          </w:tcPr>
          <w:p>
            <w:pPr>
              <w:spacing w:before="30" w:after="30"/>
            </w:pPr>
            <w:r>
              <w:rPr>
                <w:rFonts w:ascii="DM Sans" w:hAnsi="DM Sans" w:cs="DM Sans"/>
                <w:b w:val="0"/>
                <w:i w:val="0"/>
                <w:color w:val="050C2A"/>
                <w:sz w:val="20"/>
                <w:u w:val="none"/>
              </w:rPr>
              <w:t>Researching an Organization — organizational reconnaissance primer</w:t>
            </w:r>
          </w:p>
        </w:tc>
        <w:tc>
          <w:tcPr>
            <w:tcW w:type="dxa" w:w="575"/>
            <w:vAlign w:val="center"/>
          </w:tcPr>
          <w:p>
            <w:pPr>
              <w:spacing w:before="30" w:after="30"/>
            </w:pPr>
            <w:r>
              <w:rPr>
                <w:rFonts w:ascii="DM Sans" w:hAnsi="DM Sans" w:cs="DM Sans"/>
                <w:b w:val="0"/>
                <w:i w:val="0"/>
                <w:color w:val="050C2A"/>
                <w:sz w:val="20"/>
                <w:u w:val="none"/>
              </w:rPr>
              <w:t>Module</w:t>
            </w:r>
          </w:p>
        </w:tc>
        <w:tc>
          <w:tcPr>
            <w:tcW w:type="dxa" w:w="721"/>
            <w:vAlign w:val="center"/>
          </w:tcPr>
          <w:p>
            <w:pPr>
              <w:spacing w:before="30" w:after="30"/>
            </w:pPr>
            <w:r>
              <w:rPr>
                <w:rFonts w:ascii="DM Sans" w:hAnsi="DM Sans" w:cs="DM Sans"/>
                <w:b w:val="0"/>
                <w:i w:val="0"/>
                <w:color w:val="050C2A"/>
                <w:sz w:val="20"/>
                <w:u w:val="none"/>
              </w:rPr>
              <w:t>15</w:t>
            </w:r>
          </w:p>
        </w:tc>
        <w:tc>
          <w:tcPr>
            <w:tcW w:type="dxa" w:w="4295"/>
            <w:vAlign w:val="center"/>
          </w:tcPr>
          <w:p>
            <w:pPr>
              <w:spacing w:before="30" w:after="30"/>
            </w:pPr>
            <w:r>
              <w:rPr>
                <w:rFonts w:ascii="DM Sans" w:hAnsi="DM Sans" w:cs="DM Sans"/>
                <w:b w:val="0"/>
                <w:i w:val="0"/>
                <w:color w:val="050C2A"/>
                <w:sz w:val="20"/>
                <w:u w:val="none"/>
              </w:rPr>
              <w:t>Scoped to Week 2 task: show up to the kickoff informed. Who is this company, what do they do, what's their sector, any recent news. Shallow and broad — not analytical. Part of the research skills progression: Week 2 = reconnaissance, Week 3 = targeted landscape, Week 4 = analytical synthesis.</w:t>
            </w:r>
          </w:p>
        </w:tc>
      </w:tr>
      <w:tr>
        <w:tc>
          <w:tcPr>
            <w:tcW w:type="dxa" w:w="652"/>
            <w:shd w:fill="F5F5F5" w:val="clear"/>
            <w:vAlign w:val="center"/>
          </w:tcPr>
          <w:p>
            <w:pPr>
              <w:spacing w:before="30" w:after="30"/>
            </w:pPr>
            <w:r>
              <w:rPr>
                <w:rFonts w:ascii="DM Sans" w:hAnsi="DM Sans" w:cs="DM Sans"/>
                <w:b w:val="0"/>
                <w:i w:val="0"/>
                <w:color w:val="050C2A"/>
                <w:sz w:val="20"/>
                <w:u w:val="none"/>
              </w:rPr>
              <w:t>2.12</w:t>
            </w:r>
          </w:p>
        </w:tc>
        <w:tc>
          <w:tcPr>
            <w:tcW w:type="dxa" w:w="1088"/>
            <w:shd w:fill="F5F5F5" w:val="clear"/>
            <w:vAlign w:val="center"/>
          </w:tcPr>
          <w:p>
            <w:pPr>
              <w:spacing w:before="30" w:after="30"/>
            </w:pPr>
            <w:r>
              <w:rPr>
                <w:rFonts w:ascii="DM Sans" w:hAnsi="DM Sans" w:cs="DM Sans"/>
                <w:b w:val="0"/>
                <w:i w:val="0"/>
                <w:color w:val="050C2A"/>
                <w:sz w:val="20"/>
                <w:u w:val="none"/>
              </w:rPr>
              <w:t>Project Orientation</w:t>
            </w:r>
          </w:p>
        </w:tc>
        <w:tc>
          <w:tcPr>
            <w:tcW w:type="dxa" w:w="2029"/>
            <w:shd w:fill="F5F5F5" w:val="clear"/>
            <w:vAlign w:val="center"/>
          </w:tcPr>
          <w:p>
            <w:pPr>
              <w:spacing w:before="30" w:after="30"/>
            </w:pPr>
            <w:r>
              <w:rPr>
                <w:rFonts w:ascii="DM Sans" w:hAnsi="DM Sans" w:cs="DM Sans"/>
                <w:b w:val="0"/>
                <w:i w:val="0"/>
                <w:color w:val="050C2A"/>
                <w:sz w:val="20"/>
                <w:u w:val="none"/>
              </w:rPr>
              <w:t>Kickoff Best Practices</w:t>
            </w:r>
          </w:p>
        </w:tc>
        <w:tc>
          <w:tcPr>
            <w:tcW w:type="dxa" w:w="575"/>
            <w:shd w:fill="F5F5F5" w:val="clear"/>
            <w:vAlign w:val="center"/>
          </w:tcPr>
          <w:p>
            <w:pPr>
              <w:spacing w:before="30" w:after="30"/>
            </w:pPr>
            <w:r>
              <w:rPr>
                <w:rFonts w:ascii="DM Sans" w:hAnsi="DM Sans" w:cs="DM Sans"/>
                <w:b w:val="0"/>
                <w:i w:val="0"/>
                <w:color w:val="050C2A"/>
                <w:sz w:val="20"/>
                <w:u w:val="none"/>
              </w:rPr>
              <w:t>Module</w:t>
            </w:r>
          </w:p>
        </w:tc>
        <w:tc>
          <w:tcPr>
            <w:tcW w:type="dxa" w:w="721"/>
            <w:shd w:fill="F5F5F5" w:val="clear"/>
            <w:vAlign w:val="center"/>
          </w:tcPr>
          <w:p>
            <w:pPr>
              <w:spacing w:before="30" w:after="30"/>
            </w:pPr>
            <w:r>
              <w:rPr>
                <w:rFonts w:ascii="DM Sans" w:hAnsi="DM Sans" w:cs="DM Sans"/>
                <w:b w:val="0"/>
                <w:i w:val="0"/>
                <w:color w:val="050C2A"/>
                <w:sz w:val="20"/>
                <w:u w:val="none"/>
              </w:rPr>
              <w:t>15</w:t>
            </w:r>
          </w:p>
        </w:tc>
        <w:tc>
          <w:tcPr>
            <w:tcW w:type="dxa" w:w="4295"/>
            <w:shd w:fill="F5F5F5" w:val="clear"/>
            <w:vAlign w:val="center"/>
          </w:tcPr>
          <w:p>
            <w:pPr>
              <w:spacing w:before="30" w:after="30"/>
            </w:pPr>
            <w:r>
              <w:rPr>
                <w:rFonts w:ascii="DM Sans" w:hAnsi="DM Sans" w:cs="DM Sans"/>
                <w:b w:val="0"/>
                <w:i w:val="0"/>
                <w:color w:val="050C2A"/>
                <w:sz w:val="20"/>
                <w:u w:val="none"/>
              </w:rPr>
              <w:t>Just-in-time practical guidance specific to the kickoff meeting: role assignment framework (who asks, who notes, who manages time), how to open the meeting, what to listen for, what you're trying to walk away with, what to do if the conversation goes off track. Distinct from Asking Good Questions which teaches transferable skills — this section is operationally specific to this meeting.</w:t>
            </w:r>
          </w:p>
        </w:tc>
      </w:tr>
      <w:tr>
        <w:tc>
          <w:tcPr>
            <w:tcW w:type="dxa" w:w="652"/>
            <w:vAlign w:val="center"/>
          </w:tcPr>
          <w:p>
            <w:pPr>
              <w:spacing w:before="30" w:after="30"/>
            </w:pPr>
            <w:r>
              <w:rPr>
                <w:rFonts w:ascii="DM Sans" w:hAnsi="DM Sans" w:cs="DM Sans"/>
                <w:b w:val="0"/>
                <w:i w:val="0"/>
                <w:color w:val="050C2A"/>
                <w:sz w:val="20"/>
                <w:u w:val="none"/>
              </w:rPr>
              <w:t>2.13</w:t>
            </w:r>
          </w:p>
        </w:tc>
        <w:tc>
          <w:tcPr>
            <w:tcW w:type="dxa" w:w="1088"/>
            <w:vAlign w:val="center"/>
          </w:tcPr>
          <w:p>
            <w:pPr>
              <w:spacing w:before="30" w:after="30"/>
            </w:pPr>
            <w:r>
              <w:rPr>
                <w:rFonts w:ascii="DM Sans" w:hAnsi="DM Sans" w:cs="DM Sans"/>
                <w:b w:val="0"/>
                <w:i w:val="0"/>
                <w:color w:val="050C2A"/>
                <w:sz w:val="20"/>
                <w:u w:val="none"/>
              </w:rPr>
              <w:t>Professional Fundamentals</w:t>
            </w:r>
          </w:p>
        </w:tc>
        <w:tc>
          <w:tcPr>
            <w:tcW w:type="dxa" w:w="2029"/>
            <w:vAlign w:val="center"/>
          </w:tcPr>
          <w:p>
            <w:pPr>
              <w:spacing w:before="30" w:after="30"/>
            </w:pPr>
            <w:r>
              <w:rPr>
                <w:rFonts w:ascii="DM Sans" w:hAnsi="DM Sans" w:cs="DM Sans"/>
                <w:b w:val="0"/>
                <w:i w:val="0"/>
                <w:color w:val="050C2A"/>
                <w:sz w:val="20"/>
                <w:u w:val="none"/>
              </w:rPr>
              <w:t>Asking Good Questions</w:t>
            </w:r>
          </w:p>
        </w:tc>
        <w:tc>
          <w:tcPr>
            <w:tcW w:type="dxa" w:w="575"/>
            <w:vAlign w:val="center"/>
          </w:tcPr>
          <w:p>
            <w:pPr>
              <w:spacing w:before="30" w:after="30"/>
            </w:pPr>
            <w:r>
              <w:rPr>
                <w:rFonts w:ascii="DM Sans" w:hAnsi="DM Sans" w:cs="DM Sans"/>
                <w:b w:val="0"/>
                <w:i w:val="0"/>
                <w:color w:val="050C2A"/>
                <w:sz w:val="20"/>
                <w:u w:val="none"/>
              </w:rPr>
              <w:t>Module</w:t>
            </w:r>
          </w:p>
        </w:tc>
        <w:tc>
          <w:tcPr>
            <w:tcW w:type="dxa" w:w="721"/>
            <w:vAlign w:val="center"/>
          </w:tcPr>
          <w:p>
            <w:pPr>
              <w:spacing w:before="30" w:after="30"/>
            </w:pPr>
            <w:r>
              <w:rPr>
                <w:rFonts w:ascii="DM Sans" w:hAnsi="DM Sans" w:cs="DM Sans"/>
                <w:b w:val="0"/>
                <w:i w:val="0"/>
                <w:color w:val="050C2A"/>
                <w:sz w:val="20"/>
                <w:u w:val="none"/>
              </w:rPr>
              <w:t>15</w:t>
            </w:r>
          </w:p>
        </w:tc>
        <w:tc>
          <w:tcPr>
            <w:tcW w:type="dxa" w:w="4295"/>
            <w:vAlign w:val="center"/>
          </w:tcPr>
          <w:p>
            <w:pPr>
              <w:spacing w:before="30" w:after="30"/>
            </w:pPr>
            <w:r>
              <w:rPr>
                <w:rFonts w:ascii="DM Sans" w:hAnsi="DM Sans" w:cs="DM Sans"/>
                <w:b w:val="0"/>
                <w:i w:val="0"/>
                <w:color w:val="050C2A"/>
                <w:sz w:val="20"/>
                <w:u w:val="none"/>
              </w:rPr>
              <w:t>Transferable skill applicable throughout the course (Direction Check, Progress Reviews, etc.). Open vs. closed questions, how to prioritize questions, how to listen for what's not being said. Taught as a durable skill, not kickoff-specific — Kickoff Best Practices handles the operational specifics.</w:t>
            </w:r>
          </w:p>
        </w:tc>
      </w:tr>
      <w:tr>
        <w:tc>
          <w:tcPr>
            <w:tcW w:type="dxa" w:w="652"/>
            <w:shd w:fill="F5F5F5" w:val="clear"/>
            <w:vAlign w:val="center"/>
          </w:tcPr>
          <w:p>
            <w:pPr>
              <w:spacing w:before="30" w:after="30"/>
            </w:pPr>
            <w:r>
              <w:rPr>
                <w:rFonts w:ascii="DM Sans" w:hAnsi="DM Sans" w:cs="DM Sans"/>
                <w:b w:val="0"/>
                <w:i w:val="0"/>
                <w:color w:val="050C2A"/>
                <w:sz w:val="20"/>
                <w:u w:val="none"/>
              </w:rPr>
              <w:t>2.14</w:t>
            </w:r>
          </w:p>
        </w:tc>
        <w:tc>
          <w:tcPr>
            <w:tcW w:type="dxa" w:w="1088"/>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29"/>
            <w:shd w:fill="F5F5F5" w:val="clear"/>
            <w:vAlign w:val="center"/>
          </w:tcPr>
          <w:p>
            <w:pPr>
              <w:spacing w:before="30" w:after="30"/>
            </w:pPr>
            <w:r>
              <w:rPr>
                <w:rFonts w:ascii="DM Sans" w:hAnsi="DM Sans" w:cs="DM Sans"/>
                <w:b w:val="0"/>
                <w:i w:val="0"/>
                <w:color w:val="050C2A"/>
                <w:sz w:val="20"/>
                <w:u w:val="none"/>
              </w:rPr>
              <w:t>Active Listening in Client Meetings</w:t>
            </w:r>
          </w:p>
        </w:tc>
        <w:tc>
          <w:tcPr>
            <w:tcW w:type="dxa" w:w="575"/>
            <w:shd w:fill="F5F5F5" w:val="clear"/>
            <w:vAlign w:val="center"/>
          </w:tcPr>
          <w:p>
            <w:pPr>
              <w:spacing w:before="30" w:after="30"/>
            </w:pPr>
            <w:r>
              <w:rPr>
                <w:rFonts w:ascii="DM Sans" w:hAnsi="DM Sans" w:cs="DM Sans"/>
                <w:b w:val="0"/>
                <w:i w:val="0"/>
                <w:color w:val="050C2A"/>
                <w:sz w:val="20"/>
                <w:u w:val="none"/>
              </w:rPr>
              <w:t>Module</w:t>
            </w:r>
          </w:p>
        </w:tc>
        <w:tc>
          <w:tcPr>
            <w:tcW w:type="dxa" w:w="721"/>
            <w:shd w:fill="F5F5F5" w:val="clear"/>
            <w:vAlign w:val="center"/>
          </w:tcPr>
          <w:p>
            <w:pPr>
              <w:spacing w:before="30" w:after="30"/>
            </w:pPr>
            <w:r>
              <w:rPr>
                <w:rFonts w:ascii="DM Sans" w:hAnsi="DM Sans" w:cs="DM Sans"/>
                <w:b w:val="0"/>
                <w:i w:val="0"/>
                <w:color w:val="050C2A"/>
                <w:sz w:val="20"/>
                <w:u w:val="none"/>
              </w:rPr>
              <w:t>15</w:t>
            </w:r>
          </w:p>
        </w:tc>
        <w:tc>
          <w:tcPr>
            <w:tcW w:type="dxa" w:w="4295"/>
            <w:shd w:fill="F5F5F5" w:val="clear"/>
            <w:vAlign w:val="center"/>
          </w:tcPr>
          <w:p>
            <w:pPr>
              <w:spacing w:before="30" w:after="30"/>
            </w:pPr>
            <w:r>
              <w:rPr>
                <w:rFonts w:ascii="DM Sans" w:hAnsi="DM Sans" w:cs="DM Sans"/>
                <w:b w:val="0"/>
                <w:i w:val="0"/>
                <w:color w:val="050C2A"/>
                <w:sz w:val="20"/>
                <w:u w:val="none"/>
              </w:rPr>
              <w:t>How to listen without waiting to talk, note-taking strategies, clarifying without interrupting. Transferable skill that applies to all employer touchpoints throughout the course.</w:t>
            </w:r>
          </w:p>
        </w:tc>
      </w:tr>
      <w:tr>
        <w:tc>
          <w:tcPr>
            <w:tcW w:type="dxa" w:w="652"/>
            <w:vAlign w:val="center"/>
          </w:tcPr>
          <w:p>
            <w:pPr>
              <w:spacing w:before="30" w:after="30"/>
            </w:pPr>
            <w:r>
              <w:rPr>
                <w:rFonts w:ascii="DM Sans" w:hAnsi="DM Sans" w:cs="DM Sans"/>
                <w:b w:val="0"/>
                <w:i w:val="0"/>
                <w:color w:val="050C2A"/>
                <w:sz w:val="20"/>
                <w:u w:val="none"/>
              </w:rPr>
              <w:t>2.15</w:t>
            </w:r>
          </w:p>
        </w:tc>
        <w:tc>
          <w:tcPr>
            <w:tcW w:type="dxa" w:w="1088"/>
            <w:vAlign w:val="center"/>
          </w:tcPr>
          <w:p>
            <w:pPr>
              <w:spacing w:before="30" w:after="30"/>
            </w:pPr>
            <w:r>
              <w:rPr>
                <w:rFonts w:ascii="DM Sans" w:hAnsi="DM Sans" w:cs="DM Sans"/>
                <w:b w:val="0"/>
                <w:i w:val="0"/>
                <w:color w:val="050C2A"/>
                <w:sz w:val="20"/>
                <w:u w:val="none"/>
              </w:rPr>
              <w:t>Project Orientation</w:t>
            </w:r>
          </w:p>
        </w:tc>
        <w:tc>
          <w:tcPr>
            <w:tcW w:type="dxa" w:w="2029"/>
            <w:vAlign w:val="center"/>
          </w:tcPr>
          <w:p>
            <w:pPr>
              <w:spacing w:before="30" w:after="30"/>
            </w:pPr>
            <w:r>
              <w:rPr>
                <w:rFonts w:ascii="DM Sans" w:hAnsi="DM Sans" w:cs="DM Sans"/>
                <w:b w:val="0"/>
                <w:i w:val="0"/>
                <w:color w:val="050C2A"/>
                <w:sz w:val="20"/>
                <w:u w:val="none"/>
              </w:rPr>
              <w:t>Review Context Analysis &amp; Project Plan assignment + rubric</w:t>
            </w:r>
          </w:p>
        </w:tc>
        <w:tc>
          <w:tcPr>
            <w:tcW w:type="dxa" w:w="575"/>
            <w:vAlign w:val="center"/>
          </w:tcPr>
          <w:p>
            <w:pPr>
              <w:spacing w:before="30" w:after="30"/>
            </w:pPr>
            <w:r>
              <w:rPr>
                <w:rFonts w:ascii="DM Sans" w:hAnsi="DM Sans" w:cs="DM Sans"/>
                <w:b w:val="0"/>
                <w:i w:val="0"/>
                <w:color w:val="050C2A"/>
                <w:sz w:val="20"/>
                <w:u w:val="none"/>
              </w:rPr>
              <w:t>Project</w:t>
            </w:r>
          </w:p>
        </w:tc>
        <w:tc>
          <w:tcPr>
            <w:tcW w:type="dxa" w:w="721"/>
            <w:vAlign w:val="center"/>
          </w:tcPr>
          <w:p>
            <w:pPr>
              <w:spacing w:before="30" w:after="30"/>
            </w:pPr>
            <w:r>
              <w:rPr>
                <w:rFonts w:ascii="DM Sans" w:hAnsi="DM Sans" w:cs="DM Sans"/>
                <w:b w:val="0"/>
                <w:i w:val="0"/>
                <w:color w:val="050C2A"/>
                <w:sz w:val="20"/>
                <w:u w:val="none"/>
              </w:rPr>
              <w:t>30</w:t>
            </w:r>
          </w:p>
        </w:tc>
        <w:tc>
          <w:tcPr>
            <w:tcW w:type="dxa" w:w="4295"/>
            <w:vAlign w:val="center"/>
          </w:tcPr>
          <w:p>
            <w:pPr>
              <w:spacing w:before="30" w:after="30"/>
            </w:pPr>
            <w:r>
              <w:rPr>
                <w:rFonts w:ascii="DM Sans" w:hAnsi="DM Sans" w:cs="DM Sans"/>
                <w:b w:val="0"/>
                <w:i w:val="0"/>
                <w:color w:val="050C2A"/>
                <w:sz w:val="20"/>
                <w:u w:val="none"/>
              </w:rPr>
              <w:t>Knowing the assessment criteria before beginning work shapes what they prioritize in research and charter conversations</w:t>
            </w:r>
          </w:p>
        </w:tc>
      </w:tr>
      <w:tr>
        <w:tc>
          <w:tcPr>
            <w:tcW w:type="dxa" w:w="652"/>
            <w:shd w:fill="F5F5F5" w:val="clear"/>
            <w:vAlign w:val="center"/>
          </w:tcPr>
          <w:p>
            <w:pPr>
              <w:spacing w:before="30" w:after="30"/>
            </w:pPr>
            <w:r>
              <w:rPr>
                <w:rFonts w:ascii="DM Sans" w:hAnsi="DM Sans" w:cs="DM Sans"/>
                <w:b w:val="0"/>
                <w:i w:val="0"/>
                <w:color w:val="050C2A"/>
                <w:sz w:val="20"/>
                <w:u w:val="none"/>
              </w:rPr>
              <w:t>2.16</w:t>
            </w:r>
          </w:p>
        </w:tc>
        <w:tc>
          <w:tcPr>
            <w:tcW w:type="dxa" w:w="1088"/>
            <w:shd w:fill="F5F5F5" w:val="clear"/>
            <w:vAlign w:val="center"/>
          </w:tcPr>
          <w:p>
            <w:pPr>
              <w:spacing w:before="30" w:after="30"/>
            </w:pPr>
            <w:r>
              <w:rPr>
                <w:rFonts w:ascii="DM Sans" w:hAnsi="DM Sans" w:cs="DM Sans"/>
                <w:b w:val="0"/>
                <w:i w:val="0"/>
                <w:color w:val="050C2A"/>
                <w:sz w:val="20"/>
                <w:u w:val="none"/>
              </w:rPr>
              <w:t>Project Orientation</w:t>
            </w:r>
          </w:p>
        </w:tc>
        <w:tc>
          <w:tcPr>
            <w:tcW w:type="dxa" w:w="2029"/>
            <w:shd w:fill="F5F5F5" w:val="clear"/>
            <w:vAlign w:val="center"/>
          </w:tcPr>
          <w:p>
            <w:pPr>
              <w:spacing w:before="30" w:after="30"/>
            </w:pPr>
            <w:r>
              <w:rPr>
                <w:rFonts w:ascii="DM Sans" w:hAnsi="DM Sans" w:cs="DM Sans"/>
                <w:b w:val="0"/>
                <w:i w:val="0"/>
                <w:color w:val="050C2A"/>
                <w:sz w:val="20"/>
                <w:u w:val="none"/>
              </w:rPr>
              <w:t>Individual research on employer organization</w:t>
            </w:r>
          </w:p>
        </w:tc>
        <w:tc>
          <w:tcPr>
            <w:tcW w:type="dxa" w:w="575"/>
            <w:shd w:fill="F5F5F5" w:val="clear"/>
            <w:vAlign w:val="center"/>
          </w:tcPr>
          <w:p>
            <w:pPr>
              <w:spacing w:before="30" w:after="30"/>
            </w:pPr>
            <w:r>
              <w:rPr>
                <w:rFonts w:ascii="DM Sans" w:hAnsi="DM Sans" w:cs="DM Sans"/>
                <w:b w:val="0"/>
                <w:i w:val="0"/>
                <w:color w:val="050C2A"/>
                <w:sz w:val="20"/>
                <w:u w:val="none"/>
              </w:rPr>
              <w:t>Project</w:t>
            </w:r>
          </w:p>
        </w:tc>
        <w:tc>
          <w:tcPr>
            <w:tcW w:type="dxa" w:w="721"/>
            <w:shd w:fill="F5F5F5" w:val="clear"/>
            <w:vAlign w:val="center"/>
          </w:tcPr>
          <w:p>
            <w:pPr>
              <w:spacing w:before="30" w:after="30"/>
            </w:pPr>
            <w:r>
              <w:rPr>
                <w:rFonts w:ascii="DM Sans" w:hAnsi="DM Sans" w:cs="DM Sans"/>
                <w:b w:val="0"/>
                <w:i w:val="0"/>
                <w:color w:val="050C2A"/>
                <w:sz w:val="20"/>
                <w:u w:val="none"/>
              </w:rPr>
              <w:t>60</w:t>
            </w:r>
          </w:p>
        </w:tc>
        <w:tc>
          <w:tcPr>
            <w:tcW w:type="dxa" w:w="4295"/>
            <w:shd w:fill="F5F5F5" w:val="clear"/>
            <w:vAlign w:val="center"/>
          </w:tcPr>
          <w:p>
            <w:pPr>
              <w:spacing w:before="30" w:after="30"/>
            </w:pPr>
            <w:r>
              <w:rPr>
                <w:rFonts w:ascii="DM Sans" w:hAnsi="DM Sans" w:cs="DM Sans"/>
                <w:b w:val="0"/>
                <w:i w:val="0"/>
                <w:color w:val="050C2A"/>
                <w:sz w:val="20"/>
                <w:u w:val="none"/>
              </w:rPr>
              <w:t>Students now have a real project assignment and genuine motivation to understand their context; feeds Context Analysis in Week 4</w:t>
            </w:r>
          </w:p>
        </w:tc>
      </w:tr>
      <w:tr>
        <w:tc>
          <w:tcPr>
            <w:tcW w:type="dxa" w:w="652"/>
            <w:vAlign w:val="center"/>
          </w:tcPr>
          <w:p>
            <w:pPr>
              <w:spacing w:before="30" w:after="30"/>
            </w:pPr>
            <w:r>
              <w:rPr>
                <w:rFonts w:ascii="DM Sans" w:hAnsi="DM Sans" w:cs="DM Sans"/>
                <w:b/>
                <w:i w:val="0"/>
                <w:color w:val="050C2A"/>
                <w:sz w:val="20"/>
                <w:u w:val="none"/>
              </w:rPr>
              <w:t>TOTAL</w:t>
            </w:r>
          </w:p>
        </w:tc>
        <w:tc>
          <w:tcPr>
            <w:tcW w:type="dxa" w:w="1088"/>
            <w:vAlign w:val="center"/>
          </w:tcPr>
          <w:p>
            <w:pPr>
              <w:spacing w:before="30" w:after="30"/>
            </w:pPr>
          </w:p>
        </w:tc>
        <w:tc>
          <w:tcPr>
            <w:tcW w:type="dxa" w:w="2029"/>
            <w:vAlign w:val="center"/>
          </w:tcPr>
          <w:p>
            <w:pPr>
              <w:spacing w:before="30" w:after="30"/>
            </w:pPr>
          </w:p>
        </w:tc>
        <w:tc>
          <w:tcPr>
            <w:tcW w:type="dxa" w:w="575"/>
            <w:vAlign w:val="center"/>
          </w:tcPr>
          <w:p>
            <w:pPr>
              <w:spacing w:before="30" w:after="30"/>
            </w:pPr>
          </w:p>
        </w:tc>
        <w:tc>
          <w:tcPr>
            <w:tcW w:type="dxa" w:w="721"/>
            <w:vAlign w:val="center"/>
          </w:tcPr>
          <w:p>
            <w:pPr>
              <w:spacing w:before="30" w:after="30"/>
            </w:pPr>
            <w:r>
              <w:rPr>
                <w:rFonts w:ascii="DM Sans" w:hAnsi="DM Sans" w:cs="DM Sans"/>
                <w:b/>
                <w:i w:val="0"/>
                <w:color w:val="050C2A"/>
                <w:sz w:val="20"/>
                <w:u w:val="none"/>
              </w:rPr>
              <w:t>560 min</w:t>
            </w:r>
          </w:p>
        </w:tc>
        <w:tc>
          <w:tcPr>
            <w:tcW w:type="dxa" w:w="4295"/>
            <w:vAlign w:val="center"/>
          </w:tcPr>
          <w:p>
            <w:pPr>
              <w:spacing w:before="30" w:after="30"/>
            </w:pPr>
            <w:r>
              <w:rPr>
                <w:rFonts w:ascii="DM Sans" w:hAnsi="DM Sans" w:cs="DM Sans"/>
                <w:b/>
                <w:i w:val="0"/>
                <w:color w:val="050C2A"/>
                <w:sz w:val="20"/>
                <w:u w:val="none"/>
              </w:rPr>
              <w:t>~9 hrs 20 min</w:t>
            </w: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536"/>
            <w:shd w:fill="FF7C0A" w:val="clear"/>
            <w:vAlign w:val="center"/>
          </w:tcPr>
          <w:p>
            <w:pPr>
              <w:jc w:val="left"/>
              <w:spacing w:before="40" w:after="40"/>
            </w:pPr>
            <w:r>
              <w:rPr>
                <w:rFonts w:ascii="DM Sans" w:hAnsi="DM Sans" w:cs="DM Sans"/>
                <w:b/>
                <w:i w:val="0"/>
                <w:color w:val="FFFFFF"/>
                <w:sz w:val="20"/>
                <w:u w:val="none"/>
              </w:rPr>
              <w:t>Competency Area</w:t>
            </w:r>
          </w:p>
        </w:tc>
        <w:tc>
          <w:tcPr>
            <w:tcW w:type="dxa" w:w="1742"/>
            <w:shd w:fill="FF7C0A" w:val="clear"/>
            <w:vAlign w:val="center"/>
          </w:tcPr>
          <w:p>
            <w:pPr>
              <w:jc w:val="left"/>
              <w:spacing w:before="40" w:after="40"/>
            </w:pPr>
            <w:r>
              <w:rPr>
                <w:rFonts w:ascii="DM Sans" w:hAnsi="DM Sans" w:cs="DM Sans"/>
                <w:b/>
                <w:i w:val="0"/>
                <w:color w:val="FFFFFF"/>
                <w:sz w:val="20"/>
                <w:u w:val="none"/>
              </w:rPr>
              <w:t>Subskill</w:t>
            </w:r>
          </w:p>
        </w:tc>
        <w:tc>
          <w:tcPr>
            <w:tcW w:type="dxa" w:w="6082"/>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536"/>
            <w:vAlign w:val="center"/>
          </w:tcPr>
          <w:p>
            <w:pPr>
              <w:spacing w:before="30" w:after="30"/>
            </w:pPr>
            <w:r>
              <w:rPr>
                <w:rFonts w:ascii="DM Sans" w:hAnsi="DM Sans" w:cs="DM Sans"/>
                <w:b/>
                <w:i w:val="0"/>
                <w:color w:val="050C2A"/>
                <w:sz w:val="20"/>
                <w:u w:val="none"/>
              </w:rPr>
              <w:t>Teamwork</w:t>
            </w:r>
          </w:p>
        </w:tc>
        <w:tc>
          <w:tcPr>
            <w:tcW w:type="dxa" w:w="1742"/>
            <w:vAlign w:val="center"/>
          </w:tcPr>
          <w:p>
            <w:pPr>
              <w:spacing w:before="30" w:after="30"/>
            </w:pPr>
            <w:r>
              <w:rPr>
                <w:rFonts w:ascii="DM Sans" w:hAnsi="DM Sans" w:cs="DM Sans"/>
                <w:b w:val="0"/>
                <w:i w:val="0"/>
                <w:color w:val="050C2A"/>
                <w:sz w:val="20"/>
                <w:u w:val="none"/>
              </w:rPr>
              <w:t>Shared accountability</w:t>
            </w:r>
          </w:p>
        </w:tc>
        <w:tc>
          <w:tcPr>
            <w:tcW w:type="dxa" w:w="6082"/>
            <w:vAlign w:val="center"/>
          </w:tcPr>
          <w:p>
            <w:pPr>
              <w:spacing w:before="30" w:after="30"/>
            </w:pPr>
            <w:r>
              <w:rPr>
                <w:rFonts w:ascii="DM Sans" w:hAnsi="DM Sans" w:cs="DM Sans"/>
                <w:b w:val="0"/>
                <w:i w:val="0"/>
                <w:color w:val="050C2A"/>
                <w:sz w:val="20"/>
                <w:u w:val="none"/>
              </w:rPr>
              <w:t>The Team Charter requires students to negotiate and document operating agreements — how decisions are made, how conflict is handled, what contribution looks like — before they have experienced any of those situations together; the Setting Your Team Up for Success module gives students a practical framework for that conversation</w:t>
            </w:r>
          </w:p>
        </w:tc>
      </w:tr>
      <w:tr>
        <w:tc>
          <w:tcPr>
            <w:tcW w:type="dxa" w:w="1536"/>
            <w:shd w:fill="F5F5F5" w:val="clear"/>
            <w:vAlign w:val="center"/>
          </w:tcPr>
          <w:p>
            <w:pPr>
              <w:spacing w:before="30" w:after="30"/>
            </w:pPr>
            <w:r>
              <w:rPr>
                <w:rFonts w:ascii="DM Sans" w:hAnsi="DM Sans" w:cs="DM Sans"/>
                <w:b/>
                <w:i w:val="0"/>
                <w:color w:val="050C2A"/>
                <w:sz w:val="20"/>
                <w:u w:val="none"/>
              </w:rPr>
              <w:t>Communication</w:t>
            </w:r>
          </w:p>
        </w:tc>
        <w:tc>
          <w:tcPr>
            <w:tcW w:type="dxa" w:w="1742"/>
            <w:shd w:fill="F5F5F5" w:val="clear"/>
            <w:vAlign w:val="center"/>
          </w:tcPr>
          <w:p>
            <w:pPr>
              <w:spacing w:before="30" w:after="30"/>
            </w:pPr>
            <w:r>
              <w:rPr>
                <w:rFonts w:ascii="DM Sans" w:hAnsi="DM Sans" w:cs="DM Sans"/>
                <w:b w:val="0"/>
                <w:i w:val="0"/>
                <w:color w:val="050C2A"/>
                <w:sz w:val="20"/>
                <w:u w:val="none"/>
              </w:rPr>
              <w:t>Professional correspondence</w:t>
            </w:r>
          </w:p>
        </w:tc>
        <w:tc>
          <w:tcPr>
            <w:tcW w:type="dxa" w:w="6082"/>
            <w:shd w:fill="F5F5F5" w:val="clear"/>
            <w:vAlign w:val="center"/>
          </w:tcPr>
          <w:p>
            <w:pPr>
              <w:spacing w:before="30" w:after="30"/>
            </w:pPr>
            <w:r>
              <w:rPr>
                <w:rFonts w:ascii="DM Sans" w:hAnsi="DM Sans" w:cs="DM Sans"/>
                <w:b w:val="0"/>
                <w:i w:val="0"/>
                <w:color w:val="050C2A"/>
                <w:sz w:val="20"/>
                <w:u w:val="none"/>
              </w:rPr>
              <w:t>The employer outreach email is the first graded professional correspondence of the course; students must introduce a team they have just met, request a meeting with a real employer contact, and collectively agree on tone and content before sending; email basics from Week 1 are applied in a higher-stakes context</w:t>
            </w:r>
          </w:p>
        </w:tc>
      </w:tr>
      <w:tr>
        <w:tc>
          <w:tcPr>
            <w:tcW w:type="dxa" w:w="1536"/>
            <w:vAlign w:val="center"/>
          </w:tcPr>
          <w:p>
            <w:pPr>
              <w:spacing w:before="30" w:after="30"/>
            </w:pPr>
            <w:r>
              <w:rPr>
                <w:rFonts w:ascii="DM Sans" w:hAnsi="DM Sans" w:cs="DM Sans"/>
                <w:b/>
                <w:i w:val="0"/>
                <w:color w:val="050C2A"/>
                <w:sz w:val="20"/>
                <w:u w:val="none"/>
              </w:rPr>
              <w:t>Communication</w:t>
            </w:r>
          </w:p>
        </w:tc>
        <w:tc>
          <w:tcPr>
            <w:tcW w:type="dxa" w:w="1742"/>
            <w:vAlign w:val="center"/>
          </w:tcPr>
          <w:p>
            <w:pPr>
              <w:spacing w:before="30" w:after="30"/>
            </w:pPr>
            <w:r>
              <w:rPr>
                <w:rFonts w:ascii="DM Sans" w:hAnsi="DM Sans" w:cs="DM Sans"/>
                <w:b w:val="0"/>
                <w:i w:val="0"/>
                <w:color w:val="050C2A"/>
                <w:sz w:val="20"/>
                <w:u w:val="none"/>
              </w:rPr>
              <w:t>Active listening</w:t>
            </w:r>
          </w:p>
        </w:tc>
        <w:tc>
          <w:tcPr>
            <w:tcW w:type="dxa" w:w="6082"/>
            <w:vAlign w:val="center"/>
          </w:tcPr>
          <w:p>
            <w:pPr>
              <w:spacing w:before="30" w:after="30"/>
            </w:pPr>
            <w:r>
              <w:rPr>
                <w:rFonts w:ascii="DM Sans" w:hAnsi="DM Sans" w:cs="DM Sans"/>
                <w:b w:val="0"/>
                <w:i w:val="0"/>
                <w:color w:val="050C2A"/>
                <w:sz w:val="20"/>
                <w:u w:val="none"/>
              </w:rPr>
              <w:t>The Active Listening in Client Meetings module introduces listening as a distinct skill before students need it at the kickoff; the Asking Good Questions module is explicitly sequenced before the kickoff so students arrive with both skills ready</w:t>
            </w:r>
          </w:p>
        </w:tc>
      </w:tr>
      <w:tr>
        <w:tc>
          <w:tcPr>
            <w:tcW w:type="dxa" w:w="1536"/>
            <w:shd w:fill="F5F5F5" w:val="clear"/>
            <w:vAlign w:val="center"/>
          </w:tcPr>
          <w:p>
            <w:pPr>
              <w:spacing w:before="30" w:after="30"/>
            </w:pPr>
            <w:r>
              <w:rPr>
                <w:rFonts w:ascii="DM Sans" w:hAnsi="DM Sans" w:cs="DM Sans"/>
                <w:b/>
                <w:i w:val="0"/>
                <w:color w:val="050C2A"/>
                <w:sz w:val="20"/>
                <w:u w:val="none"/>
              </w:rPr>
              <w:t>Critical Thinking</w:t>
            </w:r>
          </w:p>
        </w:tc>
        <w:tc>
          <w:tcPr>
            <w:tcW w:type="dxa" w:w="1742"/>
            <w:shd w:fill="F5F5F5" w:val="clear"/>
            <w:vAlign w:val="center"/>
          </w:tcPr>
          <w:p>
            <w:pPr>
              <w:spacing w:before="30" w:after="30"/>
            </w:pPr>
            <w:r>
              <w:rPr>
                <w:rFonts w:ascii="DM Sans" w:hAnsi="DM Sans" w:cs="DM Sans"/>
                <w:b w:val="0"/>
                <w:i w:val="0"/>
                <w:color w:val="050C2A"/>
                <w:sz w:val="20"/>
                <w:u w:val="none"/>
              </w:rPr>
              <w:t>Research and analysis</w:t>
            </w:r>
          </w:p>
        </w:tc>
        <w:tc>
          <w:tcPr>
            <w:tcW w:type="dxa" w:w="6082"/>
            <w:shd w:fill="F5F5F5" w:val="clear"/>
            <w:vAlign w:val="center"/>
          </w:tcPr>
          <w:p>
            <w:pPr>
              <w:spacing w:before="30" w:after="30"/>
            </w:pPr>
            <w:r>
              <w:rPr>
                <w:rFonts w:ascii="DM Sans" w:hAnsi="DM Sans" w:cs="DM Sans"/>
                <w:b w:val="0"/>
                <w:i w:val="0"/>
                <w:color w:val="050C2A"/>
                <w:sz w:val="20"/>
                <w:u w:val="none"/>
              </w:rPr>
              <w:t>Individual research on the employer organization is the first real research task of the course; students must decide what to look for, where to find it, and what is worth knowing before a meeting with a real professional contact</w:t>
            </w:r>
          </w:p>
        </w:tc>
      </w:tr>
      <w:tr>
        <w:tc>
          <w:tcPr>
            <w:tcW w:type="dxa" w:w="1536"/>
            <w:vAlign w:val="center"/>
          </w:tcPr>
          <w:p>
            <w:pPr>
              <w:spacing w:before="30" w:after="30"/>
            </w:pPr>
            <w:r>
              <w:rPr>
                <w:rFonts w:ascii="DM Sans" w:hAnsi="DM Sans" w:cs="DM Sans"/>
                <w:b/>
                <w:i w:val="0"/>
                <w:color w:val="050C2A"/>
                <w:sz w:val="20"/>
                <w:u w:val="none"/>
              </w:rPr>
              <w:t>Critical Thinking</w:t>
            </w:r>
          </w:p>
        </w:tc>
        <w:tc>
          <w:tcPr>
            <w:tcW w:type="dxa" w:w="1742"/>
            <w:vAlign w:val="center"/>
          </w:tcPr>
          <w:p>
            <w:pPr>
              <w:spacing w:before="30" w:after="30"/>
            </w:pPr>
            <w:r>
              <w:rPr>
                <w:rFonts w:ascii="DM Sans" w:hAnsi="DM Sans" w:cs="DM Sans"/>
                <w:b w:val="0"/>
                <w:i w:val="0"/>
                <w:color w:val="050C2A"/>
                <w:sz w:val="20"/>
                <w:u w:val="none"/>
              </w:rPr>
              <w:t>Prioritization</w:t>
            </w:r>
          </w:p>
        </w:tc>
        <w:tc>
          <w:tcPr>
            <w:tcW w:type="dxa" w:w="6082"/>
            <w:vAlign w:val="center"/>
          </w:tcPr>
          <w:p>
            <w:pPr>
              <w:spacing w:before="30" w:after="30"/>
            </w:pPr>
            <w:r>
              <w:rPr>
                <w:rFonts w:ascii="DM Sans" w:hAnsi="DM Sans" w:cs="DM Sans"/>
                <w:b w:val="0"/>
                <w:i w:val="0"/>
                <w:color w:val="050C2A"/>
                <w:sz w:val="20"/>
                <w:u w:val="none"/>
              </w:rPr>
              <w:t>Rubric review requires students to identify what the Context Analysis &amp; Project Plan is actually asking for, which shapes what they prioritize in research this week and in Weeks 3 and 4</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Team Charter</w:t>
      </w:r>
      <w:r>
        <w:rPr>
          <w:rFonts w:ascii="DM Sans" w:hAnsi="DM Sans" w:cs="DM Sans"/>
          <w:b w:val="0"/>
          <w:i w:val="0"/>
          <w:color w:val="050C2A"/>
          <w:sz w:val="20"/>
          <w:u w:val="none"/>
        </w:rPr>
        <w:t xml:space="preserve"> → Teamwork: Shared accountability</w:t>
      </w:r>
    </w:p>
    <w:p>
      <w:pPr>
        <w:spacing w:before="0" w:after="120" w:line="276" w:lineRule="auto"/>
      </w:pPr>
      <w:r>
        <w:rPr>
          <w:rFonts w:ascii="DM Sans" w:hAnsi="DM Sans" w:cs="DM Sans"/>
          <w:b w:val="0"/>
          <w:i w:val="0"/>
          <w:color w:val="050C2A"/>
          <w:sz w:val="20"/>
          <w:u w:val="none"/>
        </w:rPr>
        <w:t>Checkpoint; completion-based. The charter establishes operating agreements the team negotiates itself: communication norms, contribution expectations, decision-making process, and how conflict will be handled. The Setting Your Team Up for Success module gives students a practical framework for that conversation before they sit down together. AI can assist with formatting or refining language after the team has agreed on the substance, but the substance must come from the team's own discussion — the charter is a relational document, not a drafting exercise. The first team meeting itself should not involve AI for the same reason.</w:t>
      </w:r>
    </w:p>
    <w:p>
      <w:pPr>
        <w:spacing w:before="0" w:after="120" w:line="276" w:lineRule="auto"/>
      </w:pPr>
      <w:r>
        <w:rPr>
          <w:rFonts w:ascii="DM Sans" w:hAnsi="DM Sans" w:cs="DM Sans"/>
          <w:b/>
          <w:i w:val="0"/>
          <w:color w:val="050C2A"/>
          <w:sz w:val="20"/>
          <w:u w:val="none"/>
        </w:rPr>
        <w:t>Employer Outreach Email</w:t>
      </w:r>
      <w:r>
        <w:rPr>
          <w:rFonts w:ascii="DM Sans" w:hAnsi="DM Sans" w:cs="DM Sans"/>
          <w:b w:val="0"/>
          <w:i w:val="0"/>
          <w:color w:val="050C2A"/>
          <w:sz w:val="20"/>
          <w:u w:val="none"/>
        </w:rPr>
        <w:t xml:space="preserve"> → Communication: Professional correspondence</w:t>
      </w:r>
    </w:p>
    <w:p>
      <w:pPr>
        <w:spacing w:before="0" w:after="120" w:line="276" w:lineRule="auto"/>
      </w:pPr>
      <w:r>
        <w:rPr>
          <w:rFonts w:ascii="DM Sans" w:hAnsi="DM Sans" w:cs="DM Sans"/>
          <w:b w:val="0"/>
          <w:i w:val="0"/>
          <w:color w:val="050C2A"/>
          <w:sz w:val="20"/>
          <w:u w:val="none"/>
        </w:rPr>
        <w:t>Checkpoint; completion-based. The team's first professional correspondence with the employer contact. Must introduce the team, demonstrate awareness of the project, and request the kickoff meeting. All team members must agree on the final version before it is sent. Students have email basics from Week 1 and are applying a known skill in a higher-stakes context rather than learning it fresh. AI-assisted drafting is permitted; disclosure required if used.</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help draft the employer outreach email — drafting with AI assistance and then reviewing, personalizing, and agreeing on it as a team is appropriate professional practice; disclosure required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help with initial organizational research — understanding the domain, sector, and organization's context is an encouraged use case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brainstorm questions for the kickoff meeting</w:t>
      </w:r>
    </w:p>
    <w:p>
      <w:pPr>
        <w:spacing w:before="0" w:after="120" w:line="276" w:lineRule="auto"/>
      </w:pPr>
      <w:r>
        <w:rPr>
          <w:rFonts w:ascii="DM Sans" w:hAnsi="DM Sans" w:cs="DM Sans"/>
          <w:b/>
          <w:i w:val="0"/>
          <w:color w:val="050C2A"/>
          <w:sz w:val="20"/>
          <w:u w:val="none"/>
        </w:rPr>
        <w:t>Off-limits this week: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Team Charter must be negotiated and drafted by the team — the substance must come from the team's own discussion; AI can help format or refine language after the team has agreed, but cannot generate the relational agreements the charter is meant to capture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first team meeting itself should not involve AI — this is relationship-building time</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on both checkpoints (Team Charter and Employer Outreach Email) if AI was used in drafting.</w:t>
      </w:r>
    </w:p>
    <w:p>
      <w:pPr>
        <w:spacing w:before="0" w:after="120" w:line="276" w:lineRule="auto"/>
      </w:pPr>
      <w:r>
        <w:rPr>
          <w:rFonts w:ascii="DM Sans" w:hAnsi="DM Sans" w:cs="DM Sans"/>
          <w:b/>
          <w:i w:val="0"/>
          <w:color w:val="050C2A"/>
          <w:sz w:val="20"/>
          <w:u w:val="none"/>
        </w:rPr>
        <w:t>Prompt strategy introduced:</w:t>
      </w:r>
      <w:r>
        <w:rPr>
          <w:rFonts w:ascii="DM Sans" w:hAnsi="DM Sans" w:cs="DM Sans"/>
          <w:b w:val="0"/>
          <w:i w:val="0"/>
          <w:color w:val="050C2A"/>
          <w:sz w:val="20"/>
          <w:u w:val="none"/>
        </w:rPr>
        <w:t xml:space="preserve"> How to use AI as a thinking partner. Three principles introduced in the Using AI Responsibly module: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Give AI enough context before asking a question — share the project brief, your role, and what you're trying to accomplish</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Ask AI to generate options, not answers — "what are some ways we could approach X" is more useful than "what should we do about X"</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Always ask: what am I assuming here?</w:t>
      </w:r>
    </w:p>
    <w:p>
      <w:pPr>
        <w:spacing w:before="280" w:after="100"/>
      </w:pPr>
      <w:r>
        <w:rPr>
          <w:rFonts w:ascii="DM Sans" w:hAnsi="DM Sans" w:cs="DM Sans"/>
          <w:b/>
          <w:i w:val="0"/>
          <w:color w:val="050C2A"/>
          <w:sz w:val="28"/>
          <w:u w:val="none"/>
        </w:rPr>
        <w:t>Open Questions / Flags</w:t>
      </w:r>
    </w:p>
    <w:p>
      <w:pPr>
        <w:spacing w:before="0" w:after="120" w:line="276" w:lineRule="auto"/>
      </w:pPr>
      <w:r>
        <w:rPr>
          <w:rFonts w:ascii="DM Sans" w:hAnsi="DM Sans" w:cs="DM Sans"/>
          <w:b/>
          <w:i w:val="0"/>
          <w:color w:val="050C2A"/>
          <w:sz w:val="20"/>
          <w:u w:val="none"/>
        </w:rPr>
        <w:t>1. Charter submission platform.</w:t>
      </w:r>
      <w:r>
        <w:rPr>
          <w:rFonts w:ascii="DM Sans" w:hAnsi="DM Sans" w:cs="DM Sans"/>
          <w:b w:val="0"/>
          <w:i w:val="0"/>
          <w:color w:val="050C2A"/>
          <w:sz w:val="20"/>
          <w:u w:val="none"/>
        </w:rPr>
        <w:t xml:space="preserve"> Is the Team Charter submitted through the LMS or the Riipen platform? Affects how submission instructions are written in student-facing materials.</w:t>
      </w:r>
    </w:p>
    <w:p>
      <w:pPr>
        <w:spacing w:before="0" w:after="120" w:line="276" w:lineRule="auto"/>
      </w:pPr>
      <w:r>
        <w:rPr>
          <w:rFonts w:ascii="DM Sans" w:hAnsi="DM Sans" w:cs="DM Sans"/>
          <w:b/>
          <w:i w:val="0"/>
          <w:color w:val="050C2A"/>
          <w:sz w:val="20"/>
          <w:u w:val="none"/>
        </w:rPr>
        <w:t>2. Team assignment timing.</w:t>
      </w:r>
      <w:r>
        <w:rPr>
          <w:rFonts w:ascii="DM Sans" w:hAnsi="DM Sans" w:cs="DM Sans"/>
          <w:b w:val="0"/>
          <w:i w:val="0"/>
          <w:color w:val="050C2A"/>
          <w:sz w:val="20"/>
          <w:u w:val="none"/>
        </w:rPr>
        <w:t xml:space="preserve"> When exactly do team assignments land — end of Week 1 or start of Week 2? Affects how the Week 2 activity sequence opens and whether 2.04 (review teammates' intro posts) happens before or after the overview.</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