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pPr>
      <w:r>
        <w:rPr>
          <w:rFonts w:ascii="DM Sans" w:hAnsi="DM Sans" w:cs="DM Sans"/>
          <w:b/>
          <w:i w:val="0"/>
          <w:color w:val="050C2A"/>
          <w:sz w:val="20"/>
          <w:u w:val="none"/>
        </w:rPr>
        <w:t>RIIPEN CAREER CATALYST</w:t>
      </w:r>
      <w:r>
        <w:rPr>
          <w:rFonts w:ascii="DM Sans" w:hAnsi="DM Sans" w:cs="DM Sans"/>
          <w:b w:val="0"/>
          <w:i w:val="0"/>
          <w:color w:val="050C2A"/>
          <w:sz w:val="20"/>
          <w:u w:val="none"/>
        </w:rPr>
        <w:t xml:space="preserve"> Weekly Design Document</w:t>
      </w:r>
    </w:p>
    <w:p>
      <w:pPr>
        <w:spacing w:before="0" w:after="120" w:line="276" w:lineRule="auto"/>
      </w:pPr>
      <w:r>
        <w:rPr>
          <w:rFonts w:ascii="DM Sans" w:hAnsi="DM Sans" w:cs="DM Sans"/>
          <w:b/>
          <w:i w:val="0"/>
          <w:color w:val="050C2A"/>
          <w:sz w:val="20"/>
          <w:u w:val="none"/>
        </w:rPr>
        <w:t>Week 3 — Understanding Your Client</w:t>
      </w:r>
    </w:p>
    <w:p>
      <w:pPr>
        <w:pBdr>
          <w:bottom w:val="single" w:sz="6" w:space="1" w:color="ACACAC"/>
        </w:pBdr>
        <w:spacing w:before="120" w:after="120"/>
      </w:pPr>
    </w:p>
    <w:p>
      <w:pPr>
        <w:spacing w:before="360" w:after="0"/>
      </w:pPr>
      <w:r>
        <w:rPr>
          <w:rFonts w:ascii="DM Sans" w:hAnsi="DM Sans" w:cs="DM Sans"/>
          <w:b/>
          <w:i w:val="0"/>
          <w:color w:val="FF7C0A"/>
          <w:sz w:val="34"/>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2994"/>
            <w:shd w:fill="FF7C0A" w:val="clear"/>
            <w:vAlign w:val="center"/>
          </w:tcPr>
          <w:p>
            <w:pPr>
              <w:jc w:val="left"/>
              <w:spacing w:before="40" w:after="40"/>
            </w:pPr>
            <w:r>
              <w:rPr>
                <w:rFonts w:ascii="DM Sans" w:hAnsi="DM Sans" w:cs="DM Sans"/>
                <w:b/>
                <w:i w:val="0"/>
                <w:color w:val="FFFFFF"/>
                <w:sz w:val="20"/>
                <w:u w:val="none"/>
              </w:rPr>
            </w:r>
          </w:p>
        </w:tc>
        <w:tc>
          <w:tcPr>
            <w:tcW w:type="dxa" w:w="6366"/>
            <w:shd w:fill="FF7C0A" w:val="clear"/>
            <w:vAlign w:val="center"/>
          </w:tcPr>
          <w:p>
            <w:pPr>
              <w:jc w:val="left"/>
              <w:spacing w:before="40" w:after="40"/>
            </w:pPr>
            <w:r>
              <w:rPr>
                <w:rFonts w:ascii="DM Sans" w:hAnsi="DM Sans" w:cs="DM Sans"/>
                <w:b/>
                <w:i w:val="0"/>
                <w:color w:val="FFFFFF"/>
                <w:sz w:val="20"/>
                <w:u w:val="none"/>
              </w:rPr>
            </w:r>
          </w:p>
        </w:tc>
      </w:tr>
      <w:tr>
        <w:tc>
          <w:tcPr>
            <w:tcW w:type="dxa" w:w="2994"/>
            <w:vAlign w:val="center"/>
          </w:tcPr>
          <w:p>
            <w:pPr>
              <w:spacing w:before="30" w:after="30"/>
            </w:pPr>
            <w:r>
              <w:rPr>
                <w:rFonts w:ascii="DM Sans" w:hAnsi="DM Sans" w:cs="DM Sans"/>
                <w:b/>
                <w:i w:val="0"/>
                <w:color w:val="050C2A"/>
                <w:sz w:val="20"/>
                <w:u w:val="none"/>
              </w:rPr>
              <w:t>Phase</w:t>
            </w:r>
          </w:p>
        </w:tc>
        <w:tc>
          <w:tcPr>
            <w:tcW w:type="dxa" w:w="6366"/>
            <w:vAlign w:val="center"/>
          </w:tcPr>
          <w:p>
            <w:pPr>
              <w:spacing w:before="30" w:after="30"/>
            </w:pPr>
            <w:r>
              <w:rPr>
                <w:rFonts w:ascii="DM Sans" w:hAnsi="DM Sans" w:cs="DM Sans"/>
                <w:b w:val="0"/>
                <w:i w:val="0"/>
                <w:color w:val="050C2A"/>
                <w:sz w:val="20"/>
                <w:u w:val="none"/>
              </w:rPr>
              <w:t>Foundation</w:t>
            </w:r>
          </w:p>
        </w:tc>
      </w:tr>
      <w:tr>
        <w:tc>
          <w:tcPr>
            <w:tcW w:type="dxa" w:w="2994"/>
            <w:shd w:fill="F5F5F5" w:val="clear"/>
            <w:vAlign w:val="center"/>
          </w:tcPr>
          <w:p>
            <w:pPr>
              <w:spacing w:before="30" w:after="30"/>
            </w:pPr>
            <w:r>
              <w:rPr>
                <w:rFonts w:ascii="DM Sans" w:hAnsi="DM Sans" w:cs="DM Sans"/>
                <w:b/>
                <w:i w:val="0"/>
                <w:color w:val="050C2A"/>
                <w:sz w:val="20"/>
                <w:u w:val="none"/>
              </w:rPr>
              <w:t>Module Title</w:t>
            </w:r>
          </w:p>
        </w:tc>
        <w:tc>
          <w:tcPr>
            <w:tcW w:type="dxa" w:w="6366"/>
            <w:shd w:fill="F5F5F5" w:val="clear"/>
            <w:vAlign w:val="center"/>
          </w:tcPr>
          <w:p>
            <w:pPr>
              <w:spacing w:before="30" w:after="30"/>
            </w:pPr>
            <w:r>
              <w:rPr>
                <w:rFonts w:ascii="DM Sans" w:hAnsi="DM Sans" w:cs="DM Sans"/>
                <w:b w:val="0"/>
                <w:i w:val="0"/>
                <w:color w:val="050C2A"/>
                <w:sz w:val="20"/>
                <w:u w:val="none"/>
              </w:rPr>
              <w:t>Understanding Your Client</w:t>
            </w:r>
          </w:p>
        </w:tc>
      </w:tr>
      <w:tr>
        <w:tc>
          <w:tcPr>
            <w:tcW w:type="dxa" w:w="2994"/>
            <w:vAlign w:val="center"/>
          </w:tcPr>
          <w:p>
            <w:pPr>
              <w:spacing w:before="30" w:after="30"/>
            </w:pPr>
            <w:r>
              <w:rPr>
                <w:rFonts w:ascii="DM Sans" w:hAnsi="DM Sans" w:cs="DM Sans"/>
                <w:b/>
                <w:i w:val="0"/>
                <w:color w:val="050C2A"/>
                <w:sz w:val="20"/>
                <w:u w:val="none"/>
              </w:rPr>
              <w:t>Primary Function</w:t>
            </w:r>
          </w:p>
        </w:tc>
        <w:tc>
          <w:tcPr>
            <w:tcW w:type="dxa" w:w="6366"/>
            <w:vAlign w:val="center"/>
          </w:tcPr>
          <w:p>
            <w:pPr>
              <w:spacing w:before="30" w:after="30"/>
            </w:pPr>
            <w:r>
              <w:rPr>
                <w:rFonts w:ascii="DM Sans" w:hAnsi="DM Sans" w:cs="DM Sans"/>
                <w:b w:val="0"/>
                <w:i w:val="0"/>
                <w:color w:val="050C2A"/>
                <w:sz w:val="20"/>
                <w:u w:val="none"/>
              </w:rPr>
              <w:t>Skill-building + Just-in-time prep + Orientation</w:t>
            </w:r>
          </w:p>
        </w:tc>
      </w:tr>
      <w:tr>
        <w:tc>
          <w:tcPr>
            <w:tcW w:type="dxa" w:w="2994"/>
            <w:shd w:fill="F5F5F5" w:val="clear"/>
            <w:vAlign w:val="center"/>
          </w:tcPr>
          <w:p>
            <w:pPr>
              <w:spacing w:before="30" w:after="30"/>
            </w:pPr>
            <w:r>
              <w:rPr>
                <w:rFonts w:ascii="DM Sans" w:hAnsi="DM Sans" w:cs="DM Sans"/>
                <w:b/>
                <w:i w:val="0"/>
                <w:color w:val="050C2A"/>
                <w:sz w:val="20"/>
                <w:u w:val="none"/>
              </w:rPr>
              <w:t>Total Student Time</w:t>
            </w:r>
          </w:p>
        </w:tc>
        <w:tc>
          <w:tcPr>
            <w:tcW w:type="dxa" w:w="6366"/>
            <w:shd w:fill="F5F5F5" w:val="clear"/>
            <w:vAlign w:val="center"/>
          </w:tcPr>
          <w:p>
            <w:pPr>
              <w:spacing w:before="30" w:after="30"/>
            </w:pPr>
            <w:r>
              <w:rPr>
                <w:rFonts w:ascii="DM Sans" w:hAnsi="DM Sans" w:cs="DM Sans"/>
                <w:b w:val="0"/>
                <w:i w:val="0"/>
                <w:color w:val="050C2A"/>
                <w:sz w:val="20"/>
                <w:u w:val="none"/>
              </w:rPr>
              <w:t>~10 hrs 35 min (635 min)</w:t>
            </w:r>
          </w:p>
        </w:tc>
      </w:tr>
      <w:tr>
        <w:tc>
          <w:tcPr>
            <w:tcW w:type="dxa" w:w="2994"/>
            <w:vAlign w:val="center"/>
          </w:tcPr>
          <w:p>
            <w:pPr>
              <w:spacing w:before="30" w:after="30"/>
            </w:pPr>
            <w:r>
              <w:rPr>
                <w:rFonts w:ascii="DM Sans" w:hAnsi="DM Sans" w:cs="DM Sans"/>
                <w:b/>
                <w:i w:val="0"/>
                <w:color w:val="050C2A"/>
                <w:sz w:val="20"/>
                <w:u w:val="none"/>
              </w:rPr>
              <w:t>Deliverable This Week</w:t>
            </w:r>
          </w:p>
        </w:tc>
        <w:tc>
          <w:tcPr>
            <w:tcW w:type="dxa" w:w="6366"/>
            <w:vAlign w:val="center"/>
          </w:tcPr>
          <w:p>
            <w:pPr>
              <w:spacing w:before="30" w:after="30"/>
            </w:pPr>
            <w:r>
              <w:rPr>
                <w:rFonts w:ascii="DM Sans" w:hAnsi="DM Sans" w:cs="DM Sans"/>
                <w:b w:val="0"/>
                <w:i w:val="0"/>
                <w:color w:val="050C2A"/>
                <w:sz w:val="20"/>
                <w:u w:val="none"/>
              </w:rPr>
              <w:t>Kickoff Summary (checkpoint, completion-based); Reflection #1 (graded, ~5% of final grade, individual submission)</w:t>
            </w:r>
          </w:p>
        </w:tc>
      </w:tr>
    </w:tbl>
    <w:p>
      <w:pPr>
        <w:spacing w:before="0" w:after="120"/>
      </w:pPr>
    </w:p>
    <w:p>
      <w:pPr>
        <w:spacing w:before="360" w:after="120"/>
      </w:pPr>
      <w:r>
        <w:rPr>
          <w:rFonts w:ascii="DM Sans" w:hAnsi="DM Sans" w:cs="DM Sans"/>
          <w:b/>
          <w:i w:val="0"/>
          <w:color w:val="050C2A"/>
          <w:sz w:val="34"/>
          <w:u w:val="none"/>
        </w:rPr>
        <w:t>Learning Objectives</w:t>
      </w:r>
    </w:p>
    <w:p>
      <w:pPr>
        <w:spacing w:before="0" w:after="120" w:line="276" w:lineRule="auto"/>
      </w:pPr>
      <w:r>
        <w:rPr>
          <w:rFonts w:ascii="DM Sans" w:hAnsi="DM Sans" w:cs="DM Sans"/>
          <w:b w:val="0"/>
          <w:i w:val="0"/>
          <w:color w:val="050C2A"/>
          <w:sz w:val="20"/>
          <w:u w:val="none"/>
        </w:rPr>
        <w:t>By the end of Week 3, students will be able to:</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904"/>
            <w:shd w:fill="FF7C0A" w:val="clear"/>
            <w:vAlign w:val="center"/>
          </w:tcPr>
          <w:p>
            <w:pPr>
              <w:jc w:val="left"/>
              <w:spacing w:before="40" w:after="40"/>
            </w:pPr>
            <w:r>
              <w:rPr>
                <w:rFonts w:ascii="DM Sans" w:hAnsi="DM Sans" w:cs="DM Sans"/>
                <w:b/>
                <w:i w:val="0"/>
                <w:color w:val="FFFFFF"/>
                <w:sz w:val="20"/>
                <w:u w:val="none"/>
              </w:rPr>
              <w:t>#</w:t>
            </w:r>
          </w:p>
        </w:tc>
        <w:tc>
          <w:tcPr>
            <w:tcW w:type="dxa" w:w="5195"/>
            <w:shd w:fill="FF7C0A" w:val="clear"/>
            <w:vAlign w:val="center"/>
          </w:tcPr>
          <w:p>
            <w:pPr>
              <w:jc w:val="left"/>
              <w:spacing w:before="40" w:after="40"/>
            </w:pPr>
            <w:r>
              <w:rPr>
                <w:rFonts w:ascii="DM Sans" w:hAnsi="DM Sans" w:cs="DM Sans"/>
                <w:b/>
                <w:i w:val="0"/>
                <w:color w:val="FFFFFF"/>
                <w:sz w:val="20"/>
                <w:u w:val="none"/>
              </w:rPr>
              <w:t>Objective</w:t>
            </w:r>
          </w:p>
        </w:tc>
        <w:tc>
          <w:tcPr>
            <w:tcW w:type="dxa" w:w="3261"/>
            <w:shd w:fill="FF7C0A" w:val="clear"/>
            <w:vAlign w:val="center"/>
          </w:tcPr>
          <w:p>
            <w:pPr>
              <w:jc w:val="left"/>
              <w:spacing w:before="40" w:after="40"/>
            </w:pPr>
            <w:r>
              <w:rPr>
                <w:rFonts w:ascii="DM Sans" w:hAnsi="DM Sans" w:cs="DM Sans"/>
                <w:b/>
                <w:i w:val="0"/>
                <w:color w:val="FFFFFF"/>
                <w:sz w:val="20"/>
                <w:u w:val="none"/>
              </w:rPr>
              <w:t>Competency</w:t>
            </w:r>
          </w:p>
        </w:tc>
      </w:tr>
      <w:tr>
        <w:tc>
          <w:tcPr>
            <w:tcW w:type="dxa" w:w="904"/>
            <w:vAlign w:val="center"/>
          </w:tcPr>
          <w:p>
            <w:pPr>
              <w:spacing w:before="30" w:after="30"/>
            </w:pPr>
            <w:r>
              <w:rPr>
                <w:rFonts w:ascii="DM Sans" w:hAnsi="DM Sans" w:cs="DM Sans"/>
                <w:b/>
                <w:i w:val="0"/>
                <w:color w:val="050C2A"/>
                <w:sz w:val="20"/>
                <w:u w:val="none"/>
              </w:rPr>
              <w:t>1</w:t>
            </w:r>
          </w:p>
        </w:tc>
        <w:tc>
          <w:tcPr>
            <w:tcW w:type="dxa" w:w="5195"/>
            <w:vAlign w:val="center"/>
          </w:tcPr>
          <w:p>
            <w:pPr>
              <w:spacing w:before="30" w:after="30"/>
            </w:pPr>
            <w:r>
              <w:rPr>
                <w:rFonts w:ascii="DM Sans" w:hAnsi="DM Sans" w:cs="DM Sans"/>
                <w:b w:val="0"/>
                <w:i w:val="0"/>
                <w:color w:val="050C2A"/>
                <w:sz w:val="20"/>
                <w:u w:val="none"/>
              </w:rPr>
              <w:t>Conduct a professional employer kickoff meeting that demonstrates preparation, role clarity, and active listening.</w:t>
            </w:r>
          </w:p>
        </w:tc>
        <w:tc>
          <w:tcPr>
            <w:tcW w:type="dxa" w:w="3261"/>
            <w:vAlign w:val="center"/>
          </w:tcPr>
          <w:p>
            <w:pPr>
              <w:spacing w:before="30" w:after="30"/>
            </w:pPr>
            <w:r>
              <w:rPr>
                <w:rFonts w:ascii="DM Sans" w:hAnsi="DM Sans" w:cs="DM Sans"/>
                <w:b w:val="0"/>
                <w:i w:val="0"/>
                <w:color w:val="050C2A"/>
                <w:sz w:val="20"/>
                <w:u w:val="none"/>
              </w:rPr>
              <w:t>Communication → Active Listening; Professionalism → Dependability</w:t>
            </w:r>
          </w:p>
        </w:tc>
      </w:tr>
      <w:tr>
        <w:tc>
          <w:tcPr>
            <w:tcW w:type="dxa" w:w="904"/>
            <w:shd w:fill="F5F5F5" w:val="clear"/>
            <w:vAlign w:val="center"/>
          </w:tcPr>
          <w:p>
            <w:pPr>
              <w:spacing w:before="30" w:after="30"/>
            </w:pPr>
            <w:r>
              <w:rPr>
                <w:rFonts w:ascii="DM Sans" w:hAnsi="DM Sans" w:cs="DM Sans"/>
                <w:b/>
                <w:i w:val="0"/>
                <w:color w:val="050C2A"/>
                <w:sz w:val="20"/>
                <w:u w:val="none"/>
              </w:rPr>
              <w:t>2</w:t>
            </w:r>
          </w:p>
        </w:tc>
        <w:tc>
          <w:tcPr>
            <w:tcW w:type="dxa" w:w="5195"/>
            <w:shd w:fill="F5F5F5" w:val="clear"/>
            <w:vAlign w:val="center"/>
          </w:tcPr>
          <w:p>
            <w:pPr>
              <w:spacing w:before="30" w:after="30"/>
            </w:pPr>
            <w:r>
              <w:rPr>
                <w:rFonts w:ascii="DM Sans" w:hAnsi="DM Sans" w:cs="DM Sans"/>
                <w:b w:val="0"/>
                <w:i w:val="0"/>
                <w:color w:val="050C2A"/>
                <w:sz w:val="20"/>
                <w:u w:val="none"/>
              </w:rPr>
              <w:t>Produce a kickoff summary that accurately documents confirmed scope, deliverables, success criteria, and open questions from the employer meeting.</w:t>
            </w:r>
          </w:p>
        </w:tc>
        <w:tc>
          <w:tcPr>
            <w:tcW w:type="dxa" w:w="3261"/>
            <w:shd w:fill="F5F5F5" w:val="clear"/>
            <w:vAlign w:val="center"/>
          </w:tcPr>
          <w:p>
            <w:pPr>
              <w:spacing w:before="30" w:after="30"/>
            </w:pPr>
            <w:r>
              <w:rPr>
                <w:rFonts w:ascii="DM Sans" w:hAnsi="DM Sans" w:cs="DM Sans"/>
                <w:b w:val="0"/>
                <w:i w:val="0"/>
                <w:color w:val="050C2A"/>
                <w:sz w:val="20"/>
                <w:u w:val="none"/>
              </w:rPr>
              <w:t>Communication → Written Clarity</w:t>
            </w:r>
          </w:p>
        </w:tc>
      </w:tr>
      <w:tr>
        <w:tc>
          <w:tcPr>
            <w:tcW w:type="dxa" w:w="904"/>
            <w:vAlign w:val="center"/>
          </w:tcPr>
          <w:p>
            <w:pPr>
              <w:spacing w:before="30" w:after="30"/>
            </w:pPr>
            <w:r>
              <w:rPr>
                <w:rFonts w:ascii="DM Sans" w:hAnsi="DM Sans" w:cs="DM Sans"/>
                <w:b/>
                <w:i w:val="0"/>
                <w:color w:val="050C2A"/>
                <w:sz w:val="20"/>
                <w:u w:val="none"/>
              </w:rPr>
              <w:t>3</w:t>
            </w:r>
          </w:p>
        </w:tc>
        <w:tc>
          <w:tcPr>
            <w:tcW w:type="dxa" w:w="5195"/>
            <w:vAlign w:val="center"/>
          </w:tcPr>
          <w:p>
            <w:pPr>
              <w:spacing w:before="30" w:after="30"/>
            </w:pPr>
            <w:r>
              <w:rPr>
                <w:rFonts w:ascii="DM Sans" w:hAnsi="DM Sans" w:cs="DM Sans"/>
                <w:b w:val="0"/>
                <w:i w:val="0"/>
                <w:color w:val="050C2A"/>
                <w:sz w:val="20"/>
                <w:u w:val="none"/>
              </w:rPr>
              <w:t>Distinguish between confirmed information and open questions in order to identify what additional research is needed after the kickoff.</w:t>
            </w:r>
          </w:p>
        </w:tc>
        <w:tc>
          <w:tcPr>
            <w:tcW w:type="dxa" w:w="3261"/>
            <w:vAlign w:val="center"/>
          </w:tcPr>
          <w:p>
            <w:pPr>
              <w:spacing w:before="30" w:after="30"/>
            </w:pPr>
            <w:r>
              <w:rPr>
                <w:rFonts w:ascii="DM Sans" w:hAnsi="DM Sans" w:cs="DM Sans"/>
                <w:b w:val="0"/>
                <w:i w:val="0"/>
                <w:color w:val="050C2A"/>
                <w:sz w:val="20"/>
                <w:u w:val="none"/>
              </w:rPr>
              <w:t>Critical Thinking → Evidence-Based Reasoning</w:t>
            </w:r>
          </w:p>
        </w:tc>
      </w:tr>
      <w:tr>
        <w:tc>
          <w:tcPr>
            <w:tcW w:type="dxa" w:w="904"/>
            <w:shd w:fill="F5F5F5" w:val="clear"/>
            <w:vAlign w:val="center"/>
          </w:tcPr>
          <w:p>
            <w:pPr>
              <w:spacing w:before="30" w:after="30"/>
            </w:pPr>
            <w:r>
              <w:rPr>
                <w:rFonts w:ascii="DM Sans" w:hAnsi="DM Sans" w:cs="DM Sans"/>
                <w:b/>
                <w:i w:val="0"/>
                <w:color w:val="050C2A"/>
                <w:sz w:val="20"/>
                <w:u w:val="none"/>
              </w:rPr>
              <w:t>4</w:t>
            </w:r>
          </w:p>
        </w:tc>
        <w:tc>
          <w:tcPr>
            <w:tcW w:type="dxa" w:w="5195"/>
            <w:shd w:fill="F5F5F5" w:val="clear"/>
            <w:vAlign w:val="center"/>
          </w:tcPr>
          <w:p>
            <w:pPr>
              <w:spacing w:before="30" w:after="30"/>
            </w:pPr>
            <w:r>
              <w:rPr>
                <w:rFonts w:ascii="DM Sans" w:hAnsi="DM Sans" w:cs="DM Sans"/>
                <w:b w:val="0"/>
                <w:i w:val="0"/>
                <w:color w:val="050C2A"/>
                <w:sz w:val="20"/>
                <w:u w:val="none"/>
              </w:rPr>
              <w:t>Conduct targeted post-kickoff research oriented to the specific project scope confirmed in the meeting.</w:t>
            </w:r>
          </w:p>
        </w:tc>
        <w:tc>
          <w:tcPr>
            <w:tcW w:type="dxa" w:w="3261"/>
            <w:shd w:fill="F5F5F5" w:val="clear"/>
            <w:vAlign w:val="center"/>
          </w:tcPr>
          <w:p>
            <w:pPr>
              <w:spacing w:before="30" w:after="30"/>
            </w:pPr>
            <w:r>
              <w:rPr>
                <w:rFonts w:ascii="DM Sans" w:hAnsi="DM Sans" w:cs="DM Sans"/>
                <w:b w:val="0"/>
                <w:i w:val="0"/>
                <w:color w:val="050C2A"/>
                <w:sz w:val="20"/>
                <w:u w:val="none"/>
              </w:rPr>
              <w:t>Critical Thinking → Research &amp; Analysis</w:t>
            </w:r>
          </w:p>
        </w:tc>
      </w:tr>
      <w:tr>
        <w:tc>
          <w:tcPr>
            <w:tcW w:type="dxa" w:w="904"/>
            <w:vAlign w:val="center"/>
          </w:tcPr>
          <w:p>
            <w:pPr>
              <w:spacing w:before="30" w:after="30"/>
            </w:pPr>
            <w:r>
              <w:rPr>
                <w:rFonts w:ascii="DM Sans" w:hAnsi="DM Sans" w:cs="DM Sans"/>
                <w:b/>
                <w:i w:val="0"/>
                <w:color w:val="050C2A"/>
                <w:sz w:val="20"/>
                <w:u w:val="none"/>
              </w:rPr>
              <w:t>5</w:t>
            </w:r>
          </w:p>
        </w:tc>
        <w:tc>
          <w:tcPr>
            <w:tcW w:type="dxa" w:w="5195"/>
            <w:vAlign w:val="center"/>
          </w:tcPr>
          <w:p>
            <w:pPr>
              <w:spacing w:before="30" w:after="30"/>
            </w:pPr>
            <w:r>
              <w:rPr>
                <w:rFonts w:ascii="DM Sans" w:hAnsi="DM Sans" w:cs="DM Sans"/>
                <w:b w:val="0"/>
                <w:i w:val="0"/>
                <w:color w:val="050C2A"/>
                <w:sz w:val="20"/>
                <w:u w:val="none"/>
              </w:rPr>
              <w:t>Compose a DEAL reflection that examines a specific experience, identifying what happened, what it revealed, and what can be carried forward as transferable learning.</w:t>
            </w:r>
          </w:p>
        </w:tc>
        <w:tc>
          <w:tcPr>
            <w:tcW w:type="dxa" w:w="3261"/>
            <w:vAlign w:val="center"/>
          </w:tcPr>
          <w:p>
            <w:pPr>
              <w:spacing w:before="30" w:after="30"/>
            </w:pPr>
            <w:r>
              <w:rPr>
                <w:rFonts w:ascii="DM Sans" w:hAnsi="DM Sans" w:cs="DM Sans"/>
                <w:b w:val="0"/>
                <w:i w:val="0"/>
                <w:color w:val="050C2A"/>
                <w:sz w:val="20"/>
                <w:u w:val="none"/>
              </w:rPr>
              <w:t>Career &amp; Self-Development → Reflection</w:t>
            </w:r>
          </w:p>
        </w:tc>
      </w:tr>
    </w:tbl>
    <w:p>
      <w:pPr>
        <w:spacing w:before="0" w:after="120"/>
      </w:pPr>
    </w:p>
    <w:p>
      <w:pPr>
        <w:spacing w:before="360" w:after="120"/>
      </w:pPr>
      <w:r>
        <w:rPr>
          <w:rFonts w:ascii="DM Sans" w:hAnsi="DM Sans" w:cs="DM Sans"/>
          <w:b/>
          <w:i w:val="0"/>
          <w:color w:val="050C2A"/>
          <w:sz w:val="34"/>
          <w:u w:val="none"/>
        </w:rPr>
        <w:t>Weekly Activity Breakdown</w:t>
      </w:r>
    </w:p>
    <w:p>
      <w:pPr>
        <w:spacing w:before="0" w:after="120" w:line="276" w:lineRule="auto"/>
      </w:pPr>
      <w:r>
        <w:rPr>
          <w:rFonts w:ascii="DM Sans" w:hAnsi="DM Sans" w:cs="DM Sans"/>
          <w:b w:val="0"/>
          <w:i w:val="0"/>
          <w:color w:val="050C2A"/>
          <w:sz w:val="20"/>
          <w:u w:val="none"/>
        </w:rPr>
        <w:t>Week 3 is structured around a single anchor event: the employer kickoff meeting. Everything before it is preparation; everything after it is processing and documentation. The week breaks naturally into two halves, and the module content reflects that split — the AI note-taking primer and video call etiquette module are positioned before the meeting, while the processing, follow-up, and research primers come after. Students arrive in Week 3 having already done organizational reconnaissance in Week 2; the post-kickoff research here is more targeted because scope is now confirmed. The Kickoff Summary is the first team deliverable that requires capturing real information from a real professional interaction rather than completing a planning exercise. Reflection #1 is sequenced at the end of the week — after the kickoff and the Kickoff Summary — so students have a meaningful experience to examine. This week runs over the standard ceiling given the density of the kickoff event and the addition of the first graded reflection. Lighter weeks elsewhere in the course absorb the difference.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560"/>
        <w:gridCol w:w="1560"/>
        <w:gridCol w:w="1560"/>
        <w:gridCol w:w="1560"/>
        <w:gridCol w:w="1560"/>
        <w:gridCol w:w="1560"/>
      </w:tblGrid>
      <w:tr>
        <w:tc>
          <w:tcPr>
            <w:tcW w:type="dxa" w:w="631"/>
            <w:shd w:fill="FF7C0A" w:val="clear"/>
            <w:vAlign w:val="center"/>
          </w:tcPr>
          <w:p>
            <w:pPr>
              <w:jc w:val="left"/>
              <w:spacing w:before="40" w:after="40"/>
            </w:pPr>
            <w:r>
              <w:rPr>
                <w:rFonts w:ascii="DM Sans" w:hAnsi="DM Sans" w:cs="DM Sans"/>
                <w:b/>
                <w:i w:val="0"/>
                <w:color w:val="FFFFFF"/>
                <w:sz w:val="20"/>
                <w:u w:val="none"/>
              </w:rPr>
              <w:t>#</w:t>
            </w:r>
          </w:p>
        </w:tc>
        <w:tc>
          <w:tcPr>
            <w:tcW w:type="dxa" w:w="1052"/>
            <w:shd w:fill="FF7C0A" w:val="clear"/>
            <w:vAlign w:val="center"/>
          </w:tcPr>
          <w:p>
            <w:pPr>
              <w:jc w:val="left"/>
              <w:spacing w:before="40" w:after="40"/>
            </w:pPr>
            <w:r>
              <w:rPr>
                <w:rFonts w:ascii="DM Sans" w:hAnsi="DM Sans" w:cs="DM Sans"/>
                <w:b/>
                <w:i w:val="0"/>
                <w:color w:val="FFFFFF"/>
                <w:sz w:val="20"/>
                <w:u w:val="none"/>
              </w:rPr>
              <w:t>Category</w:t>
            </w:r>
          </w:p>
        </w:tc>
        <w:tc>
          <w:tcPr>
            <w:tcW w:type="dxa" w:w="2084"/>
            <w:shd w:fill="FF7C0A" w:val="clear"/>
            <w:vAlign w:val="center"/>
          </w:tcPr>
          <w:p>
            <w:pPr>
              <w:jc w:val="left"/>
              <w:spacing w:before="40" w:after="40"/>
            </w:pPr>
            <w:r>
              <w:rPr>
                <w:rFonts w:ascii="DM Sans" w:hAnsi="DM Sans" w:cs="DM Sans"/>
                <w:b/>
                <w:i w:val="0"/>
                <w:color w:val="FFFFFF"/>
                <w:sz w:val="20"/>
                <w:u w:val="none"/>
              </w:rPr>
              <w:t>Activity</w:t>
            </w:r>
          </w:p>
        </w:tc>
        <w:tc>
          <w:tcPr>
            <w:tcW w:type="dxa" w:w="557"/>
            <w:shd w:fill="FF7C0A" w:val="clear"/>
            <w:vAlign w:val="center"/>
          </w:tcPr>
          <w:p>
            <w:pPr>
              <w:jc w:val="left"/>
              <w:spacing w:before="40" w:after="40"/>
            </w:pPr>
            <w:r>
              <w:rPr>
                <w:rFonts w:ascii="DM Sans" w:hAnsi="DM Sans" w:cs="DM Sans"/>
                <w:b/>
                <w:i w:val="0"/>
                <w:color w:val="FFFFFF"/>
                <w:sz w:val="20"/>
                <w:u w:val="none"/>
              </w:rPr>
              <w:t>Format</w:t>
            </w:r>
          </w:p>
        </w:tc>
        <w:tc>
          <w:tcPr>
            <w:tcW w:type="dxa" w:w="698"/>
            <w:shd w:fill="FF7C0A" w:val="clear"/>
            <w:vAlign w:val="center"/>
          </w:tcPr>
          <w:p>
            <w:pPr>
              <w:jc w:val="left"/>
              <w:spacing w:before="40" w:after="40"/>
            </w:pPr>
            <w:r>
              <w:rPr>
                <w:rFonts w:ascii="DM Sans" w:hAnsi="DM Sans" w:cs="DM Sans"/>
                <w:b/>
                <w:i w:val="0"/>
                <w:color w:val="FFFFFF"/>
                <w:sz w:val="20"/>
                <w:u w:val="none"/>
              </w:rPr>
              <w:t>Min</w:t>
            </w:r>
          </w:p>
        </w:tc>
        <w:tc>
          <w:tcPr>
            <w:tcW w:type="dxa" w:w="4338"/>
            <w:shd w:fill="FF7C0A" w:val="clear"/>
            <w:vAlign w:val="center"/>
          </w:tcPr>
          <w:p>
            <w:pPr>
              <w:jc w:val="left"/>
              <w:spacing w:before="40" w:after="40"/>
            </w:pPr>
            <w:r>
              <w:rPr>
                <w:rFonts w:ascii="DM Sans" w:hAnsi="DM Sans" w:cs="DM Sans"/>
                <w:b/>
                <w:i w:val="0"/>
                <w:color w:val="FFFFFF"/>
                <w:sz w:val="20"/>
                <w:u w:val="none"/>
              </w:rPr>
              <w:t>Note</w:t>
            </w:r>
          </w:p>
        </w:tc>
      </w:tr>
      <w:tr>
        <w:tc>
          <w:tcPr>
            <w:tcW w:type="dxa" w:w="631"/>
            <w:vAlign w:val="center"/>
          </w:tcPr>
          <w:p>
            <w:pPr>
              <w:spacing w:before="30" w:after="30"/>
            </w:pPr>
            <w:r>
              <w:rPr>
                <w:rFonts w:ascii="DM Sans" w:hAnsi="DM Sans" w:cs="DM Sans"/>
                <w:b w:val="0"/>
                <w:i w:val="0"/>
                <w:color w:val="050C2A"/>
                <w:sz w:val="20"/>
                <w:u w:val="none"/>
              </w:rPr>
              <w:t>3.01</w:t>
            </w:r>
          </w:p>
        </w:tc>
        <w:tc>
          <w:tcPr>
            <w:tcW w:type="dxa" w:w="1052"/>
            <w:vAlign w:val="center"/>
          </w:tcPr>
          <w:p>
            <w:pPr>
              <w:spacing w:before="30" w:after="30"/>
            </w:pPr>
            <w:r>
              <w:rPr>
                <w:rFonts w:ascii="DM Sans" w:hAnsi="DM Sans" w:cs="DM Sans"/>
                <w:b w:val="0"/>
                <w:i w:val="0"/>
                <w:color w:val="050C2A"/>
                <w:sz w:val="20"/>
                <w:u w:val="none"/>
              </w:rPr>
              <w:t>Course Orientation</w:t>
            </w:r>
          </w:p>
        </w:tc>
        <w:tc>
          <w:tcPr>
            <w:tcW w:type="dxa" w:w="2084"/>
            <w:vAlign w:val="center"/>
          </w:tcPr>
          <w:p>
            <w:pPr>
              <w:spacing w:before="30" w:after="30"/>
            </w:pPr>
            <w:r>
              <w:rPr>
                <w:rFonts w:ascii="DM Sans" w:hAnsi="DM Sans" w:cs="DM Sans"/>
                <w:b w:val="0"/>
                <w:i w:val="0"/>
                <w:color w:val="050C2A"/>
                <w:sz w:val="20"/>
                <w:u w:val="none"/>
              </w:rPr>
              <w:t>Week 3 Overview — objectives, what's happening this week, suggested order of completion</w:t>
            </w:r>
          </w:p>
        </w:tc>
        <w:tc>
          <w:tcPr>
            <w:tcW w:type="dxa" w:w="557"/>
            <w:vAlign w:val="center"/>
          </w:tcPr>
          <w:p>
            <w:pPr>
              <w:spacing w:before="30" w:after="30"/>
            </w:pPr>
            <w:r>
              <w:rPr>
                <w:rFonts w:ascii="DM Sans" w:hAnsi="DM Sans" w:cs="DM Sans"/>
                <w:b w:val="0"/>
                <w:i w:val="0"/>
                <w:color w:val="050C2A"/>
                <w:sz w:val="20"/>
                <w:u w:val="none"/>
              </w:rPr>
              <w:t>Text</w:t>
            </w:r>
          </w:p>
        </w:tc>
        <w:tc>
          <w:tcPr>
            <w:tcW w:type="dxa" w:w="698"/>
            <w:vAlign w:val="center"/>
          </w:tcPr>
          <w:p>
            <w:pPr>
              <w:spacing w:before="30" w:after="30"/>
            </w:pPr>
            <w:r>
              <w:rPr>
                <w:rFonts w:ascii="DM Sans" w:hAnsi="DM Sans" w:cs="DM Sans"/>
                <w:b w:val="0"/>
                <w:i w:val="0"/>
                <w:color w:val="050C2A"/>
                <w:sz w:val="20"/>
                <w:u w:val="none"/>
              </w:rPr>
              <w:t>5</w:t>
            </w:r>
          </w:p>
        </w:tc>
        <w:tc>
          <w:tcPr>
            <w:tcW w:type="dxa" w:w="4338"/>
            <w:vAlign w:val="center"/>
          </w:tcPr>
          <w:p>
            <w:pPr>
              <w:spacing w:before="30" w:after="30"/>
            </w:pPr>
            <w:r>
              <w:rPr>
                <w:rFonts w:ascii="DM Sans" w:hAnsi="DM Sans" w:cs="DM Sans"/>
                <w:b w:val="0"/>
                <w:i w:val="0"/>
                <w:color w:val="050C2A"/>
                <w:sz w:val="20"/>
                <w:u w:val="none"/>
              </w:rPr>
              <w:t>Sets expectations for the week; names the anchor event (employer kickoff meeting) and deliverable (Kickoff Summary); gives suggested order of completion.</w:t>
            </w:r>
          </w:p>
        </w:tc>
      </w:tr>
      <w:tr>
        <w:tc>
          <w:tcPr>
            <w:tcW w:type="dxa" w:w="631"/>
            <w:shd w:fill="F5F5F5" w:val="clear"/>
            <w:vAlign w:val="center"/>
          </w:tcPr>
          <w:p>
            <w:pPr>
              <w:spacing w:before="30" w:after="30"/>
            </w:pPr>
            <w:r>
              <w:rPr>
                <w:rFonts w:ascii="DM Sans" w:hAnsi="DM Sans" w:cs="DM Sans"/>
                <w:b w:val="0"/>
                <w:i w:val="0"/>
                <w:color w:val="050C2A"/>
                <w:sz w:val="20"/>
                <w:u w:val="none"/>
              </w:rPr>
              <w:t>3.02</w:t>
            </w:r>
          </w:p>
        </w:tc>
        <w:tc>
          <w:tcPr>
            <w:tcW w:type="dxa" w:w="1052"/>
            <w:shd w:fill="F5F5F5" w:val="clear"/>
            <w:vAlign w:val="center"/>
          </w:tcPr>
          <w:p>
            <w:pPr>
              <w:spacing w:before="30" w:after="30"/>
            </w:pPr>
            <w:r>
              <w:rPr>
                <w:rFonts w:ascii="DM Sans" w:hAnsi="DM Sans" w:cs="DM Sans"/>
                <w:b w:val="0"/>
                <w:i w:val="0"/>
                <w:color w:val="050C2A"/>
                <w:sz w:val="20"/>
                <w:u w:val="none"/>
              </w:rPr>
              <w:t>Project Orientation</w:t>
            </w:r>
          </w:p>
        </w:tc>
        <w:tc>
          <w:tcPr>
            <w:tcW w:type="dxa" w:w="2084"/>
            <w:shd w:fill="F5F5F5" w:val="clear"/>
            <w:vAlign w:val="center"/>
          </w:tcPr>
          <w:p>
            <w:pPr>
              <w:spacing w:before="30" w:after="30"/>
            </w:pPr>
            <w:r>
              <w:rPr>
                <w:rFonts w:ascii="DM Sans" w:hAnsi="DM Sans" w:cs="DM Sans"/>
                <w:b w:val="0"/>
                <w:i w:val="0"/>
                <w:color w:val="050C2A"/>
                <w:sz w:val="20"/>
                <w:u w:val="none"/>
              </w:rPr>
              <w:t>Using AI for Note Capture and Summarization</w:t>
            </w:r>
          </w:p>
        </w:tc>
        <w:tc>
          <w:tcPr>
            <w:tcW w:type="dxa" w:w="557"/>
            <w:shd w:fill="F5F5F5" w:val="clear"/>
            <w:vAlign w:val="center"/>
          </w:tcPr>
          <w:p>
            <w:pPr>
              <w:spacing w:before="30" w:after="30"/>
            </w:pPr>
            <w:r>
              <w:rPr>
                <w:rFonts w:ascii="DM Sans" w:hAnsi="DM Sans" w:cs="DM Sans"/>
                <w:b w:val="0"/>
                <w:i w:val="0"/>
                <w:color w:val="050C2A"/>
                <w:sz w:val="20"/>
                <w:u w:val="none"/>
              </w:rPr>
              <w:t>Module</w:t>
            </w:r>
          </w:p>
        </w:tc>
        <w:tc>
          <w:tcPr>
            <w:tcW w:type="dxa" w:w="698"/>
            <w:shd w:fill="F5F5F5" w:val="clear"/>
            <w:vAlign w:val="center"/>
          </w:tcPr>
          <w:p>
            <w:pPr>
              <w:spacing w:before="30" w:after="30"/>
            </w:pPr>
            <w:r>
              <w:rPr>
                <w:rFonts w:ascii="DM Sans" w:hAnsi="DM Sans" w:cs="DM Sans"/>
                <w:b w:val="0"/>
                <w:i w:val="0"/>
                <w:color w:val="050C2A"/>
                <w:sz w:val="20"/>
                <w:u w:val="none"/>
              </w:rPr>
              <w:t>10</w:t>
            </w:r>
          </w:p>
        </w:tc>
        <w:tc>
          <w:tcPr>
            <w:tcW w:type="dxa" w:w="4338"/>
            <w:shd w:fill="F5F5F5" w:val="clear"/>
            <w:vAlign w:val="center"/>
          </w:tcPr>
          <w:p>
            <w:pPr>
              <w:spacing w:before="30" w:after="30"/>
            </w:pPr>
            <w:r>
              <w:rPr>
                <w:rFonts w:ascii="DM Sans" w:hAnsi="DM Sans" w:cs="DM Sans"/>
                <w:b w:val="0"/>
                <w:i w:val="0"/>
                <w:color w:val="050C2A"/>
                <w:sz w:val="20"/>
                <w:u w:val="none"/>
              </w:rPr>
              <w:t>How to use AI transcription or summarization tools during or immediately after the kickoff meeting; how to prompt AI to organize raw notes into a structured summary; introduced before the meeting so students arrive ready to use it.</w:t>
            </w:r>
          </w:p>
        </w:tc>
      </w:tr>
      <w:tr>
        <w:tc>
          <w:tcPr>
            <w:tcW w:type="dxa" w:w="631"/>
            <w:vAlign w:val="center"/>
          </w:tcPr>
          <w:p>
            <w:pPr>
              <w:spacing w:before="30" w:after="30"/>
            </w:pPr>
            <w:r>
              <w:rPr>
                <w:rFonts w:ascii="DM Sans" w:hAnsi="DM Sans" w:cs="DM Sans"/>
                <w:b w:val="0"/>
                <w:i w:val="0"/>
                <w:color w:val="050C2A"/>
                <w:sz w:val="20"/>
                <w:u w:val="none"/>
              </w:rPr>
              <w:t>3.03</w:t>
            </w:r>
          </w:p>
        </w:tc>
        <w:tc>
          <w:tcPr>
            <w:tcW w:type="dxa" w:w="1052"/>
            <w:vAlign w:val="center"/>
          </w:tcPr>
          <w:p>
            <w:pPr>
              <w:spacing w:before="30" w:after="30"/>
            </w:pPr>
            <w:r>
              <w:rPr>
                <w:rFonts w:ascii="DM Sans" w:hAnsi="DM Sans" w:cs="DM Sans"/>
                <w:b w:val="0"/>
                <w:i w:val="0"/>
                <w:color w:val="050C2A"/>
                <w:sz w:val="20"/>
                <w:u w:val="none"/>
              </w:rPr>
              <w:t>Professional Fundamentals</w:t>
            </w:r>
          </w:p>
        </w:tc>
        <w:tc>
          <w:tcPr>
            <w:tcW w:type="dxa" w:w="2084"/>
            <w:vAlign w:val="center"/>
          </w:tcPr>
          <w:p>
            <w:pPr>
              <w:spacing w:before="30" w:after="30"/>
            </w:pPr>
            <w:r>
              <w:rPr>
                <w:rFonts w:ascii="DM Sans" w:hAnsi="DM Sans" w:cs="DM Sans"/>
                <w:b w:val="0"/>
                <w:i w:val="0"/>
                <w:color w:val="050C2A"/>
                <w:sz w:val="20"/>
                <w:u w:val="none"/>
              </w:rPr>
              <w:t>Professional Video Call Etiquette</w:t>
            </w:r>
          </w:p>
        </w:tc>
        <w:tc>
          <w:tcPr>
            <w:tcW w:type="dxa" w:w="557"/>
            <w:vAlign w:val="center"/>
          </w:tcPr>
          <w:p>
            <w:pPr>
              <w:spacing w:before="30" w:after="30"/>
            </w:pPr>
            <w:r>
              <w:rPr>
                <w:rFonts w:ascii="DM Sans" w:hAnsi="DM Sans" w:cs="DM Sans"/>
                <w:b w:val="0"/>
                <w:i w:val="0"/>
                <w:color w:val="050C2A"/>
                <w:sz w:val="20"/>
                <w:u w:val="none"/>
              </w:rPr>
              <w:t>Module</w:t>
            </w:r>
          </w:p>
        </w:tc>
        <w:tc>
          <w:tcPr>
            <w:tcW w:type="dxa" w:w="698"/>
            <w:vAlign w:val="center"/>
          </w:tcPr>
          <w:p>
            <w:pPr>
              <w:spacing w:before="30" w:after="30"/>
            </w:pPr>
            <w:r>
              <w:rPr>
                <w:rFonts w:ascii="DM Sans" w:hAnsi="DM Sans" w:cs="DM Sans"/>
                <w:b w:val="0"/>
                <w:i w:val="0"/>
                <w:color w:val="050C2A"/>
                <w:sz w:val="20"/>
                <w:u w:val="none"/>
              </w:rPr>
              <w:t>10</w:t>
            </w:r>
          </w:p>
        </w:tc>
        <w:tc>
          <w:tcPr>
            <w:tcW w:type="dxa" w:w="4338"/>
            <w:vAlign w:val="center"/>
          </w:tcPr>
          <w:p>
            <w:pPr>
              <w:spacing w:before="30" w:after="30"/>
            </w:pPr>
            <w:r>
              <w:rPr>
                <w:rFonts w:ascii="DM Sans" w:hAnsi="DM Sans" w:cs="DM Sans"/>
                <w:b w:val="0"/>
                <w:i w:val="0"/>
                <w:color w:val="050C2A"/>
                <w:sz w:val="20"/>
                <w:u w:val="none"/>
              </w:rPr>
              <w:t>Camera, lighting, background, muting protocols; how to handle technical issues without derailing the meeting; managing note-taking while staying engaged on camera; what to do when people talk over each other. First professional video call with an employer — practical and specific.</w:t>
            </w:r>
          </w:p>
        </w:tc>
      </w:tr>
      <w:tr>
        <w:tc>
          <w:tcPr>
            <w:tcW w:type="dxa" w:w="631"/>
            <w:shd w:fill="F5F5F5" w:val="clear"/>
            <w:vAlign w:val="center"/>
          </w:tcPr>
          <w:p>
            <w:pPr>
              <w:spacing w:before="30" w:after="30"/>
            </w:pPr>
            <w:r>
              <w:rPr>
                <w:rFonts w:ascii="DM Sans" w:hAnsi="DM Sans" w:cs="DM Sans"/>
                <w:b w:val="0"/>
                <w:i w:val="0"/>
                <w:color w:val="050C2A"/>
                <w:sz w:val="20"/>
                <w:u w:val="none"/>
              </w:rPr>
              <w:t>3.04</w:t>
            </w:r>
          </w:p>
        </w:tc>
        <w:tc>
          <w:tcPr>
            <w:tcW w:type="dxa" w:w="1052"/>
            <w:shd w:fill="F5F5F5" w:val="clear"/>
            <w:vAlign w:val="center"/>
          </w:tcPr>
          <w:p>
            <w:pPr>
              <w:spacing w:before="30" w:after="30"/>
            </w:pPr>
            <w:r>
              <w:rPr>
                <w:rFonts w:ascii="DM Sans" w:hAnsi="DM Sans" w:cs="DM Sans"/>
                <w:b w:val="0"/>
                <w:i w:val="0"/>
                <w:color w:val="050C2A"/>
                <w:sz w:val="20"/>
                <w:u w:val="none"/>
              </w:rPr>
              <w:t>Project Work</w:t>
            </w:r>
          </w:p>
        </w:tc>
        <w:tc>
          <w:tcPr>
            <w:tcW w:type="dxa" w:w="2084"/>
            <w:shd w:fill="F5F5F5" w:val="clear"/>
            <w:vAlign w:val="center"/>
          </w:tcPr>
          <w:p>
            <w:pPr>
              <w:spacing w:before="30" w:after="30"/>
            </w:pPr>
            <w:r>
              <w:rPr>
                <w:rFonts w:ascii="DM Sans" w:hAnsi="DM Sans" w:cs="DM Sans"/>
                <w:b w:val="0"/>
                <w:i w:val="0"/>
                <w:color w:val="050C2A"/>
                <w:sz w:val="20"/>
                <w:u w:val="none"/>
              </w:rPr>
              <w:t>Pre-meeting prep — review Week 2 research, organize and prioritize questions, assign meeting roles</w:t>
            </w:r>
          </w:p>
        </w:tc>
        <w:tc>
          <w:tcPr>
            <w:tcW w:type="dxa" w:w="557"/>
            <w:shd w:fill="F5F5F5" w:val="clear"/>
            <w:vAlign w:val="center"/>
          </w:tcPr>
          <w:p>
            <w:pPr>
              <w:spacing w:before="30" w:after="30"/>
            </w:pPr>
            <w:r>
              <w:rPr>
                <w:rFonts w:ascii="DM Sans" w:hAnsi="DM Sans" w:cs="DM Sans"/>
                <w:b w:val="0"/>
                <w:i w:val="0"/>
                <w:color w:val="050C2A"/>
                <w:sz w:val="20"/>
                <w:u w:val="none"/>
              </w:rPr>
              <w:t>Project</w:t>
            </w:r>
          </w:p>
        </w:tc>
        <w:tc>
          <w:tcPr>
            <w:tcW w:type="dxa" w:w="698"/>
            <w:shd w:fill="F5F5F5" w:val="clear"/>
            <w:vAlign w:val="center"/>
          </w:tcPr>
          <w:p>
            <w:pPr>
              <w:spacing w:before="30" w:after="30"/>
            </w:pPr>
            <w:r>
              <w:rPr>
                <w:rFonts w:ascii="DM Sans" w:hAnsi="DM Sans" w:cs="DM Sans"/>
                <w:b w:val="0"/>
                <w:i w:val="0"/>
                <w:color w:val="050C2A"/>
                <w:sz w:val="20"/>
                <w:u w:val="none"/>
              </w:rPr>
              <w:t>30</w:t>
            </w:r>
          </w:p>
        </w:tc>
        <w:tc>
          <w:tcPr>
            <w:tcW w:type="dxa" w:w="4338"/>
            <w:shd w:fill="F5F5F5" w:val="clear"/>
            <w:vAlign w:val="center"/>
          </w:tcPr>
          <w:p>
            <w:pPr>
              <w:spacing w:before="30" w:after="30"/>
            </w:pPr>
            <w:r>
              <w:rPr>
                <w:rFonts w:ascii="DM Sans" w:hAnsi="DM Sans" w:cs="DM Sans"/>
                <w:b w:val="0"/>
                <w:i w:val="0"/>
                <w:color w:val="050C2A"/>
                <w:sz w:val="20"/>
                <w:u w:val="none"/>
              </w:rPr>
              <w:t>Students review their individual research from Week 2, consolidate questions as a team, prioritize by importance, and assign roles (who asks, who takes notes, who manages time). Async individual work feeding into the team huddle.</w:t>
            </w:r>
          </w:p>
        </w:tc>
      </w:tr>
      <w:tr>
        <w:tc>
          <w:tcPr>
            <w:tcW w:type="dxa" w:w="631"/>
            <w:vAlign w:val="center"/>
          </w:tcPr>
          <w:p>
            <w:pPr>
              <w:spacing w:before="30" w:after="30"/>
            </w:pPr>
            <w:r>
              <w:rPr>
                <w:rFonts w:ascii="DM Sans" w:hAnsi="DM Sans" w:cs="DM Sans"/>
                <w:b w:val="0"/>
                <w:i w:val="0"/>
                <w:color w:val="050C2A"/>
                <w:sz w:val="20"/>
                <w:u w:val="none"/>
              </w:rPr>
              <w:t>3.05</w:t>
            </w:r>
          </w:p>
        </w:tc>
        <w:tc>
          <w:tcPr>
            <w:tcW w:type="dxa" w:w="1052"/>
            <w:vAlign w:val="center"/>
          </w:tcPr>
          <w:p>
            <w:pPr>
              <w:spacing w:before="30" w:after="30"/>
            </w:pPr>
            <w:r>
              <w:rPr>
                <w:rFonts w:ascii="DM Sans" w:hAnsi="DM Sans" w:cs="DM Sans"/>
                <w:b w:val="0"/>
                <w:i w:val="0"/>
                <w:color w:val="050C2A"/>
                <w:sz w:val="20"/>
                <w:u w:val="none"/>
              </w:rPr>
              <w:t>Team Formation</w:t>
            </w:r>
          </w:p>
        </w:tc>
        <w:tc>
          <w:tcPr>
            <w:tcW w:type="dxa" w:w="2084"/>
            <w:vAlign w:val="center"/>
          </w:tcPr>
          <w:p>
            <w:pPr>
              <w:spacing w:before="30" w:after="30"/>
            </w:pPr>
            <w:r>
              <w:rPr>
                <w:rFonts w:ascii="DM Sans" w:hAnsi="DM Sans" w:cs="DM Sans"/>
                <w:b w:val="0"/>
                <w:i w:val="0"/>
                <w:color w:val="050C2A"/>
                <w:sz w:val="20"/>
                <w:u w:val="none"/>
              </w:rPr>
              <w:t>Team huddle — quick run-through before the kickoff</w:t>
            </w:r>
          </w:p>
        </w:tc>
        <w:tc>
          <w:tcPr>
            <w:tcW w:type="dxa" w:w="557"/>
            <w:vAlign w:val="center"/>
          </w:tcPr>
          <w:p>
            <w:pPr>
              <w:spacing w:before="30" w:after="30"/>
            </w:pPr>
            <w:r>
              <w:rPr>
                <w:rFonts w:ascii="DM Sans" w:hAnsi="DM Sans" w:cs="DM Sans"/>
                <w:b w:val="0"/>
                <w:i w:val="0"/>
                <w:color w:val="050C2A"/>
                <w:sz w:val="20"/>
                <w:u w:val="none"/>
              </w:rPr>
              <w:t>Project</w:t>
            </w:r>
          </w:p>
        </w:tc>
        <w:tc>
          <w:tcPr>
            <w:tcW w:type="dxa" w:w="698"/>
            <w:vAlign w:val="center"/>
          </w:tcPr>
          <w:p>
            <w:pPr>
              <w:spacing w:before="30" w:after="30"/>
            </w:pPr>
            <w:r>
              <w:rPr>
                <w:rFonts w:ascii="DM Sans" w:hAnsi="DM Sans" w:cs="DM Sans"/>
                <w:b w:val="0"/>
                <w:i w:val="0"/>
                <w:color w:val="050C2A"/>
                <w:sz w:val="20"/>
                <w:u w:val="none"/>
              </w:rPr>
              <w:t>45</w:t>
            </w:r>
          </w:p>
        </w:tc>
        <w:tc>
          <w:tcPr>
            <w:tcW w:type="dxa" w:w="4338"/>
            <w:vAlign w:val="center"/>
          </w:tcPr>
          <w:p>
            <w:pPr>
              <w:spacing w:before="30" w:after="30"/>
            </w:pPr>
            <w:r>
              <w:rPr>
                <w:rFonts w:ascii="DM Sans" w:hAnsi="DM Sans" w:cs="DM Sans"/>
                <w:b w:val="0"/>
                <w:i w:val="0"/>
                <w:color w:val="050C2A"/>
                <w:sz w:val="20"/>
                <w:u w:val="none"/>
              </w:rPr>
              <w:t>Short synchronous meeting to align on questions, confirm roles, and do a brief rehearsal. Distinct from pre-meeting prep (which is individual/async) — this is the team getting on the same page immediately before the employer meeting.</w:t>
            </w:r>
          </w:p>
        </w:tc>
      </w:tr>
      <w:tr>
        <w:tc>
          <w:tcPr>
            <w:tcW w:type="dxa" w:w="631"/>
            <w:shd w:fill="F5F5F5" w:val="clear"/>
            <w:vAlign w:val="center"/>
          </w:tcPr>
          <w:p>
            <w:pPr>
              <w:spacing w:before="30" w:after="30"/>
            </w:pPr>
            <w:r>
              <w:rPr>
                <w:rFonts w:ascii="DM Sans" w:hAnsi="DM Sans" w:cs="DM Sans"/>
                <w:b w:val="0"/>
                <w:i w:val="0"/>
                <w:color w:val="050C2A"/>
                <w:sz w:val="20"/>
                <w:u w:val="none"/>
              </w:rPr>
              <w:t>3.06</w:t>
            </w:r>
          </w:p>
        </w:tc>
        <w:tc>
          <w:tcPr>
            <w:tcW w:type="dxa" w:w="1052"/>
            <w:shd w:fill="F5F5F5" w:val="clear"/>
            <w:vAlign w:val="center"/>
          </w:tcPr>
          <w:p>
            <w:pPr>
              <w:spacing w:before="30" w:after="30"/>
            </w:pPr>
            <w:r>
              <w:rPr>
                <w:rFonts w:ascii="DM Sans" w:hAnsi="DM Sans" w:cs="DM Sans"/>
                <w:b w:val="0"/>
                <w:i w:val="0"/>
                <w:color w:val="050C2A"/>
                <w:sz w:val="20"/>
                <w:u w:val="none"/>
              </w:rPr>
              <w:t>Employer Engagement</w:t>
            </w:r>
          </w:p>
        </w:tc>
        <w:tc>
          <w:tcPr>
            <w:tcW w:type="dxa" w:w="2084"/>
            <w:shd w:fill="F5F5F5" w:val="clear"/>
            <w:vAlign w:val="center"/>
          </w:tcPr>
          <w:p>
            <w:pPr>
              <w:spacing w:before="30" w:after="30"/>
            </w:pPr>
            <w:r>
              <w:rPr>
                <w:rFonts w:ascii="DM Sans" w:hAnsi="DM Sans" w:cs="DM Sans"/>
                <w:b w:val="0"/>
                <w:i w:val="0"/>
                <w:color w:val="050C2A"/>
                <w:sz w:val="20"/>
                <w:u w:val="none"/>
              </w:rPr>
              <w:t>Email exchange with employer — confirm logistics, pre-meeting questions</w:t>
            </w:r>
          </w:p>
        </w:tc>
        <w:tc>
          <w:tcPr>
            <w:tcW w:type="dxa" w:w="557"/>
            <w:shd w:fill="F5F5F5" w:val="clear"/>
            <w:vAlign w:val="center"/>
          </w:tcPr>
          <w:p>
            <w:pPr>
              <w:spacing w:before="30" w:after="30"/>
            </w:pPr>
            <w:r>
              <w:rPr>
                <w:rFonts w:ascii="DM Sans" w:hAnsi="DM Sans" w:cs="DM Sans"/>
                <w:b w:val="0"/>
                <w:i w:val="0"/>
                <w:color w:val="050C2A"/>
                <w:sz w:val="20"/>
                <w:u w:val="none"/>
              </w:rPr>
              <w:t>Project</w:t>
            </w:r>
          </w:p>
        </w:tc>
        <w:tc>
          <w:tcPr>
            <w:tcW w:type="dxa" w:w="698"/>
            <w:shd w:fill="F5F5F5" w:val="clear"/>
            <w:vAlign w:val="center"/>
          </w:tcPr>
          <w:p>
            <w:pPr>
              <w:spacing w:before="30" w:after="30"/>
            </w:pPr>
            <w:r>
              <w:rPr>
                <w:rFonts w:ascii="DM Sans" w:hAnsi="DM Sans" w:cs="DM Sans"/>
                <w:b w:val="0"/>
                <w:i w:val="0"/>
                <w:color w:val="050C2A"/>
                <w:sz w:val="20"/>
                <w:u w:val="none"/>
              </w:rPr>
              <w:t>15</w:t>
            </w:r>
          </w:p>
        </w:tc>
        <w:tc>
          <w:tcPr>
            <w:tcW w:type="dxa" w:w="4338"/>
            <w:shd w:fill="F5F5F5" w:val="clear"/>
            <w:vAlign w:val="center"/>
          </w:tcPr>
          <w:p>
            <w:pPr>
              <w:spacing w:before="30" w:after="30"/>
            </w:pPr>
            <w:r>
              <w:rPr>
                <w:rFonts w:ascii="DM Sans" w:hAnsi="DM Sans" w:cs="DM Sans"/>
                <w:b w:val="0"/>
                <w:i w:val="0"/>
                <w:color w:val="050C2A"/>
                <w:sz w:val="20"/>
                <w:u w:val="none"/>
              </w:rPr>
              <w:t>Confirming meeting logistics, any platform/tech setup, and possibly one or two clarifying questions before the kickoff. Professional correspondence applying Week 1 email skills in a client context.</w:t>
            </w:r>
          </w:p>
        </w:tc>
      </w:tr>
      <w:tr>
        <w:tc>
          <w:tcPr>
            <w:tcW w:type="dxa" w:w="631"/>
            <w:vAlign w:val="center"/>
          </w:tcPr>
          <w:p>
            <w:pPr>
              <w:spacing w:before="30" w:after="30"/>
            </w:pPr>
            <w:r>
              <w:rPr>
                <w:rFonts w:ascii="DM Sans" w:hAnsi="DM Sans" w:cs="DM Sans"/>
                <w:b w:val="0"/>
                <w:i w:val="0"/>
                <w:color w:val="050C2A"/>
                <w:sz w:val="20"/>
                <w:u w:val="none"/>
              </w:rPr>
              <w:t>3.07</w:t>
            </w:r>
          </w:p>
        </w:tc>
        <w:tc>
          <w:tcPr>
            <w:tcW w:type="dxa" w:w="1052"/>
            <w:vAlign w:val="center"/>
          </w:tcPr>
          <w:p>
            <w:pPr>
              <w:spacing w:before="30" w:after="30"/>
            </w:pPr>
            <w:r>
              <w:rPr>
                <w:rFonts w:ascii="DM Sans" w:hAnsi="DM Sans" w:cs="DM Sans"/>
                <w:b w:val="0"/>
                <w:i w:val="0"/>
                <w:color w:val="050C2A"/>
                <w:sz w:val="20"/>
                <w:u w:val="none"/>
              </w:rPr>
              <w:t>Employer Engagement</w:t>
            </w:r>
          </w:p>
        </w:tc>
        <w:tc>
          <w:tcPr>
            <w:tcW w:type="dxa" w:w="2084"/>
            <w:vAlign w:val="center"/>
          </w:tcPr>
          <w:p>
            <w:pPr>
              <w:spacing w:before="30" w:after="30"/>
            </w:pPr>
            <w:r>
              <w:rPr>
                <w:rFonts w:ascii="DM Sans" w:hAnsi="DM Sans" w:cs="DM Sans"/>
                <w:b w:val="0"/>
                <w:i w:val="0"/>
                <w:color w:val="050C2A"/>
                <w:sz w:val="20"/>
                <w:u w:val="none"/>
              </w:rPr>
              <w:t>Employer kickoff meeting</w:t>
            </w:r>
          </w:p>
        </w:tc>
        <w:tc>
          <w:tcPr>
            <w:tcW w:type="dxa" w:w="557"/>
            <w:vAlign w:val="center"/>
          </w:tcPr>
          <w:p>
            <w:pPr>
              <w:spacing w:before="30" w:after="30"/>
            </w:pPr>
            <w:r>
              <w:rPr>
                <w:rFonts w:ascii="DM Sans" w:hAnsi="DM Sans" w:cs="DM Sans"/>
                <w:b w:val="0"/>
                <w:i w:val="0"/>
                <w:color w:val="050C2A"/>
                <w:sz w:val="20"/>
                <w:u w:val="none"/>
              </w:rPr>
              <w:t>Project</w:t>
            </w:r>
          </w:p>
        </w:tc>
        <w:tc>
          <w:tcPr>
            <w:tcW w:type="dxa" w:w="698"/>
            <w:vAlign w:val="center"/>
          </w:tcPr>
          <w:p>
            <w:pPr>
              <w:spacing w:before="30" w:after="30"/>
            </w:pPr>
            <w:r>
              <w:rPr>
                <w:rFonts w:ascii="DM Sans" w:hAnsi="DM Sans" w:cs="DM Sans"/>
                <w:b w:val="0"/>
                <w:i w:val="0"/>
                <w:color w:val="050C2A"/>
                <w:sz w:val="20"/>
                <w:u w:val="none"/>
              </w:rPr>
              <w:t>60</w:t>
            </w:r>
          </w:p>
        </w:tc>
        <w:tc>
          <w:tcPr>
            <w:tcW w:type="dxa" w:w="4338"/>
            <w:vAlign w:val="center"/>
          </w:tcPr>
          <w:p>
            <w:pPr>
              <w:spacing w:before="30" w:after="30"/>
            </w:pPr>
            <w:r>
              <w:rPr>
                <w:rFonts w:ascii="DM Sans" w:hAnsi="DM Sans" w:cs="DM Sans"/>
                <w:b w:val="0"/>
                <w:i w:val="0"/>
                <w:color w:val="050C2A"/>
                <w:sz w:val="20"/>
                <w:u w:val="none"/>
              </w:rPr>
              <w:t>Anchor event of the week. 60-min hold (may end early). Employer presents organizational context, project scope, success criteria, timeline, key contacts; students listen and ask prepared questions. First direct employer interaction. Students are not presenting — this is a listening and orienting touchpoint. All employer meetings follow a consistent 60-min hold, biweekly cadence starting this week.</w:t>
            </w:r>
          </w:p>
        </w:tc>
      </w:tr>
      <w:tr>
        <w:tc>
          <w:tcPr>
            <w:tcW w:type="dxa" w:w="631"/>
            <w:shd w:fill="F5F5F5" w:val="clear"/>
            <w:vAlign w:val="center"/>
          </w:tcPr>
          <w:p>
            <w:pPr>
              <w:spacing w:before="30" w:after="30"/>
            </w:pPr>
            <w:r>
              <w:rPr>
                <w:rFonts w:ascii="DM Sans" w:hAnsi="DM Sans" w:cs="DM Sans"/>
                <w:b w:val="0"/>
                <w:i w:val="0"/>
                <w:color w:val="050C2A"/>
                <w:sz w:val="20"/>
                <w:u w:val="none"/>
              </w:rPr>
              <w:t>3.08</w:t>
            </w:r>
          </w:p>
        </w:tc>
        <w:tc>
          <w:tcPr>
            <w:tcW w:type="dxa" w:w="1052"/>
            <w:shd w:fill="F5F5F5" w:val="clear"/>
            <w:vAlign w:val="center"/>
          </w:tcPr>
          <w:p>
            <w:pPr>
              <w:spacing w:before="30" w:after="30"/>
            </w:pPr>
            <w:r>
              <w:rPr>
                <w:rFonts w:ascii="DM Sans" w:hAnsi="DM Sans" w:cs="DM Sans"/>
                <w:b w:val="0"/>
                <w:i w:val="0"/>
                <w:color w:val="050C2A"/>
                <w:sz w:val="20"/>
                <w:u w:val="none"/>
              </w:rPr>
              <w:t>Project Work</w:t>
            </w:r>
          </w:p>
        </w:tc>
        <w:tc>
          <w:tcPr>
            <w:tcW w:type="dxa" w:w="2084"/>
            <w:shd w:fill="F5F5F5" w:val="clear"/>
            <w:vAlign w:val="center"/>
          </w:tcPr>
          <w:p>
            <w:pPr>
              <w:spacing w:before="30" w:after="30"/>
            </w:pPr>
            <w:r>
              <w:rPr>
                <w:rFonts w:ascii="DM Sans" w:hAnsi="DM Sans" w:cs="DM Sans"/>
                <w:b w:val="0"/>
                <w:i w:val="0"/>
                <w:color w:val="050C2A"/>
                <w:sz w:val="20"/>
                <w:u w:val="none"/>
              </w:rPr>
              <w:t>Immediate post-meeting debrief</w:t>
            </w:r>
          </w:p>
        </w:tc>
        <w:tc>
          <w:tcPr>
            <w:tcW w:type="dxa" w:w="557"/>
            <w:shd w:fill="F5F5F5" w:val="clear"/>
            <w:vAlign w:val="center"/>
          </w:tcPr>
          <w:p>
            <w:pPr>
              <w:spacing w:before="30" w:after="30"/>
            </w:pPr>
            <w:r>
              <w:rPr>
                <w:rFonts w:ascii="DM Sans" w:hAnsi="DM Sans" w:cs="DM Sans"/>
                <w:b w:val="0"/>
                <w:i w:val="0"/>
                <w:color w:val="050C2A"/>
                <w:sz w:val="20"/>
                <w:u w:val="none"/>
              </w:rPr>
              <w:t>Project</w:t>
            </w:r>
          </w:p>
        </w:tc>
        <w:tc>
          <w:tcPr>
            <w:tcW w:type="dxa" w:w="698"/>
            <w:shd w:fill="F5F5F5" w:val="clear"/>
            <w:vAlign w:val="center"/>
          </w:tcPr>
          <w:p>
            <w:pPr>
              <w:spacing w:before="30" w:after="30"/>
            </w:pPr>
            <w:r>
              <w:rPr>
                <w:rFonts w:ascii="DM Sans" w:hAnsi="DM Sans" w:cs="DM Sans"/>
                <w:b w:val="0"/>
                <w:i w:val="0"/>
                <w:color w:val="050C2A"/>
                <w:sz w:val="20"/>
                <w:u w:val="none"/>
              </w:rPr>
              <w:t>30</w:t>
            </w:r>
          </w:p>
        </w:tc>
        <w:tc>
          <w:tcPr>
            <w:tcW w:type="dxa" w:w="4338"/>
            <w:shd w:fill="F5F5F5" w:val="clear"/>
            <w:vAlign w:val="center"/>
          </w:tcPr>
          <w:p>
            <w:pPr>
              <w:spacing w:before="30" w:after="30"/>
            </w:pPr>
            <w:r>
              <w:rPr>
                <w:rFonts w:ascii="DM Sans" w:hAnsi="DM Sans" w:cs="DM Sans"/>
                <w:b w:val="0"/>
                <w:i w:val="0"/>
                <w:color w:val="050C2A"/>
                <w:sz w:val="20"/>
                <w:u w:val="none"/>
              </w:rPr>
              <w:t>Quick synchronous or async debrief immediately after the kickoff while impressions are fresh. What surprised us, what we need to find out, what the employer seemed to care most about. Captures reactions before memory fades — distinct from the formal Kickoff Summary.</w:t>
            </w:r>
          </w:p>
        </w:tc>
      </w:tr>
      <w:tr>
        <w:tc>
          <w:tcPr>
            <w:tcW w:type="dxa" w:w="631"/>
            <w:vAlign w:val="center"/>
          </w:tcPr>
          <w:p>
            <w:pPr>
              <w:spacing w:before="30" w:after="30"/>
            </w:pPr>
            <w:r>
              <w:rPr>
                <w:rFonts w:ascii="DM Sans" w:hAnsi="DM Sans" w:cs="DM Sans"/>
                <w:b w:val="0"/>
                <w:i w:val="0"/>
                <w:color w:val="050C2A"/>
                <w:sz w:val="20"/>
                <w:u w:val="none"/>
              </w:rPr>
              <w:t>3.09</w:t>
            </w:r>
          </w:p>
        </w:tc>
        <w:tc>
          <w:tcPr>
            <w:tcW w:type="dxa" w:w="1052"/>
            <w:vAlign w:val="center"/>
          </w:tcPr>
          <w:p>
            <w:pPr>
              <w:spacing w:before="30" w:after="30"/>
            </w:pPr>
            <w:r>
              <w:rPr>
                <w:rFonts w:ascii="DM Sans" w:hAnsi="DM Sans" w:cs="DM Sans"/>
                <w:b w:val="0"/>
                <w:i w:val="0"/>
                <w:color w:val="050C2A"/>
                <w:sz w:val="20"/>
                <w:u w:val="none"/>
              </w:rPr>
              <w:t>Professional Fundamentals</w:t>
            </w:r>
          </w:p>
        </w:tc>
        <w:tc>
          <w:tcPr>
            <w:tcW w:type="dxa" w:w="2084"/>
            <w:vAlign w:val="center"/>
          </w:tcPr>
          <w:p>
            <w:pPr>
              <w:spacing w:before="30" w:after="30"/>
            </w:pPr>
            <w:r>
              <w:rPr>
                <w:rFonts w:ascii="DM Sans" w:hAnsi="DM Sans" w:cs="DM Sans"/>
                <w:b w:val="0"/>
                <w:i w:val="0"/>
                <w:color w:val="050C2A"/>
                <w:sz w:val="20"/>
                <w:u w:val="none"/>
              </w:rPr>
              <w:t>Processing What You Heard — turning notes into shared understanding</w:t>
            </w:r>
          </w:p>
        </w:tc>
        <w:tc>
          <w:tcPr>
            <w:tcW w:type="dxa" w:w="557"/>
            <w:vAlign w:val="center"/>
          </w:tcPr>
          <w:p>
            <w:pPr>
              <w:spacing w:before="30" w:after="30"/>
            </w:pPr>
            <w:r>
              <w:rPr>
                <w:rFonts w:ascii="DM Sans" w:hAnsi="DM Sans" w:cs="DM Sans"/>
                <w:b w:val="0"/>
                <w:i w:val="0"/>
                <w:color w:val="050C2A"/>
                <w:sz w:val="20"/>
                <w:u w:val="none"/>
              </w:rPr>
              <w:t>Module</w:t>
            </w:r>
          </w:p>
        </w:tc>
        <w:tc>
          <w:tcPr>
            <w:tcW w:type="dxa" w:w="698"/>
            <w:vAlign w:val="center"/>
          </w:tcPr>
          <w:p>
            <w:pPr>
              <w:spacing w:before="30" w:after="30"/>
            </w:pPr>
            <w:r>
              <w:rPr>
                <w:rFonts w:ascii="DM Sans" w:hAnsi="DM Sans" w:cs="DM Sans"/>
                <w:b w:val="0"/>
                <w:i w:val="0"/>
                <w:color w:val="050C2A"/>
                <w:sz w:val="20"/>
                <w:u w:val="none"/>
              </w:rPr>
              <w:t>20</w:t>
            </w:r>
          </w:p>
        </w:tc>
        <w:tc>
          <w:tcPr>
            <w:tcW w:type="dxa" w:w="4338"/>
            <w:vAlign w:val="center"/>
          </w:tcPr>
          <w:p>
            <w:pPr>
              <w:spacing w:before="30" w:after="30"/>
            </w:pPr>
            <w:r>
              <w:rPr>
                <w:rFonts w:ascii="DM Sans" w:hAnsi="DM Sans" w:cs="DM Sans"/>
                <w:b w:val="0"/>
                <w:i w:val="0"/>
                <w:color w:val="050C2A"/>
                <w:sz w:val="20"/>
                <w:u w:val="none"/>
              </w:rPr>
              <w:t>How to turn raw meeting notes into shared team understanding; identifying what you learned vs. what's still unclear; reconciling different team members' interpretations of what was said. Just-in-time before Kickoff Summary drafting.</w:t>
            </w:r>
          </w:p>
        </w:tc>
      </w:tr>
      <w:tr>
        <w:tc>
          <w:tcPr>
            <w:tcW w:type="dxa" w:w="631"/>
            <w:shd w:fill="F5F5F5" w:val="clear"/>
            <w:vAlign w:val="center"/>
          </w:tcPr>
          <w:p>
            <w:pPr>
              <w:spacing w:before="30" w:after="30"/>
            </w:pPr>
            <w:r>
              <w:rPr>
                <w:rFonts w:ascii="DM Sans" w:hAnsi="DM Sans" w:cs="DM Sans"/>
                <w:b w:val="0"/>
                <w:i w:val="0"/>
                <w:color w:val="050C2A"/>
                <w:sz w:val="20"/>
                <w:u w:val="none"/>
              </w:rPr>
              <w:t>3.10</w:t>
            </w:r>
          </w:p>
        </w:tc>
        <w:tc>
          <w:tcPr>
            <w:tcW w:type="dxa" w:w="1052"/>
            <w:shd w:fill="F5F5F5" w:val="clear"/>
            <w:vAlign w:val="center"/>
          </w:tcPr>
          <w:p>
            <w:pPr>
              <w:spacing w:before="30" w:after="30"/>
            </w:pPr>
            <w:r>
              <w:rPr>
                <w:rFonts w:ascii="DM Sans" w:hAnsi="DM Sans" w:cs="DM Sans"/>
                <w:b w:val="0"/>
                <w:i w:val="0"/>
                <w:color w:val="050C2A"/>
                <w:sz w:val="20"/>
                <w:u w:val="none"/>
              </w:rPr>
              <w:t>Professional Fundamentals</w:t>
            </w:r>
          </w:p>
        </w:tc>
        <w:tc>
          <w:tcPr>
            <w:tcW w:type="dxa" w:w="2084"/>
            <w:shd w:fill="F5F5F5" w:val="clear"/>
            <w:vAlign w:val="center"/>
          </w:tcPr>
          <w:p>
            <w:pPr>
              <w:spacing w:before="30" w:after="30"/>
            </w:pPr>
            <w:r>
              <w:rPr>
                <w:rFonts w:ascii="DM Sans" w:hAnsi="DM Sans" w:cs="DM Sans"/>
                <w:b w:val="0"/>
                <w:i w:val="0"/>
                <w:color w:val="050C2A"/>
                <w:sz w:val="20"/>
                <w:u w:val="none"/>
              </w:rPr>
              <w:t>Following Up Professionally — the post-meeting email</w:t>
            </w:r>
          </w:p>
        </w:tc>
        <w:tc>
          <w:tcPr>
            <w:tcW w:type="dxa" w:w="557"/>
            <w:shd w:fill="F5F5F5" w:val="clear"/>
            <w:vAlign w:val="center"/>
          </w:tcPr>
          <w:p>
            <w:pPr>
              <w:spacing w:before="30" w:after="30"/>
            </w:pPr>
            <w:r>
              <w:rPr>
                <w:rFonts w:ascii="DM Sans" w:hAnsi="DM Sans" w:cs="DM Sans"/>
                <w:b w:val="0"/>
                <w:i w:val="0"/>
                <w:color w:val="050C2A"/>
                <w:sz w:val="20"/>
                <w:u w:val="none"/>
              </w:rPr>
              <w:t>Module</w:t>
            </w:r>
          </w:p>
        </w:tc>
        <w:tc>
          <w:tcPr>
            <w:tcW w:type="dxa" w:w="698"/>
            <w:shd w:fill="F5F5F5" w:val="clear"/>
            <w:vAlign w:val="center"/>
          </w:tcPr>
          <w:p>
            <w:pPr>
              <w:spacing w:before="30" w:after="30"/>
            </w:pPr>
            <w:r>
              <w:rPr>
                <w:rFonts w:ascii="DM Sans" w:hAnsi="DM Sans" w:cs="DM Sans"/>
                <w:b w:val="0"/>
                <w:i w:val="0"/>
                <w:color w:val="050C2A"/>
                <w:sz w:val="20"/>
                <w:u w:val="none"/>
              </w:rPr>
              <w:t>15</w:t>
            </w:r>
          </w:p>
        </w:tc>
        <w:tc>
          <w:tcPr>
            <w:tcW w:type="dxa" w:w="4338"/>
            <w:shd w:fill="F5F5F5" w:val="clear"/>
            <w:vAlign w:val="center"/>
          </w:tcPr>
          <w:p>
            <w:pPr>
              <w:spacing w:before="30" w:after="30"/>
            </w:pPr>
            <w:r>
              <w:rPr>
                <w:rFonts w:ascii="DM Sans" w:hAnsi="DM Sans" w:cs="DM Sans"/>
                <w:b w:val="0"/>
                <w:i w:val="0"/>
                <w:color w:val="050C2A"/>
                <w:sz w:val="20"/>
                <w:u w:val="none"/>
              </w:rPr>
              <w:t>How to write a post-meeting follow-up email to the employer: confirming understanding, thanking them for their time, flagging any open questions. Applies Week 1 email skills in a specific post-kickoff context.</w:t>
            </w:r>
          </w:p>
        </w:tc>
      </w:tr>
      <w:tr>
        <w:tc>
          <w:tcPr>
            <w:tcW w:type="dxa" w:w="631"/>
            <w:vAlign w:val="center"/>
          </w:tcPr>
          <w:p>
            <w:pPr>
              <w:spacing w:before="30" w:after="30"/>
            </w:pPr>
            <w:r>
              <w:rPr>
                <w:rFonts w:ascii="DM Sans" w:hAnsi="DM Sans" w:cs="DM Sans"/>
                <w:b w:val="0"/>
                <w:i w:val="0"/>
                <w:color w:val="050C2A"/>
                <w:sz w:val="20"/>
                <w:u w:val="none"/>
              </w:rPr>
              <w:t>3.11</w:t>
            </w:r>
          </w:p>
        </w:tc>
        <w:tc>
          <w:tcPr>
            <w:tcW w:type="dxa" w:w="1052"/>
            <w:vAlign w:val="center"/>
          </w:tcPr>
          <w:p>
            <w:pPr>
              <w:spacing w:before="30" w:after="30"/>
            </w:pPr>
            <w:r>
              <w:rPr>
                <w:rFonts w:ascii="DM Sans" w:hAnsi="DM Sans" w:cs="DM Sans"/>
                <w:b w:val="0"/>
                <w:i w:val="0"/>
                <w:color w:val="050C2A"/>
                <w:sz w:val="20"/>
                <w:u w:val="none"/>
              </w:rPr>
              <w:t>Project Orientation</w:t>
            </w:r>
          </w:p>
        </w:tc>
        <w:tc>
          <w:tcPr>
            <w:tcW w:type="dxa" w:w="2084"/>
            <w:vAlign w:val="center"/>
          </w:tcPr>
          <w:p>
            <w:pPr>
              <w:spacing w:before="30" w:after="30"/>
            </w:pPr>
            <w:r>
              <w:rPr>
                <w:rFonts w:ascii="DM Sans" w:hAnsi="DM Sans" w:cs="DM Sans"/>
                <w:b w:val="0"/>
                <w:i w:val="0"/>
                <w:color w:val="050C2A"/>
                <w:sz w:val="20"/>
                <w:u w:val="none"/>
              </w:rPr>
              <w:t>Identifying Gaps and Open Questions</w:t>
            </w:r>
          </w:p>
        </w:tc>
        <w:tc>
          <w:tcPr>
            <w:tcW w:type="dxa" w:w="557"/>
            <w:vAlign w:val="center"/>
          </w:tcPr>
          <w:p>
            <w:pPr>
              <w:spacing w:before="30" w:after="30"/>
            </w:pPr>
            <w:r>
              <w:rPr>
                <w:rFonts w:ascii="DM Sans" w:hAnsi="DM Sans" w:cs="DM Sans"/>
                <w:b w:val="0"/>
                <w:i w:val="0"/>
                <w:color w:val="050C2A"/>
                <w:sz w:val="20"/>
                <w:u w:val="none"/>
              </w:rPr>
              <w:t>Module</w:t>
            </w:r>
          </w:p>
        </w:tc>
        <w:tc>
          <w:tcPr>
            <w:tcW w:type="dxa" w:w="698"/>
            <w:vAlign w:val="center"/>
          </w:tcPr>
          <w:p>
            <w:pPr>
              <w:spacing w:before="30" w:after="30"/>
            </w:pPr>
            <w:r>
              <w:rPr>
                <w:rFonts w:ascii="DM Sans" w:hAnsi="DM Sans" w:cs="DM Sans"/>
                <w:b w:val="0"/>
                <w:i w:val="0"/>
                <w:color w:val="050C2A"/>
                <w:sz w:val="20"/>
                <w:u w:val="none"/>
              </w:rPr>
              <w:t>10</w:t>
            </w:r>
          </w:p>
        </w:tc>
        <w:tc>
          <w:tcPr>
            <w:tcW w:type="dxa" w:w="4338"/>
            <w:vAlign w:val="center"/>
          </w:tcPr>
          <w:p>
            <w:pPr>
              <w:spacing w:before="30" w:after="30"/>
            </w:pPr>
            <w:r>
              <w:rPr>
                <w:rFonts w:ascii="DM Sans" w:hAnsi="DM Sans" w:cs="DM Sans"/>
                <w:b w:val="0"/>
                <w:i w:val="0"/>
                <w:color w:val="050C2A"/>
                <w:sz w:val="20"/>
                <w:u w:val="none"/>
              </w:rPr>
              <w:t>What don't you know yet? What assumptions are you making? How to distinguish between confirmed information and open questions. Feeds directly into the Kickoff Summary format and the post-kickoff research.</w:t>
            </w:r>
          </w:p>
        </w:tc>
      </w:tr>
      <w:tr>
        <w:tc>
          <w:tcPr>
            <w:tcW w:type="dxa" w:w="631"/>
            <w:shd w:fill="F5F5F5" w:val="clear"/>
            <w:vAlign w:val="center"/>
          </w:tcPr>
          <w:p>
            <w:pPr>
              <w:spacing w:before="30" w:after="30"/>
            </w:pPr>
            <w:r>
              <w:rPr>
                <w:rFonts w:ascii="DM Sans" w:hAnsi="DM Sans" w:cs="DM Sans"/>
                <w:b w:val="0"/>
                <w:i w:val="0"/>
                <w:color w:val="050C2A"/>
                <w:sz w:val="20"/>
                <w:u w:val="none"/>
              </w:rPr>
              <w:t>3.12</w:t>
            </w:r>
          </w:p>
        </w:tc>
        <w:tc>
          <w:tcPr>
            <w:tcW w:type="dxa" w:w="1052"/>
            <w:shd w:fill="F5F5F5" w:val="clear"/>
            <w:vAlign w:val="center"/>
          </w:tcPr>
          <w:p>
            <w:pPr>
              <w:spacing w:before="30" w:after="30"/>
            </w:pPr>
            <w:r>
              <w:rPr>
                <w:rFonts w:ascii="DM Sans" w:hAnsi="DM Sans" w:cs="DM Sans"/>
                <w:b w:val="0"/>
                <w:i w:val="0"/>
                <w:color w:val="050C2A"/>
                <w:sz w:val="20"/>
                <w:u w:val="none"/>
              </w:rPr>
              <w:t>Project Orientation</w:t>
            </w:r>
          </w:p>
        </w:tc>
        <w:tc>
          <w:tcPr>
            <w:tcW w:type="dxa" w:w="2084"/>
            <w:shd w:fill="F5F5F5" w:val="clear"/>
            <w:vAlign w:val="center"/>
          </w:tcPr>
          <w:p>
            <w:pPr>
              <w:spacing w:before="30" w:after="30"/>
            </w:pPr>
            <w:r>
              <w:rPr>
                <w:rFonts w:ascii="DM Sans" w:hAnsi="DM Sans" w:cs="DM Sans"/>
                <w:b w:val="0"/>
                <w:i w:val="0"/>
                <w:color w:val="050C2A"/>
                <w:sz w:val="20"/>
                <w:u w:val="none"/>
              </w:rPr>
              <w:t>Kickoff Summary — format, purpose, and what good looks like</w:t>
            </w:r>
          </w:p>
        </w:tc>
        <w:tc>
          <w:tcPr>
            <w:tcW w:type="dxa" w:w="557"/>
            <w:shd w:fill="F5F5F5" w:val="clear"/>
            <w:vAlign w:val="center"/>
          </w:tcPr>
          <w:p>
            <w:pPr>
              <w:spacing w:before="30" w:after="30"/>
            </w:pPr>
            <w:r>
              <w:rPr>
                <w:rFonts w:ascii="DM Sans" w:hAnsi="DM Sans" w:cs="DM Sans"/>
                <w:b w:val="0"/>
                <w:i w:val="0"/>
                <w:color w:val="050C2A"/>
                <w:sz w:val="20"/>
                <w:u w:val="none"/>
              </w:rPr>
              <w:t>Module</w:t>
            </w:r>
          </w:p>
        </w:tc>
        <w:tc>
          <w:tcPr>
            <w:tcW w:type="dxa" w:w="698"/>
            <w:shd w:fill="F5F5F5" w:val="clear"/>
            <w:vAlign w:val="center"/>
          </w:tcPr>
          <w:p>
            <w:pPr>
              <w:spacing w:before="30" w:after="30"/>
            </w:pPr>
            <w:r>
              <w:rPr>
                <w:rFonts w:ascii="DM Sans" w:hAnsi="DM Sans" w:cs="DM Sans"/>
                <w:b w:val="0"/>
                <w:i w:val="0"/>
                <w:color w:val="050C2A"/>
                <w:sz w:val="20"/>
                <w:u w:val="none"/>
              </w:rPr>
              <w:t>10</w:t>
            </w:r>
          </w:p>
        </w:tc>
        <w:tc>
          <w:tcPr>
            <w:tcW w:type="dxa" w:w="4338"/>
            <w:shd w:fill="F5F5F5" w:val="clear"/>
            <w:vAlign w:val="center"/>
          </w:tcPr>
          <w:p>
            <w:pPr>
              <w:spacing w:before="30" w:after="30"/>
            </w:pPr>
            <w:r>
              <w:rPr>
                <w:rFonts w:ascii="DM Sans" w:hAnsi="DM Sans" w:cs="DM Sans"/>
                <w:b w:val="0"/>
                <w:i w:val="0"/>
                <w:color w:val="050C2A"/>
                <w:sz w:val="20"/>
                <w:u w:val="none"/>
              </w:rPr>
              <w:t>What the Kickoff Summary is for: a factual record of the employer's stated expectations, not analysis or interpretation. What to include (confirmed scope, deliverables, success criteria, timeline, key contacts, open questions). How to distinguish confirmed information from assumptions. Completion criteria reviewed before drafting.</w:t>
            </w:r>
          </w:p>
        </w:tc>
      </w:tr>
      <w:tr>
        <w:tc>
          <w:tcPr>
            <w:tcW w:type="dxa" w:w="631"/>
            <w:vAlign w:val="center"/>
          </w:tcPr>
          <w:p>
            <w:pPr>
              <w:spacing w:before="30" w:after="30"/>
            </w:pPr>
            <w:r>
              <w:rPr>
                <w:rFonts w:ascii="DM Sans" w:hAnsi="DM Sans" w:cs="DM Sans"/>
                <w:b w:val="0"/>
                <w:i w:val="0"/>
                <w:color w:val="050C2A"/>
                <w:sz w:val="20"/>
                <w:u w:val="none"/>
              </w:rPr>
              <w:t>3.13</w:t>
            </w:r>
          </w:p>
        </w:tc>
        <w:tc>
          <w:tcPr>
            <w:tcW w:type="dxa" w:w="1052"/>
            <w:vAlign w:val="center"/>
          </w:tcPr>
          <w:p>
            <w:pPr>
              <w:spacing w:before="30" w:after="30"/>
            </w:pPr>
            <w:r>
              <w:rPr>
                <w:rFonts w:ascii="DM Sans" w:hAnsi="DM Sans" w:cs="DM Sans"/>
                <w:b w:val="0"/>
                <w:i w:val="0"/>
                <w:color w:val="050C2A"/>
                <w:sz w:val="20"/>
                <w:u w:val="none"/>
              </w:rPr>
              <w:t>Project Work</w:t>
            </w:r>
          </w:p>
        </w:tc>
        <w:tc>
          <w:tcPr>
            <w:tcW w:type="dxa" w:w="2084"/>
            <w:vAlign w:val="center"/>
          </w:tcPr>
          <w:p>
            <w:pPr>
              <w:spacing w:before="30" w:after="30"/>
            </w:pPr>
            <w:r>
              <w:rPr>
                <w:rFonts w:ascii="DM Sans" w:hAnsi="DM Sans" w:cs="DM Sans"/>
                <w:b w:val="0"/>
                <w:i w:val="0"/>
                <w:color w:val="050C2A"/>
                <w:sz w:val="20"/>
                <w:u w:val="none"/>
              </w:rPr>
              <w:t>Draft, review, and submit Kickoff Summary</w:t>
            </w:r>
          </w:p>
        </w:tc>
        <w:tc>
          <w:tcPr>
            <w:tcW w:type="dxa" w:w="557"/>
            <w:vAlign w:val="center"/>
          </w:tcPr>
          <w:p>
            <w:pPr>
              <w:spacing w:before="30" w:after="30"/>
            </w:pPr>
            <w:r>
              <w:rPr>
                <w:rFonts w:ascii="DM Sans" w:hAnsi="DM Sans" w:cs="DM Sans"/>
                <w:b w:val="0"/>
                <w:i w:val="0"/>
                <w:color w:val="050C2A"/>
                <w:sz w:val="20"/>
                <w:u w:val="none"/>
              </w:rPr>
              <w:t>Project</w:t>
            </w:r>
          </w:p>
        </w:tc>
        <w:tc>
          <w:tcPr>
            <w:tcW w:type="dxa" w:w="698"/>
            <w:vAlign w:val="center"/>
          </w:tcPr>
          <w:p>
            <w:pPr>
              <w:spacing w:before="30" w:after="30"/>
            </w:pPr>
            <w:r>
              <w:rPr>
                <w:rFonts w:ascii="DM Sans" w:hAnsi="DM Sans" w:cs="DM Sans"/>
                <w:b w:val="0"/>
                <w:i w:val="0"/>
                <w:color w:val="050C2A"/>
                <w:sz w:val="20"/>
                <w:u w:val="none"/>
              </w:rPr>
              <w:t>120</w:t>
            </w:r>
          </w:p>
        </w:tc>
        <w:tc>
          <w:tcPr>
            <w:tcW w:type="dxa" w:w="4338"/>
            <w:vAlign w:val="center"/>
          </w:tcPr>
          <w:p>
            <w:pPr>
              <w:spacing w:before="30" w:after="30"/>
            </w:pPr>
            <w:r>
              <w:rPr>
                <w:rFonts w:ascii="DM Sans" w:hAnsi="DM Sans" w:cs="DM Sans"/>
                <w:b w:val="0"/>
                <w:i w:val="0"/>
                <w:color w:val="050C2A"/>
                <w:sz w:val="20"/>
                <w:u w:val="none"/>
              </w:rPr>
              <w:t>One team member drafts; all members review and agree on accuracy before submission. 120 min reflects the full cycle: drafting, async back-and-forth, revisions, and final submission. AI-assisted organization permitted with disclosure; the content must reflect what was actually said.</w:t>
            </w:r>
          </w:p>
        </w:tc>
      </w:tr>
      <w:tr>
        <w:tc>
          <w:tcPr>
            <w:tcW w:type="dxa" w:w="631"/>
            <w:shd w:fill="F5F5F5" w:val="clear"/>
            <w:vAlign w:val="center"/>
          </w:tcPr>
          <w:p>
            <w:pPr>
              <w:spacing w:before="30" w:after="30"/>
            </w:pPr>
            <w:r>
              <w:rPr>
                <w:rFonts w:ascii="DM Sans" w:hAnsi="DM Sans" w:cs="DM Sans"/>
                <w:b w:val="0"/>
                <w:i w:val="0"/>
                <w:color w:val="050C2A"/>
                <w:sz w:val="20"/>
                <w:u w:val="none"/>
              </w:rPr>
              <w:t>3.14</w:t>
            </w:r>
          </w:p>
        </w:tc>
        <w:tc>
          <w:tcPr>
            <w:tcW w:type="dxa" w:w="1052"/>
            <w:shd w:fill="F5F5F5" w:val="clear"/>
            <w:vAlign w:val="center"/>
          </w:tcPr>
          <w:p>
            <w:pPr>
              <w:spacing w:before="30" w:after="30"/>
            </w:pPr>
            <w:r>
              <w:rPr>
                <w:rFonts w:ascii="DM Sans" w:hAnsi="DM Sans" w:cs="DM Sans"/>
                <w:b w:val="0"/>
                <w:i w:val="0"/>
                <w:color w:val="050C2A"/>
                <w:sz w:val="20"/>
                <w:u w:val="none"/>
              </w:rPr>
              <w:t>Project Orientation</w:t>
            </w:r>
          </w:p>
        </w:tc>
        <w:tc>
          <w:tcPr>
            <w:tcW w:type="dxa" w:w="2084"/>
            <w:shd w:fill="F5F5F5" w:val="clear"/>
            <w:vAlign w:val="center"/>
          </w:tcPr>
          <w:p>
            <w:pPr>
              <w:spacing w:before="30" w:after="30"/>
            </w:pPr>
            <w:r>
              <w:rPr>
                <w:rFonts w:ascii="DM Sans" w:hAnsi="DM Sans" w:cs="DM Sans"/>
                <w:b w:val="0"/>
                <w:i w:val="0"/>
                <w:color w:val="050C2A"/>
                <w:sz w:val="20"/>
                <w:u w:val="none"/>
              </w:rPr>
              <w:t>Researching Your Client's Context — targeted landscape primer</w:t>
            </w:r>
          </w:p>
        </w:tc>
        <w:tc>
          <w:tcPr>
            <w:tcW w:type="dxa" w:w="557"/>
            <w:shd w:fill="F5F5F5" w:val="clear"/>
            <w:vAlign w:val="center"/>
          </w:tcPr>
          <w:p>
            <w:pPr>
              <w:spacing w:before="30" w:after="30"/>
            </w:pPr>
            <w:r>
              <w:rPr>
                <w:rFonts w:ascii="DM Sans" w:hAnsi="DM Sans" w:cs="DM Sans"/>
                <w:b w:val="0"/>
                <w:i w:val="0"/>
                <w:color w:val="050C2A"/>
                <w:sz w:val="20"/>
                <w:u w:val="none"/>
              </w:rPr>
              <w:t>Module</w:t>
            </w:r>
          </w:p>
        </w:tc>
        <w:tc>
          <w:tcPr>
            <w:tcW w:type="dxa" w:w="698"/>
            <w:shd w:fill="F5F5F5" w:val="clear"/>
            <w:vAlign w:val="center"/>
          </w:tcPr>
          <w:p>
            <w:pPr>
              <w:spacing w:before="30" w:after="30"/>
            </w:pPr>
            <w:r>
              <w:rPr>
                <w:rFonts w:ascii="DM Sans" w:hAnsi="DM Sans" w:cs="DM Sans"/>
                <w:b w:val="0"/>
                <w:i w:val="0"/>
                <w:color w:val="050C2A"/>
                <w:sz w:val="20"/>
                <w:u w:val="none"/>
              </w:rPr>
              <w:t>15</w:t>
            </w:r>
          </w:p>
        </w:tc>
        <w:tc>
          <w:tcPr>
            <w:tcW w:type="dxa" w:w="4338"/>
            <w:shd w:fill="F5F5F5" w:val="clear"/>
            <w:vAlign w:val="center"/>
          </w:tcPr>
          <w:p>
            <w:pPr>
              <w:spacing w:before="30" w:after="30"/>
            </w:pPr>
            <w:r>
              <w:rPr>
                <w:rFonts w:ascii="DM Sans" w:hAnsi="DM Sans" w:cs="DM Sans"/>
                <w:b w:val="0"/>
                <w:i w:val="0"/>
                <w:color w:val="050C2A"/>
                <w:sz w:val="20"/>
                <w:u w:val="none"/>
              </w:rPr>
              <w:t>Part 2 of the research skills progression (Week 2 = reconnaissance, Week 3 = targeted landscape, Week 4 = analytical synthesis). Now that students know the actual project scope from the kickoff, they can research with direction. Where to look, what you're trying to understand, how to organize findings before you can synthesize them.</w:t>
            </w:r>
          </w:p>
        </w:tc>
      </w:tr>
      <w:tr>
        <w:tc>
          <w:tcPr>
            <w:tcW w:type="dxa" w:w="631"/>
            <w:vAlign w:val="center"/>
          </w:tcPr>
          <w:p>
            <w:pPr>
              <w:spacing w:before="30" w:after="30"/>
            </w:pPr>
            <w:r>
              <w:rPr>
                <w:rFonts w:ascii="DM Sans" w:hAnsi="DM Sans" w:cs="DM Sans"/>
                <w:b w:val="0"/>
                <w:i w:val="0"/>
                <w:color w:val="050C2A"/>
                <w:sz w:val="20"/>
                <w:u w:val="none"/>
              </w:rPr>
              <w:t>3.15</w:t>
            </w:r>
          </w:p>
        </w:tc>
        <w:tc>
          <w:tcPr>
            <w:tcW w:type="dxa" w:w="1052"/>
            <w:vAlign w:val="center"/>
          </w:tcPr>
          <w:p>
            <w:pPr>
              <w:spacing w:before="30" w:after="30"/>
            </w:pPr>
            <w:r>
              <w:rPr>
                <w:rFonts w:ascii="DM Sans" w:hAnsi="DM Sans" w:cs="DM Sans"/>
                <w:b w:val="0"/>
                <w:i w:val="0"/>
                <w:color w:val="050C2A"/>
                <w:sz w:val="20"/>
                <w:u w:val="none"/>
              </w:rPr>
              <w:t>Project Work</w:t>
            </w:r>
          </w:p>
        </w:tc>
        <w:tc>
          <w:tcPr>
            <w:tcW w:type="dxa" w:w="2084"/>
            <w:vAlign w:val="center"/>
          </w:tcPr>
          <w:p>
            <w:pPr>
              <w:spacing w:before="30" w:after="30"/>
            </w:pPr>
            <w:r>
              <w:rPr>
                <w:rFonts w:ascii="DM Sans" w:hAnsi="DM Sans" w:cs="DM Sans"/>
                <w:b w:val="0"/>
                <w:i w:val="0"/>
                <w:color w:val="050C2A"/>
                <w:sz w:val="20"/>
                <w:u w:val="none"/>
              </w:rPr>
              <w:t>Post-kickoff research — targeted landscape orientation</w:t>
            </w:r>
          </w:p>
        </w:tc>
        <w:tc>
          <w:tcPr>
            <w:tcW w:type="dxa" w:w="557"/>
            <w:vAlign w:val="center"/>
          </w:tcPr>
          <w:p>
            <w:pPr>
              <w:spacing w:before="30" w:after="30"/>
            </w:pPr>
            <w:r>
              <w:rPr>
                <w:rFonts w:ascii="DM Sans" w:hAnsi="DM Sans" w:cs="DM Sans"/>
                <w:b w:val="0"/>
                <w:i w:val="0"/>
                <w:color w:val="050C2A"/>
                <w:sz w:val="20"/>
                <w:u w:val="none"/>
              </w:rPr>
              <w:t>Project</w:t>
            </w:r>
          </w:p>
        </w:tc>
        <w:tc>
          <w:tcPr>
            <w:tcW w:type="dxa" w:w="698"/>
            <w:vAlign w:val="center"/>
          </w:tcPr>
          <w:p>
            <w:pPr>
              <w:spacing w:before="30" w:after="30"/>
            </w:pPr>
            <w:r>
              <w:rPr>
                <w:rFonts w:ascii="DM Sans" w:hAnsi="DM Sans" w:cs="DM Sans"/>
                <w:b w:val="0"/>
                <w:i w:val="0"/>
                <w:color w:val="050C2A"/>
                <w:sz w:val="20"/>
                <w:u w:val="none"/>
              </w:rPr>
              <w:t>90</w:t>
            </w:r>
          </w:p>
        </w:tc>
        <w:tc>
          <w:tcPr>
            <w:tcW w:type="dxa" w:w="4338"/>
            <w:vAlign w:val="center"/>
          </w:tcPr>
          <w:p>
            <w:pPr>
              <w:spacing w:before="30" w:after="30"/>
            </w:pPr>
            <w:r>
              <w:rPr>
                <w:rFonts w:ascii="DM Sans" w:hAnsi="DM Sans" w:cs="DM Sans"/>
                <w:b w:val="0"/>
                <w:i w:val="0"/>
                <w:color w:val="050C2A"/>
                <w:sz w:val="20"/>
                <w:u w:val="none"/>
              </w:rPr>
              <w:t>Students research the competitive landscape and sector context relevant to their specific project scope. More targeted than Week 2 reconnaissance because scope is now confirmed. Feeds directly into Week 4 Context Analysis.</w:t>
            </w:r>
          </w:p>
        </w:tc>
      </w:tr>
      <w:tr>
        <w:tc>
          <w:tcPr>
            <w:tcW w:type="dxa" w:w="631"/>
            <w:shd w:fill="F5F5F5" w:val="clear"/>
            <w:vAlign w:val="center"/>
          </w:tcPr>
          <w:p>
            <w:pPr>
              <w:spacing w:before="30" w:after="30"/>
            </w:pPr>
            <w:r>
              <w:rPr>
                <w:rFonts w:ascii="DM Sans" w:hAnsi="DM Sans" w:cs="DM Sans"/>
                <w:b w:val="0"/>
                <w:i w:val="0"/>
                <w:color w:val="050C2A"/>
                <w:sz w:val="20"/>
                <w:u w:val="none"/>
              </w:rPr>
              <w:t>3.16</w:t>
            </w:r>
          </w:p>
        </w:tc>
        <w:tc>
          <w:tcPr>
            <w:tcW w:type="dxa" w:w="1052"/>
            <w:shd w:fill="F5F5F5" w:val="clear"/>
            <w:vAlign w:val="center"/>
          </w:tcPr>
          <w:p>
            <w:pPr>
              <w:spacing w:before="30" w:after="30"/>
            </w:pPr>
            <w:r>
              <w:rPr>
                <w:rFonts w:ascii="DM Sans" w:hAnsi="DM Sans" w:cs="DM Sans"/>
                <w:b w:val="0"/>
                <w:i w:val="0"/>
                <w:color w:val="050C2A"/>
                <w:sz w:val="20"/>
                <w:u w:val="none"/>
              </w:rPr>
              <w:t>Project Orientation</w:t>
            </w:r>
          </w:p>
        </w:tc>
        <w:tc>
          <w:tcPr>
            <w:tcW w:type="dxa" w:w="2084"/>
            <w:shd w:fill="F5F5F5" w:val="clear"/>
            <w:vAlign w:val="center"/>
          </w:tcPr>
          <w:p>
            <w:pPr>
              <w:spacing w:before="30" w:after="30"/>
            </w:pPr>
            <w:r>
              <w:rPr>
                <w:rFonts w:ascii="DM Sans" w:hAnsi="DM Sans" w:cs="DM Sans"/>
                <w:b w:val="0"/>
                <w:i w:val="0"/>
                <w:color w:val="050C2A"/>
                <w:sz w:val="20"/>
                <w:u w:val="none"/>
              </w:rPr>
              <w:t>Looking Ahead — Introduction to the Project Plan</w:t>
            </w:r>
          </w:p>
        </w:tc>
        <w:tc>
          <w:tcPr>
            <w:tcW w:type="dxa" w:w="557"/>
            <w:shd w:fill="F5F5F5" w:val="clear"/>
            <w:vAlign w:val="center"/>
          </w:tcPr>
          <w:p>
            <w:pPr>
              <w:spacing w:before="30" w:after="30"/>
            </w:pPr>
            <w:r>
              <w:rPr>
                <w:rFonts w:ascii="DM Sans" w:hAnsi="DM Sans" w:cs="DM Sans"/>
                <w:b w:val="0"/>
                <w:i w:val="0"/>
                <w:color w:val="050C2A"/>
                <w:sz w:val="20"/>
                <w:u w:val="none"/>
              </w:rPr>
              <w:t>Module</w:t>
            </w:r>
          </w:p>
        </w:tc>
        <w:tc>
          <w:tcPr>
            <w:tcW w:type="dxa" w:w="698"/>
            <w:shd w:fill="F5F5F5" w:val="clear"/>
            <w:vAlign w:val="center"/>
          </w:tcPr>
          <w:p>
            <w:pPr>
              <w:spacing w:before="30" w:after="30"/>
            </w:pPr>
            <w:r>
              <w:rPr>
                <w:rFonts w:ascii="DM Sans" w:hAnsi="DM Sans" w:cs="DM Sans"/>
                <w:b w:val="0"/>
                <w:i w:val="0"/>
                <w:color w:val="050C2A"/>
                <w:sz w:val="20"/>
                <w:u w:val="none"/>
              </w:rPr>
              <w:t>15</w:t>
            </w:r>
          </w:p>
        </w:tc>
        <w:tc>
          <w:tcPr>
            <w:tcW w:type="dxa" w:w="4338"/>
            <w:shd w:fill="F5F5F5" w:val="clear"/>
            <w:vAlign w:val="center"/>
          </w:tcPr>
          <w:p>
            <w:pPr>
              <w:spacing w:before="30" w:after="30"/>
            </w:pPr>
            <w:r>
              <w:rPr>
                <w:rFonts w:ascii="DM Sans" w:hAnsi="DM Sans" w:cs="DM Sans"/>
                <w:b w:val="0"/>
                <w:i w:val="0"/>
                <w:color w:val="050C2A"/>
                <w:sz w:val="20"/>
                <w:u w:val="none"/>
              </w:rPr>
              <w:t>Just-in-time preview before Week 4's graded deliverable. What a project plan is for, what goes in it, how it connects to the Context Analysis. Not full instruction — forward preparation only so students arrive in Week 4 primed.</w:t>
            </w:r>
          </w:p>
        </w:tc>
      </w:tr>
      <w:tr>
        <w:tc>
          <w:tcPr>
            <w:tcW w:type="dxa" w:w="631"/>
            <w:vAlign w:val="center"/>
          </w:tcPr>
          <w:p>
            <w:pPr>
              <w:spacing w:before="30" w:after="30"/>
            </w:pPr>
            <w:r>
              <w:rPr>
                <w:rFonts w:ascii="DM Sans" w:hAnsi="DM Sans" w:cs="DM Sans"/>
                <w:b w:val="0"/>
                <w:i w:val="0"/>
                <w:color w:val="050C2A"/>
                <w:sz w:val="20"/>
                <w:u w:val="none"/>
              </w:rPr>
              <w:t>3.17</w:t>
            </w:r>
          </w:p>
        </w:tc>
        <w:tc>
          <w:tcPr>
            <w:tcW w:type="dxa" w:w="1052"/>
            <w:vAlign w:val="center"/>
          </w:tcPr>
          <w:p>
            <w:pPr>
              <w:spacing w:before="30" w:after="30"/>
            </w:pPr>
            <w:r>
              <w:rPr>
                <w:rFonts w:ascii="DM Sans" w:hAnsi="DM Sans" w:cs="DM Sans"/>
                <w:b w:val="0"/>
                <w:i w:val="0"/>
                <w:color w:val="050C2A"/>
                <w:sz w:val="20"/>
                <w:u w:val="none"/>
              </w:rPr>
              <w:t>Admin</w:t>
            </w:r>
          </w:p>
        </w:tc>
        <w:tc>
          <w:tcPr>
            <w:tcW w:type="dxa" w:w="2084"/>
            <w:vAlign w:val="center"/>
          </w:tcPr>
          <w:p>
            <w:pPr>
              <w:spacing w:before="30" w:after="30"/>
            </w:pPr>
            <w:r>
              <w:rPr>
                <w:rFonts w:ascii="DM Sans" w:hAnsi="DM Sans" w:cs="DM Sans"/>
                <w:b w:val="0"/>
                <w:i w:val="0"/>
                <w:color w:val="050C2A"/>
                <w:sz w:val="20"/>
                <w:u w:val="none"/>
              </w:rPr>
              <w:t>Async team communication + admin across the week</w:t>
            </w:r>
          </w:p>
        </w:tc>
        <w:tc>
          <w:tcPr>
            <w:tcW w:type="dxa" w:w="557"/>
            <w:vAlign w:val="center"/>
          </w:tcPr>
          <w:p>
            <w:pPr>
              <w:spacing w:before="30" w:after="30"/>
            </w:pPr>
            <w:r>
              <w:rPr>
                <w:rFonts w:ascii="DM Sans" w:hAnsi="DM Sans" w:cs="DM Sans"/>
                <w:b w:val="0"/>
                <w:i w:val="0"/>
                <w:color w:val="050C2A"/>
                <w:sz w:val="20"/>
                <w:u w:val="none"/>
              </w:rPr>
              <w:t>Admin</w:t>
            </w:r>
          </w:p>
        </w:tc>
        <w:tc>
          <w:tcPr>
            <w:tcW w:type="dxa" w:w="698"/>
            <w:vAlign w:val="center"/>
          </w:tcPr>
          <w:p>
            <w:pPr>
              <w:spacing w:before="30" w:after="30"/>
            </w:pPr>
            <w:r>
              <w:rPr>
                <w:rFonts w:ascii="DM Sans" w:hAnsi="DM Sans" w:cs="DM Sans"/>
                <w:b w:val="0"/>
                <w:i w:val="0"/>
                <w:color w:val="050C2A"/>
                <w:sz w:val="20"/>
                <w:u w:val="none"/>
              </w:rPr>
              <w:t>45</w:t>
            </w:r>
          </w:p>
        </w:tc>
        <w:tc>
          <w:tcPr>
            <w:tcW w:type="dxa" w:w="4338"/>
            <w:vAlign w:val="center"/>
          </w:tcPr>
          <w:p>
            <w:pPr>
              <w:spacing w:before="30" w:after="30"/>
            </w:pPr>
            <w:r>
              <w:rPr>
                <w:rFonts w:ascii="DM Sans" w:hAnsi="DM Sans" w:cs="DM Sans"/>
                <w:b w:val="0"/>
                <w:i w:val="0"/>
                <w:color w:val="050C2A"/>
                <w:sz w:val="20"/>
                <w:u w:val="none"/>
              </w:rPr>
              <w:t>Coordination outside of synchronous meetings; platform logistics; any follow-up admin tasks. Higher than Week 2 async because the kickoff meeting generates more coordination needs.</w:t>
            </w:r>
          </w:p>
        </w:tc>
      </w:tr>
      <w:tr>
        <w:tc>
          <w:tcPr>
            <w:tcW w:type="dxa" w:w="631"/>
            <w:shd w:fill="F5F5F5" w:val="clear"/>
            <w:vAlign w:val="center"/>
          </w:tcPr>
          <w:p>
            <w:pPr>
              <w:spacing w:before="30" w:after="30"/>
            </w:pPr>
            <w:r>
              <w:rPr>
                <w:rFonts w:ascii="DM Sans" w:hAnsi="DM Sans" w:cs="DM Sans"/>
                <w:b w:val="0"/>
                <w:i w:val="0"/>
                <w:color w:val="050C2A"/>
                <w:sz w:val="20"/>
                <w:u w:val="none"/>
              </w:rPr>
              <w:t>3.18</w:t>
            </w:r>
          </w:p>
        </w:tc>
        <w:tc>
          <w:tcPr>
            <w:tcW w:type="dxa" w:w="1052"/>
            <w:shd w:fill="F5F5F5" w:val="clear"/>
            <w:vAlign w:val="center"/>
          </w:tcPr>
          <w:p>
            <w:pPr>
              <w:spacing w:before="30" w:after="30"/>
            </w:pPr>
            <w:r>
              <w:rPr>
                <w:rFonts w:ascii="DM Sans" w:hAnsi="DM Sans" w:cs="DM Sans"/>
                <w:b w:val="0"/>
                <w:i w:val="0"/>
                <w:color w:val="050C2A"/>
                <w:sz w:val="20"/>
                <w:u w:val="none"/>
              </w:rPr>
              <w:t>Reflection &amp; Assessment</w:t>
            </w:r>
          </w:p>
        </w:tc>
        <w:tc>
          <w:tcPr>
            <w:tcW w:type="dxa" w:w="2084"/>
            <w:shd w:fill="F5F5F5" w:val="clear"/>
            <w:vAlign w:val="center"/>
          </w:tcPr>
          <w:p>
            <w:pPr>
              <w:spacing w:before="30" w:after="30"/>
            </w:pPr>
            <w:r>
              <w:rPr>
                <w:rFonts w:ascii="DM Sans" w:hAnsi="DM Sans" w:cs="DM Sans"/>
                <w:b w:val="0"/>
                <w:i w:val="0"/>
                <w:color w:val="050C2A"/>
                <w:sz w:val="20"/>
                <w:u w:val="none"/>
              </w:rPr>
              <w:t>Reflection #1 — draft and submit (DEAL model)</w:t>
            </w:r>
          </w:p>
        </w:tc>
        <w:tc>
          <w:tcPr>
            <w:tcW w:type="dxa" w:w="557"/>
            <w:shd w:fill="F5F5F5" w:val="clear"/>
            <w:vAlign w:val="center"/>
          </w:tcPr>
          <w:p>
            <w:pPr>
              <w:spacing w:before="30" w:after="30"/>
            </w:pPr>
            <w:r>
              <w:rPr>
                <w:rFonts w:ascii="DM Sans" w:hAnsi="DM Sans" w:cs="DM Sans"/>
                <w:b w:val="0"/>
                <w:i w:val="0"/>
                <w:color w:val="050C2A"/>
                <w:sz w:val="20"/>
                <w:u w:val="none"/>
              </w:rPr>
              <w:t>Project</w:t>
            </w:r>
          </w:p>
        </w:tc>
        <w:tc>
          <w:tcPr>
            <w:tcW w:type="dxa" w:w="698"/>
            <w:shd w:fill="F5F5F5" w:val="clear"/>
            <w:vAlign w:val="center"/>
          </w:tcPr>
          <w:p>
            <w:pPr>
              <w:spacing w:before="30" w:after="30"/>
            </w:pPr>
            <w:r>
              <w:rPr>
                <w:rFonts w:ascii="DM Sans" w:hAnsi="DM Sans" w:cs="DM Sans"/>
                <w:b w:val="0"/>
                <w:i w:val="0"/>
                <w:color w:val="050C2A"/>
                <w:sz w:val="20"/>
                <w:u w:val="none"/>
              </w:rPr>
              <w:t>90</w:t>
            </w:r>
          </w:p>
        </w:tc>
        <w:tc>
          <w:tcPr>
            <w:tcW w:type="dxa" w:w="4338"/>
            <w:shd w:fill="F5F5F5" w:val="clear"/>
            <w:vAlign w:val="center"/>
          </w:tcPr>
          <w:p>
            <w:pPr>
              <w:spacing w:before="30" w:after="30"/>
            </w:pPr>
            <w:r>
              <w:rPr>
                <w:rFonts w:ascii="DM Sans" w:hAnsi="DM Sans" w:cs="DM Sans"/>
                <w:b w:val="0"/>
                <w:i w:val="0"/>
                <w:color w:val="050C2A"/>
                <w:sz w:val="20"/>
                <w:u w:val="none"/>
              </w:rPr>
              <w:t>Graded individual submission (~5% of final grade); students draw from Foundation phase experience (Weeks 1–3); first DEAL reflection in the course — include DEAL reference sheet and pro tip on using AI for reflection within the assignment prompt; sequenced after kickoff so students have a significant experience to draw from; submitted via Riipen platform; AI disclosure required; 90 min standardized across all reflections</w:t>
            </w:r>
          </w:p>
        </w:tc>
      </w:tr>
      <w:tr>
        <w:tc>
          <w:tcPr>
            <w:tcW w:type="dxa" w:w="631"/>
            <w:vAlign w:val="center"/>
          </w:tcPr>
          <w:p>
            <w:pPr>
              <w:spacing w:before="30" w:after="30"/>
            </w:pPr>
            <w:r>
              <w:rPr>
                <w:rFonts w:ascii="DM Sans" w:hAnsi="DM Sans" w:cs="DM Sans"/>
                <w:b/>
                <w:i w:val="0"/>
                <w:color w:val="050C2A"/>
                <w:sz w:val="20"/>
                <w:u w:val="none"/>
              </w:rPr>
              <w:t>TOTAL</w:t>
            </w:r>
          </w:p>
        </w:tc>
        <w:tc>
          <w:tcPr>
            <w:tcW w:type="dxa" w:w="1052"/>
            <w:vAlign w:val="center"/>
          </w:tcPr>
          <w:p>
            <w:pPr>
              <w:spacing w:before="30" w:after="30"/>
            </w:pPr>
          </w:p>
        </w:tc>
        <w:tc>
          <w:tcPr>
            <w:tcW w:type="dxa" w:w="2084"/>
            <w:vAlign w:val="center"/>
          </w:tcPr>
          <w:p>
            <w:pPr>
              <w:spacing w:before="30" w:after="30"/>
            </w:pPr>
          </w:p>
        </w:tc>
        <w:tc>
          <w:tcPr>
            <w:tcW w:type="dxa" w:w="557"/>
            <w:vAlign w:val="center"/>
          </w:tcPr>
          <w:p>
            <w:pPr>
              <w:spacing w:before="30" w:after="30"/>
            </w:pPr>
          </w:p>
        </w:tc>
        <w:tc>
          <w:tcPr>
            <w:tcW w:type="dxa" w:w="698"/>
            <w:vAlign w:val="center"/>
          </w:tcPr>
          <w:p>
            <w:pPr>
              <w:spacing w:before="30" w:after="30"/>
            </w:pPr>
            <w:r>
              <w:rPr>
                <w:rFonts w:ascii="DM Sans" w:hAnsi="DM Sans" w:cs="DM Sans"/>
                <w:b/>
                <w:i w:val="0"/>
                <w:color w:val="050C2A"/>
                <w:sz w:val="20"/>
                <w:u w:val="none"/>
              </w:rPr>
              <w:t>635 min</w:t>
            </w:r>
          </w:p>
        </w:tc>
        <w:tc>
          <w:tcPr>
            <w:tcW w:type="dxa" w:w="4338"/>
            <w:vAlign w:val="center"/>
          </w:tcPr>
          <w:p>
            <w:pPr>
              <w:spacing w:before="30" w:after="30"/>
            </w:pPr>
            <w:r>
              <w:rPr>
                <w:rFonts w:ascii="DM Sans" w:hAnsi="DM Sans" w:cs="DM Sans"/>
                <w:b/>
                <w:i w:val="0"/>
                <w:color w:val="050C2A"/>
                <w:sz w:val="20"/>
                <w:u w:val="none"/>
              </w:rPr>
              <w:t>~10 hrs 35 min</w:t>
            </w:r>
          </w:p>
        </w:tc>
      </w:tr>
    </w:tbl>
    <w:p>
      <w:pPr>
        <w:spacing w:before="0" w:after="120"/>
      </w:pPr>
    </w:p>
    <w:p>
      <w:pPr>
        <w:spacing w:before="360" w:after="120"/>
      </w:pPr>
      <w:r>
        <w:rPr>
          <w:rFonts w:ascii="DM Sans" w:hAnsi="DM Sans" w:cs="DM Sans"/>
          <w:b/>
          <w:i w:val="0"/>
          <w:color w:val="050C2A"/>
          <w:sz w:val="34"/>
          <w:u w:val="none"/>
        </w:rPr>
        <w:t>Competency Alignment</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1589"/>
            <w:shd w:fill="FF7C0A" w:val="clear"/>
            <w:vAlign w:val="center"/>
          </w:tcPr>
          <w:p>
            <w:pPr>
              <w:jc w:val="left"/>
              <w:spacing w:before="40" w:after="40"/>
            </w:pPr>
            <w:r>
              <w:rPr>
                <w:rFonts w:ascii="DM Sans" w:hAnsi="DM Sans" w:cs="DM Sans"/>
                <w:b/>
                <w:i w:val="0"/>
                <w:color w:val="FFFFFF"/>
                <w:sz w:val="20"/>
                <w:u w:val="none"/>
              </w:rPr>
              <w:t>Competency Area</w:t>
            </w:r>
          </w:p>
        </w:tc>
        <w:tc>
          <w:tcPr>
            <w:tcW w:type="dxa" w:w="1446"/>
            <w:shd w:fill="FF7C0A" w:val="clear"/>
            <w:vAlign w:val="center"/>
          </w:tcPr>
          <w:p>
            <w:pPr>
              <w:jc w:val="left"/>
              <w:spacing w:before="40" w:after="40"/>
            </w:pPr>
            <w:r>
              <w:rPr>
                <w:rFonts w:ascii="DM Sans" w:hAnsi="DM Sans" w:cs="DM Sans"/>
                <w:b/>
                <w:i w:val="0"/>
                <w:color w:val="FFFFFF"/>
                <w:sz w:val="20"/>
                <w:u w:val="none"/>
              </w:rPr>
              <w:t>Subskill</w:t>
            </w:r>
          </w:p>
        </w:tc>
        <w:tc>
          <w:tcPr>
            <w:tcW w:type="dxa" w:w="6325"/>
            <w:shd w:fill="FF7C0A" w:val="clear"/>
            <w:vAlign w:val="center"/>
          </w:tcPr>
          <w:p>
            <w:pPr>
              <w:jc w:val="left"/>
              <w:spacing w:before="40" w:after="40"/>
            </w:pPr>
            <w:r>
              <w:rPr>
                <w:rFonts w:ascii="DM Sans" w:hAnsi="DM Sans" w:cs="DM Sans"/>
                <w:b/>
                <w:i w:val="0"/>
                <w:color w:val="FFFFFF"/>
                <w:sz w:val="20"/>
                <w:u w:val="none"/>
              </w:rPr>
              <w:t>How This Week Builds It</w:t>
            </w:r>
          </w:p>
        </w:tc>
      </w:tr>
      <w:tr>
        <w:tc>
          <w:tcPr>
            <w:tcW w:type="dxa" w:w="1589"/>
            <w:vAlign w:val="center"/>
          </w:tcPr>
          <w:p>
            <w:pPr>
              <w:spacing w:before="30" w:after="30"/>
            </w:pPr>
            <w:r>
              <w:rPr>
                <w:rFonts w:ascii="DM Sans" w:hAnsi="DM Sans" w:cs="DM Sans"/>
                <w:b/>
                <w:i w:val="0"/>
                <w:color w:val="050C2A"/>
                <w:sz w:val="20"/>
                <w:u w:val="none"/>
              </w:rPr>
              <w:t>Communication</w:t>
            </w:r>
          </w:p>
        </w:tc>
        <w:tc>
          <w:tcPr>
            <w:tcW w:type="dxa" w:w="1446"/>
            <w:vAlign w:val="center"/>
          </w:tcPr>
          <w:p>
            <w:pPr>
              <w:spacing w:before="30" w:after="30"/>
            </w:pPr>
            <w:r>
              <w:rPr>
                <w:rFonts w:ascii="DM Sans" w:hAnsi="DM Sans" w:cs="DM Sans"/>
                <w:b w:val="0"/>
                <w:i w:val="0"/>
                <w:color w:val="050C2A"/>
                <w:sz w:val="20"/>
                <w:u w:val="none"/>
              </w:rPr>
              <w:t>Active listening</w:t>
            </w:r>
          </w:p>
        </w:tc>
        <w:tc>
          <w:tcPr>
            <w:tcW w:type="dxa" w:w="6325"/>
            <w:vAlign w:val="center"/>
          </w:tcPr>
          <w:p>
            <w:pPr>
              <w:spacing w:before="30" w:after="30"/>
            </w:pPr>
            <w:r>
              <w:rPr>
                <w:rFonts w:ascii="DM Sans" w:hAnsi="DM Sans" w:cs="DM Sans"/>
                <w:b w:val="0"/>
                <w:i w:val="0"/>
                <w:color w:val="050C2A"/>
                <w:sz w:val="20"/>
                <w:u w:val="none"/>
              </w:rPr>
              <w:t>The Professional Video Call Etiquette and Asking Good Questions modules (carried from Week 2) frame active listening as a practiced skill before students are in a live professional meeting; the kickoff itself is the first high-stakes application</w:t>
            </w:r>
          </w:p>
        </w:tc>
      </w:tr>
      <w:tr>
        <w:tc>
          <w:tcPr>
            <w:tcW w:type="dxa" w:w="1589"/>
            <w:shd w:fill="F5F5F5" w:val="clear"/>
            <w:vAlign w:val="center"/>
          </w:tcPr>
          <w:p>
            <w:pPr>
              <w:spacing w:before="30" w:after="30"/>
            </w:pPr>
            <w:r>
              <w:rPr>
                <w:rFonts w:ascii="DM Sans" w:hAnsi="DM Sans" w:cs="DM Sans"/>
                <w:b/>
                <w:i w:val="0"/>
                <w:color w:val="050C2A"/>
                <w:sz w:val="20"/>
                <w:u w:val="none"/>
              </w:rPr>
              <w:t>Communication</w:t>
            </w:r>
          </w:p>
        </w:tc>
        <w:tc>
          <w:tcPr>
            <w:tcW w:type="dxa" w:w="1446"/>
            <w:shd w:fill="F5F5F5" w:val="clear"/>
            <w:vAlign w:val="center"/>
          </w:tcPr>
          <w:p>
            <w:pPr>
              <w:spacing w:before="30" w:after="30"/>
            </w:pPr>
            <w:r>
              <w:rPr>
                <w:rFonts w:ascii="DM Sans" w:hAnsi="DM Sans" w:cs="DM Sans"/>
                <w:b w:val="0"/>
                <w:i w:val="0"/>
                <w:color w:val="050C2A"/>
                <w:sz w:val="20"/>
                <w:u w:val="none"/>
              </w:rPr>
              <w:t>Written clarity</w:t>
            </w:r>
          </w:p>
        </w:tc>
        <w:tc>
          <w:tcPr>
            <w:tcW w:type="dxa" w:w="6325"/>
            <w:shd w:fill="F5F5F5" w:val="clear"/>
            <w:vAlign w:val="center"/>
          </w:tcPr>
          <w:p>
            <w:pPr>
              <w:spacing w:before="30" w:after="30"/>
            </w:pPr>
            <w:r>
              <w:rPr>
                <w:rFonts w:ascii="DM Sans" w:hAnsi="DM Sans" w:cs="DM Sans"/>
                <w:b w:val="0"/>
                <w:i w:val="0"/>
                <w:color w:val="050C2A"/>
                <w:sz w:val="20"/>
                <w:u w:val="none"/>
              </w:rPr>
              <w:t>The Kickoff Summary requires students to translate a real conversation into a concise, accurate document; the distinction between confirmed information and open questions demands precision in word choice and structure</w:t>
            </w:r>
          </w:p>
        </w:tc>
      </w:tr>
      <w:tr>
        <w:tc>
          <w:tcPr>
            <w:tcW w:type="dxa" w:w="1589"/>
            <w:vAlign w:val="center"/>
          </w:tcPr>
          <w:p>
            <w:pPr>
              <w:spacing w:before="30" w:after="30"/>
            </w:pPr>
            <w:r>
              <w:rPr>
                <w:rFonts w:ascii="DM Sans" w:hAnsi="DM Sans" w:cs="DM Sans"/>
                <w:b/>
                <w:i w:val="0"/>
                <w:color w:val="050C2A"/>
                <w:sz w:val="20"/>
                <w:u w:val="none"/>
              </w:rPr>
              <w:t>Critical Thinking</w:t>
            </w:r>
          </w:p>
        </w:tc>
        <w:tc>
          <w:tcPr>
            <w:tcW w:type="dxa" w:w="1446"/>
            <w:vAlign w:val="center"/>
          </w:tcPr>
          <w:p>
            <w:pPr>
              <w:spacing w:before="30" w:after="30"/>
            </w:pPr>
            <w:r>
              <w:rPr>
                <w:rFonts w:ascii="DM Sans" w:hAnsi="DM Sans" w:cs="DM Sans"/>
                <w:b w:val="0"/>
                <w:i w:val="0"/>
                <w:color w:val="050C2A"/>
                <w:sz w:val="20"/>
                <w:u w:val="none"/>
              </w:rPr>
              <w:t>Evidence-based reasoning</w:t>
            </w:r>
          </w:p>
        </w:tc>
        <w:tc>
          <w:tcPr>
            <w:tcW w:type="dxa" w:w="6325"/>
            <w:vAlign w:val="center"/>
          </w:tcPr>
          <w:p>
            <w:pPr>
              <w:spacing w:before="30" w:after="30"/>
            </w:pPr>
            <w:r>
              <w:rPr>
                <w:rFonts w:ascii="DM Sans" w:hAnsi="DM Sans" w:cs="DM Sans"/>
                <w:b w:val="0"/>
                <w:i w:val="0"/>
                <w:color w:val="050C2A"/>
                <w:sz w:val="20"/>
                <w:u w:val="none"/>
              </w:rPr>
              <w:t>Identifying Gaps and Open Questions module explicitly trains students to distinguish what they know from what they're assuming; the Kickoff Summary format enforces this distinction in writing</w:t>
            </w:r>
          </w:p>
        </w:tc>
      </w:tr>
      <w:tr>
        <w:tc>
          <w:tcPr>
            <w:tcW w:type="dxa" w:w="1589"/>
            <w:shd w:fill="F5F5F5" w:val="clear"/>
            <w:vAlign w:val="center"/>
          </w:tcPr>
          <w:p>
            <w:pPr>
              <w:spacing w:before="30" w:after="30"/>
            </w:pPr>
            <w:r>
              <w:rPr>
                <w:rFonts w:ascii="DM Sans" w:hAnsi="DM Sans" w:cs="DM Sans"/>
                <w:b/>
                <w:i w:val="0"/>
                <w:color w:val="050C2A"/>
                <w:sz w:val="20"/>
                <w:u w:val="none"/>
              </w:rPr>
              <w:t>Critical Thinking</w:t>
            </w:r>
          </w:p>
        </w:tc>
        <w:tc>
          <w:tcPr>
            <w:tcW w:type="dxa" w:w="1446"/>
            <w:shd w:fill="F5F5F5" w:val="clear"/>
            <w:vAlign w:val="center"/>
          </w:tcPr>
          <w:p>
            <w:pPr>
              <w:spacing w:before="30" w:after="30"/>
            </w:pPr>
            <w:r>
              <w:rPr>
                <w:rFonts w:ascii="DM Sans" w:hAnsi="DM Sans" w:cs="DM Sans"/>
                <w:b w:val="0"/>
                <w:i w:val="0"/>
                <w:color w:val="050C2A"/>
                <w:sz w:val="20"/>
                <w:u w:val="none"/>
              </w:rPr>
              <w:t>Research and analysis</w:t>
            </w:r>
          </w:p>
        </w:tc>
        <w:tc>
          <w:tcPr>
            <w:tcW w:type="dxa" w:w="6325"/>
            <w:shd w:fill="F5F5F5" w:val="clear"/>
            <w:vAlign w:val="center"/>
          </w:tcPr>
          <w:p>
            <w:pPr>
              <w:spacing w:before="30" w:after="30"/>
            </w:pPr>
            <w:r>
              <w:rPr>
                <w:rFonts w:ascii="DM Sans" w:hAnsi="DM Sans" w:cs="DM Sans"/>
                <w:b w:val="0"/>
                <w:i w:val="0"/>
                <w:color w:val="050C2A"/>
                <w:sz w:val="20"/>
                <w:u w:val="none"/>
              </w:rPr>
              <w:t>Post-kickoff research is qualitatively different from Week 2 reconnaissance — students now have confirmed scope and are researching with direction rather than orientation; Part 2 of the three-week research skills progression</w:t>
            </w:r>
          </w:p>
        </w:tc>
      </w:tr>
      <w:tr>
        <w:tc>
          <w:tcPr>
            <w:tcW w:type="dxa" w:w="1589"/>
            <w:vAlign w:val="center"/>
          </w:tcPr>
          <w:p>
            <w:pPr>
              <w:spacing w:before="30" w:after="30"/>
            </w:pPr>
            <w:r>
              <w:rPr>
                <w:rFonts w:ascii="DM Sans" w:hAnsi="DM Sans" w:cs="DM Sans"/>
                <w:b/>
                <w:i w:val="0"/>
                <w:color w:val="050C2A"/>
                <w:sz w:val="20"/>
                <w:u w:val="none"/>
              </w:rPr>
              <w:t>Professionalism</w:t>
            </w:r>
          </w:p>
        </w:tc>
        <w:tc>
          <w:tcPr>
            <w:tcW w:type="dxa" w:w="1446"/>
            <w:vAlign w:val="center"/>
          </w:tcPr>
          <w:p>
            <w:pPr>
              <w:spacing w:before="30" w:after="30"/>
            </w:pPr>
            <w:r>
              <w:rPr>
                <w:rFonts w:ascii="DM Sans" w:hAnsi="DM Sans" w:cs="DM Sans"/>
                <w:b w:val="0"/>
                <w:i w:val="0"/>
                <w:color w:val="050C2A"/>
                <w:sz w:val="20"/>
                <w:u w:val="none"/>
              </w:rPr>
              <w:t>Dependability</w:t>
            </w:r>
          </w:p>
        </w:tc>
        <w:tc>
          <w:tcPr>
            <w:tcW w:type="dxa" w:w="6325"/>
            <w:vAlign w:val="center"/>
          </w:tcPr>
          <w:p>
            <w:pPr>
              <w:spacing w:before="30" w:after="30"/>
            </w:pPr>
            <w:r>
              <w:rPr>
                <w:rFonts w:ascii="DM Sans" w:hAnsi="DM Sans" w:cs="DM Sans"/>
                <w:b w:val="0"/>
                <w:i w:val="0"/>
                <w:color w:val="050C2A"/>
                <w:sz w:val="20"/>
                <w:u w:val="none"/>
              </w:rPr>
              <w:t>The anchor event of the week is an appointment with a real employer contact; preparation, punctuality, and follow-through are not hypothetical — they have direct professional consequences</w:t>
            </w:r>
          </w:p>
        </w:tc>
      </w:tr>
      <w:tr>
        <w:tc>
          <w:tcPr>
            <w:tcW w:type="dxa" w:w="1589"/>
            <w:shd w:fill="F5F5F5" w:val="clear"/>
            <w:vAlign w:val="center"/>
          </w:tcPr>
          <w:p>
            <w:pPr>
              <w:spacing w:before="30" w:after="30"/>
            </w:pPr>
            <w:r>
              <w:rPr>
                <w:rFonts w:ascii="DM Sans" w:hAnsi="DM Sans" w:cs="DM Sans"/>
                <w:b/>
                <w:i w:val="0"/>
                <w:color w:val="050C2A"/>
                <w:sz w:val="20"/>
                <w:u w:val="none"/>
              </w:rPr>
              <w:t>Career &amp; Self-Development</w:t>
            </w:r>
          </w:p>
        </w:tc>
        <w:tc>
          <w:tcPr>
            <w:tcW w:type="dxa" w:w="1446"/>
            <w:shd w:fill="F5F5F5" w:val="clear"/>
            <w:vAlign w:val="center"/>
          </w:tcPr>
          <w:p>
            <w:pPr>
              <w:spacing w:before="30" w:after="30"/>
            </w:pPr>
            <w:r>
              <w:rPr>
                <w:rFonts w:ascii="DM Sans" w:hAnsi="DM Sans" w:cs="DM Sans"/>
                <w:b w:val="0"/>
                <w:i w:val="0"/>
                <w:color w:val="050C2A"/>
                <w:sz w:val="20"/>
                <w:u w:val="none"/>
              </w:rPr>
              <w:t>Reflection</w:t>
            </w:r>
          </w:p>
        </w:tc>
        <w:tc>
          <w:tcPr>
            <w:tcW w:type="dxa" w:w="6325"/>
            <w:shd w:fill="F5F5F5" w:val="clear"/>
            <w:vAlign w:val="center"/>
          </w:tcPr>
          <w:p>
            <w:pPr>
              <w:spacing w:before="30" w:after="30"/>
            </w:pPr>
            <w:r>
              <w:rPr>
                <w:rFonts w:ascii="DM Sans" w:hAnsi="DM Sans" w:cs="DM Sans"/>
                <w:b w:val="0"/>
                <w:i w:val="0"/>
                <w:color w:val="050C2A"/>
                <w:sz w:val="20"/>
                <w:u w:val="none"/>
              </w:rPr>
              <w:t>Reflection #1 (3.18) is the first graded DEAL reflection in the course. Students were introduced to the framework in Week 1; this is the first application. The kickoff meeting is the natural anchor experience — it is recent, specific, and professionally significant enough to examine rigorously. The 90-minute allocation is standardized across all reflections and reflects that this is a first attempt where students are still building fluency with the model.</w:t>
            </w:r>
          </w:p>
        </w:tc>
      </w:tr>
    </w:tbl>
    <w:p>
      <w:pPr>
        <w:spacing w:before="0" w:after="120"/>
      </w:pPr>
    </w:p>
    <w:p>
      <w:pPr>
        <w:spacing w:before="360" w:after="120"/>
      </w:pPr>
      <w:r>
        <w:rPr>
          <w:rFonts w:ascii="DM Sans" w:hAnsi="DM Sans" w:cs="DM Sans"/>
          <w:b/>
          <w:i w:val="0"/>
          <w:color w:val="050C2A"/>
          <w:sz w:val="34"/>
          <w:u w:val="none"/>
        </w:rPr>
        <w:t>Deliverable Connection</w:t>
      </w:r>
    </w:p>
    <w:p>
      <w:pPr>
        <w:spacing w:before="0" w:after="120" w:line="276" w:lineRule="auto"/>
      </w:pPr>
      <w:r>
        <w:rPr>
          <w:rFonts w:ascii="DM Sans" w:hAnsi="DM Sans" w:cs="DM Sans"/>
          <w:b/>
          <w:i w:val="0"/>
          <w:color w:val="050C2A"/>
          <w:sz w:val="20"/>
          <w:u w:val="none"/>
        </w:rPr>
        <w:t>Kickoff Summary</w:t>
      </w:r>
      <w:r>
        <w:rPr>
          <w:rFonts w:ascii="DM Sans" w:hAnsi="DM Sans" w:cs="DM Sans"/>
          <w:b w:val="0"/>
          <w:i w:val="0"/>
          <w:color w:val="050C2A"/>
          <w:sz w:val="20"/>
          <w:u w:val="none"/>
        </w:rPr>
        <w:t xml:space="preserve"> → Communication: Written clarity</w:t>
      </w:r>
    </w:p>
    <w:p>
      <w:pPr>
        <w:spacing w:before="0" w:after="120" w:line="276" w:lineRule="auto"/>
      </w:pPr>
      <w:r>
        <w:rPr>
          <w:rFonts w:ascii="DM Sans" w:hAnsi="DM Sans" w:cs="DM Sans"/>
          <w:b w:val="0"/>
          <w:i w:val="0"/>
          <w:color w:val="050C2A"/>
          <w:sz w:val="20"/>
          <w:u w:val="none"/>
        </w:rPr>
        <w:t>Checkpoint; completion-based. A factual record of the employer's stated expectations from the kickoff meeting — not analysis or interpretation. Must capture confirmed scope, deliverables, success criteria, timeline, key contacts, and open questions. The distinction between what was confirmed and what remains open is the key evaluative criterion for completion. AI-assisted organization of raw notes is permitted and encouraged; AI cannot generate the substance of what was actually discussed. Disclosure required if AI was used.</w:t>
      </w:r>
    </w:p>
    <w:p>
      <w:pPr>
        <w:spacing w:before="0" w:after="120" w:line="276" w:lineRule="auto"/>
      </w:pPr>
      <w:r>
        <w:rPr>
          <w:rFonts w:ascii="DM Sans" w:hAnsi="DM Sans" w:cs="DM Sans"/>
          <w:b w:val="0"/>
          <w:i w:val="0"/>
          <w:color w:val="050C2A"/>
          <w:sz w:val="20"/>
          <w:u w:val="none"/>
        </w:rPr>
        <w:t>The Kickoff Summary serves a downstream function: it becomes the evidentiary foundation for the Context Analysis &amp; Project Plan in Week 4. Teams that produce a vague or inaccurate Kickoff Summary will find themselves working against a weak foundation in the first graded deliverable.</w:t>
      </w:r>
    </w:p>
    <w:p>
      <w:pPr>
        <w:spacing w:before="0" w:after="120" w:line="276" w:lineRule="auto"/>
      </w:pPr>
      <w:r>
        <w:rPr>
          <w:rFonts w:ascii="DM Sans" w:hAnsi="DM Sans" w:cs="DM Sans"/>
          <w:b/>
          <w:i w:val="0"/>
          <w:color w:val="050C2A"/>
          <w:sz w:val="20"/>
          <w:u w:val="none"/>
        </w:rPr>
        <w:t>Reflection #1 → Career &amp; Self-Development (Reflection, Self-Awareness)</w:t>
      </w:r>
    </w:p>
    <w:p>
      <w:pPr>
        <w:spacing w:before="0" w:after="120" w:line="276" w:lineRule="auto"/>
      </w:pPr>
      <w:r>
        <w:rPr>
          <w:rFonts w:ascii="DM Sans" w:hAnsi="DM Sans" w:cs="DM Sans"/>
          <w:b w:val="0"/>
          <w:i w:val="0"/>
          <w:color w:val="050C2A"/>
          <w:sz w:val="20"/>
          <w:u w:val="none"/>
        </w:rPr>
        <w:t>Graded; rubric-based. Individual submission. Contributes ~5% of the final grade as part of the Reflection Portfolio (25% total, five reflections). Students draw from their Foundation phase experience (Weeks 1–3) — team formation, the kickoff meeting, early research, or any moment of learning or surprise that emerged as they entered the project. The kickoff is the most likely anchor experience given its recency and significance, but students are not limited to it.</w:t>
      </w:r>
    </w:p>
    <w:p>
      <w:pPr>
        <w:spacing w:before="0" w:after="120" w:line="276" w:lineRule="auto"/>
      </w:pPr>
      <w:r>
        <w:rPr>
          <w:rFonts w:ascii="DM Sans" w:hAnsi="DM Sans" w:cs="DM Sans"/>
          <w:b w:val="0"/>
          <w:i w:val="0"/>
          <w:color w:val="050C2A"/>
          <w:sz w:val="20"/>
          <w:u w:val="none"/>
        </w:rPr>
        <w:t>This is the first DEAL reflection in the course. The DEAL reference sheet and a pro tip on using AI for reflection are embedded in the assignment prompt to reduce friction on a first attempt. The rubric dimensions are Accurate Description, Critical Examination, Honest Self-Assessment, and Articulation of Learning; expectations are calibrated to a first attempt — depth and honesty matter more than polish. Submitted via the Riipen platform. AI disclosure required.</w:t>
      </w:r>
    </w:p>
    <w:p>
      <w:pPr>
        <w:spacing w:before="360" w:after="120"/>
      </w:pPr>
      <w:r>
        <w:rPr>
          <w:rFonts w:ascii="DM Sans" w:hAnsi="DM Sans" w:cs="DM Sans"/>
          <w:b/>
          <w:i w:val="0"/>
          <w:color w:val="050C2A"/>
          <w:sz w:val="34"/>
          <w:u w:val="none"/>
        </w:rPr>
        <w:t>AI in This Week</w:t>
      </w:r>
    </w:p>
    <w:p>
      <w:pPr>
        <w:spacing w:before="0" w:after="120" w:line="276" w:lineRule="auto"/>
      </w:pPr>
      <w:r>
        <w:rPr>
          <w:rFonts w:ascii="DM Sans" w:hAnsi="DM Sans" w:cs="DM Sans"/>
          <w:b/>
          <w:i w:val="0"/>
          <w:color w:val="050C2A"/>
          <w:sz w:val="20"/>
          <w:u w:val="none"/>
        </w:rPr>
        <w:t>Permitted and encouraged:</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Using AI transcription or summarization tools during or immediately after the kickoff meeting to capture what was discussed — introduced in 3.02 before the meeting so students arrive ready</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Using AI to help organize and structure raw notes into the Kickoff Summary format after the meeting</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Using AI to support post-kickoff research — understanding the competitive landscape, sector context, or unfamiliar terminology is an encouraged use case</w:t>
      </w:r>
    </w:p>
    <w:p>
      <w:pPr>
        <w:spacing w:before="0" w:after="120" w:line="276" w:lineRule="auto"/>
      </w:pPr>
      <w:r>
        <w:rPr>
          <w:rFonts w:ascii="DM Sans" w:hAnsi="DM Sans" w:cs="DM Sans"/>
          <w:b/>
          <w:i w:val="0"/>
          <w:color w:val="050C2A"/>
          <w:sz w:val="20"/>
          <w:u w:val="none"/>
        </w:rPr>
        <w:t>Off-limits this week:</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AI cannot generate the substance of the Kickoff Summary — the content must reflect what was actually said in the meeting; AI-generated summaries that were not grounded in a real conversation are a disclosure violation</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val="0"/>
          <w:i w:val="0"/>
          <w:color w:val="050C2A"/>
          <w:sz w:val="20"/>
          <w:u w:val="none"/>
        </w:rPr>
        <w:t>The reflection (3.18) must be grounded in the student's own experience — AI cannot supply the experience, the examination, or the articulated learning; the pro tip embedded in the reflection prompt explains how to use AI appropriately as a thinking partner rather than a content generator</w:t>
      </w:r>
    </w:p>
    <w:p>
      <w:pPr>
        <w:spacing w:before="0" w:after="120" w:line="276" w:lineRule="auto"/>
      </w:pPr>
      <w:r>
        <w:rPr>
          <w:rFonts w:ascii="DM Sans" w:hAnsi="DM Sans" w:cs="DM Sans"/>
          <w:b/>
          <w:i w:val="0"/>
          <w:color w:val="050C2A"/>
          <w:sz w:val="20"/>
          <w:u w:val="none"/>
        </w:rPr>
        <w:t>Disclosure required</w:t>
      </w:r>
      <w:r>
        <w:rPr>
          <w:rFonts w:ascii="DM Sans" w:hAnsi="DM Sans" w:cs="DM Sans"/>
          <w:b w:val="0"/>
          <w:i w:val="0"/>
          <w:color w:val="050C2A"/>
          <w:sz w:val="20"/>
          <w:u w:val="none"/>
        </w:rPr>
        <w:t xml:space="preserve"> on the Kickoff Summary if AI was used in organizing or drafting. Disclosure also required on Reflection #1 — if AI was not used, a one-sentence statement to that effect is sufficient.</w:t>
      </w:r>
    </w:p>
    <w:p>
      <w:pPr>
        <w:spacing w:before="0" w:after="120" w:line="276" w:lineRule="auto"/>
      </w:pPr>
      <w:r>
        <w:rPr>
          <w:rFonts w:ascii="DM Sans" w:hAnsi="DM Sans" w:cs="DM Sans"/>
          <w:b/>
          <w:i w:val="0"/>
          <w:color w:val="050C2A"/>
          <w:sz w:val="20"/>
          <w:u w:val="none"/>
        </w:rPr>
        <w:t>Prompt strategy in use this week:</w:t>
      </w:r>
      <w:r>
        <w:rPr>
          <w:rFonts w:ascii="DM Sans" w:hAnsi="DM Sans" w:cs="DM Sans"/>
          <w:b w:val="0"/>
          <w:i w:val="0"/>
          <w:color w:val="050C2A"/>
          <w:sz w:val="20"/>
          <w:u w:val="none"/>
        </w:rPr>
        <w:t xml:space="preserve"> Give AI enough context — when using AI to organize meeting notes, students should share the raw notes, the project brief, and the Kickoff Summary format before asking AI to help structure the output. Introduced in Week 2; applied in context here for the first time.</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