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Week 4 — Context Analysis &amp; Project Plan</w:t>
      </w:r>
    </w:p>
    <w:p>
      <w:pPr>
        <w:spacing w:before="0" w:after="120" w:line="276" w:lineRule="auto"/>
      </w:pPr>
      <w:r>
        <w:rPr>
          <w:rFonts w:ascii="DM Sans" w:hAnsi="DM Sans" w:cs="DM Sans"/>
          <w:b/>
          <w:i w:val="0"/>
          <w:color w:val="050C2A"/>
          <w:sz w:val="20"/>
          <w:u w:val="none"/>
        </w:rPr>
        <w:t>RIIPEN CAREER CATALYST</w:t>
      </w:r>
      <w:r>
        <w:rPr>
          <w:rFonts w:ascii="DM Sans" w:hAnsi="DM Sans" w:cs="DM Sans"/>
          <w:b w:val="0"/>
          <w:i w:val="0"/>
          <w:color w:val="050C2A"/>
          <w:sz w:val="20"/>
          <w:u w:val="none"/>
        </w:rPr>
        <w:t xml:space="preserve"> | Weekly Design Document</w:t>
      </w:r>
    </w:p>
    <w:p>
      <w:pPr>
        <w:pBdr>
          <w:bottom w:val="single" w:sz="6" w:space="1" w:color="ACACAC"/>
        </w:pBdr>
        <w:spacing w:before="120" w:after="120"/>
      </w:pPr>
    </w:p>
    <w:p>
      <w:pPr>
        <w:spacing w:before="280" w:after="100"/>
      </w:pPr>
      <w:r>
        <w:rPr>
          <w:rFonts w:ascii="DM Sans" w:hAnsi="DM Sans" w:cs="DM Sans"/>
          <w:b/>
          <w:i w:val="0"/>
          <w:color w:val="050C2A"/>
          <w:sz w:val="28"/>
          <w:u w:val="none"/>
        </w:rPr>
        <w:t>At a Glance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3383"/>
            <w:shd w:fill="FF7C0A" w:val="clear"/>
            <w:vAlign w:val="center"/>
          </w:tcPr>
          <w:p>
            <w:pPr>
              <w:jc w:val="left"/>
              <w:spacing w:before="40" w:after="40"/>
            </w:pPr>
            <w:r>
              <w:rPr>
                <w:rFonts w:ascii="DM Sans" w:hAnsi="DM Sans" w:cs="DM Sans"/>
                <w:b/>
                <w:i w:val="0"/>
                <w:color w:val="FFFFFF"/>
                <w:sz w:val="20"/>
                <w:u w:val="none"/>
              </w:rPr>
              <w:t>Field</w:t>
            </w:r>
          </w:p>
        </w:tc>
        <w:tc>
          <w:tcPr>
            <w:tcW w:type="dxa" w:w="5977"/>
            <w:shd w:fill="FF7C0A" w:val="clear"/>
            <w:vAlign w:val="center"/>
          </w:tcPr>
          <w:p>
            <w:pPr>
              <w:jc w:val="left"/>
              <w:spacing w:before="40" w:after="40"/>
            </w:pPr>
            <w:r>
              <w:rPr>
                <w:rFonts w:ascii="DM Sans" w:hAnsi="DM Sans" w:cs="DM Sans"/>
                <w:b/>
                <w:i w:val="0"/>
                <w:color w:val="FFFFFF"/>
                <w:sz w:val="20"/>
                <w:u w:val="none"/>
              </w:rPr>
              <w:t>Detail</w:t>
            </w:r>
          </w:p>
        </w:tc>
      </w:tr>
      <w:tr>
        <w:tc>
          <w:tcPr>
            <w:tcW w:type="dxa" w:w="3383"/>
            <w:vAlign w:val="center"/>
          </w:tcPr>
          <w:p>
            <w:pPr>
              <w:spacing w:before="30" w:after="30"/>
            </w:pPr>
            <w:r>
              <w:rPr>
                <w:rFonts w:ascii="DM Sans" w:hAnsi="DM Sans" w:cs="DM Sans"/>
                <w:b/>
                <w:i w:val="0"/>
                <w:color w:val="050C2A"/>
                <w:sz w:val="20"/>
                <w:u w:val="none"/>
              </w:rPr>
              <w:t>Phase</w:t>
            </w:r>
          </w:p>
        </w:tc>
        <w:tc>
          <w:tcPr>
            <w:tcW w:type="dxa" w:w="5977"/>
            <w:vAlign w:val="center"/>
          </w:tcPr>
          <w:p>
            <w:pPr>
              <w:spacing w:before="30" w:after="30"/>
            </w:pPr>
            <w:r>
              <w:rPr>
                <w:rFonts w:ascii="DM Sans" w:hAnsi="DM Sans" w:cs="DM Sans"/>
                <w:b w:val="0"/>
                <w:i w:val="0"/>
                <w:color w:val="050C2A"/>
                <w:sz w:val="20"/>
                <w:u w:val="none"/>
              </w:rPr>
              <w:t>Discovery</w:t>
            </w:r>
          </w:p>
        </w:tc>
      </w:tr>
      <w:tr>
        <w:tc>
          <w:tcPr>
            <w:tcW w:type="dxa" w:w="3383"/>
            <w:shd w:fill="F5F5F5" w:val="clear"/>
            <w:vAlign w:val="center"/>
          </w:tcPr>
          <w:p>
            <w:pPr>
              <w:spacing w:before="30" w:after="30"/>
            </w:pPr>
            <w:r>
              <w:rPr>
                <w:rFonts w:ascii="DM Sans" w:hAnsi="DM Sans" w:cs="DM Sans"/>
                <w:b/>
                <w:i w:val="0"/>
                <w:color w:val="050C2A"/>
                <w:sz w:val="20"/>
                <w:u w:val="none"/>
              </w:rPr>
              <w:t>Module Title</w:t>
            </w:r>
          </w:p>
        </w:tc>
        <w:tc>
          <w:tcPr>
            <w:tcW w:type="dxa" w:w="5977"/>
            <w:shd w:fill="F5F5F5" w:val="clear"/>
            <w:vAlign w:val="center"/>
          </w:tcPr>
          <w:p>
            <w:pPr>
              <w:spacing w:before="30" w:after="30"/>
            </w:pPr>
            <w:r>
              <w:rPr>
                <w:rFonts w:ascii="DM Sans" w:hAnsi="DM Sans" w:cs="DM Sans"/>
                <w:b w:val="0"/>
                <w:i w:val="0"/>
                <w:color w:val="050C2A"/>
                <w:sz w:val="20"/>
                <w:u w:val="none"/>
              </w:rPr>
              <w:t>From Research to Strategy</w:t>
            </w:r>
          </w:p>
        </w:tc>
      </w:tr>
      <w:tr>
        <w:tc>
          <w:tcPr>
            <w:tcW w:type="dxa" w:w="3383"/>
            <w:vAlign w:val="center"/>
          </w:tcPr>
          <w:p>
            <w:pPr>
              <w:spacing w:before="30" w:after="30"/>
            </w:pPr>
            <w:r>
              <w:rPr>
                <w:rFonts w:ascii="DM Sans" w:hAnsi="DM Sans" w:cs="DM Sans"/>
                <w:b/>
                <w:i w:val="0"/>
                <w:color w:val="050C2A"/>
                <w:sz w:val="20"/>
                <w:u w:val="none"/>
              </w:rPr>
              <w:t>Primary Function</w:t>
            </w:r>
          </w:p>
        </w:tc>
        <w:tc>
          <w:tcPr>
            <w:tcW w:type="dxa" w:w="5977"/>
            <w:vAlign w:val="center"/>
          </w:tcPr>
          <w:p>
            <w:pPr>
              <w:spacing w:before="30" w:after="30"/>
            </w:pPr>
            <w:r>
              <w:rPr>
                <w:rFonts w:ascii="DM Sans" w:hAnsi="DM Sans" w:cs="DM Sans"/>
                <w:b w:val="0"/>
                <w:i w:val="0"/>
                <w:color w:val="050C2A"/>
                <w:sz w:val="20"/>
                <w:u w:val="none"/>
              </w:rPr>
              <w:t>Skill-building (Analysis + Planning)</w:t>
            </w:r>
          </w:p>
        </w:tc>
      </w:tr>
      <w:tr>
        <w:tc>
          <w:tcPr>
            <w:tcW w:type="dxa" w:w="3383"/>
            <w:shd w:fill="F5F5F5" w:val="clear"/>
            <w:vAlign w:val="center"/>
          </w:tcPr>
          <w:p>
            <w:pPr>
              <w:spacing w:before="30" w:after="30"/>
            </w:pPr>
            <w:r>
              <w:rPr>
                <w:rFonts w:ascii="DM Sans" w:hAnsi="DM Sans" w:cs="DM Sans"/>
                <w:b/>
                <w:i w:val="0"/>
                <w:color w:val="050C2A"/>
                <w:sz w:val="20"/>
                <w:u w:val="none"/>
              </w:rPr>
              <w:t>Total Student Time</w:t>
            </w:r>
          </w:p>
        </w:tc>
        <w:tc>
          <w:tcPr>
            <w:tcW w:type="dxa" w:w="5977"/>
            <w:shd w:fill="F5F5F5" w:val="clear"/>
            <w:vAlign w:val="center"/>
          </w:tcPr>
          <w:p>
            <w:pPr>
              <w:spacing w:before="30" w:after="30"/>
            </w:pPr>
            <w:r>
              <w:rPr>
                <w:rFonts w:ascii="DM Sans" w:hAnsi="DM Sans" w:cs="DM Sans"/>
                <w:b w:val="0"/>
                <w:i w:val="0"/>
                <w:color w:val="050C2A"/>
                <w:sz w:val="20"/>
                <w:u w:val="none"/>
              </w:rPr>
              <w:t>645 min (~10 hrs 45 min)</w:t>
            </w:r>
          </w:p>
        </w:tc>
      </w:tr>
      <w:tr>
        <w:tc>
          <w:tcPr>
            <w:tcW w:type="dxa" w:w="3383"/>
            <w:vAlign w:val="center"/>
          </w:tcPr>
          <w:p>
            <w:pPr>
              <w:spacing w:before="30" w:after="30"/>
            </w:pPr>
            <w:r>
              <w:rPr>
                <w:rFonts w:ascii="DM Sans" w:hAnsi="DM Sans" w:cs="DM Sans"/>
                <w:b/>
                <w:i w:val="0"/>
                <w:color w:val="050C2A"/>
                <w:sz w:val="20"/>
                <w:u w:val="none"/>
              </w:rPr>
              <w:t>Deliverable This Week</w:t>
            </w:r>
          </w:p>
        </w:tc>
        <w:tc>
          <w:tcPr>
            <w:tcW w:type="dxa" w:w="5977"/>
            <w:vAlign w:val="center"/>
          </w:tcPr>
          <w:p>
            <w:pPr>
              <w:spacing w:before="30" w:after="30"/>
            </w:pPr>
            <w:r>
              <w:rPr>
                <w:rFonts w:ascii="DM Sans" w:hAnsi="DM Sans" w:cs="DM Sans"/>
                <w:b w:val="0"/>
                <w:i w:val="0"/>
                <w:color w:val="050C2A"/>
                <w:sz w:val="20"/>
                <w:u w:val="none"/>
              </w:rPr>
              <w:t>Context Analysis &amp; Project Plan (GRADED — 10% of final grade, team submission)</w:t>
            </w:r>
          </w:p>
        </w:tc>
      </w:tr>
    </w:tbl>
    <w:p>
      <w:pPr>
        <w:spacing w:before="0" w:after="120"/>
      </w:pPr>
    </w:p>
    <w:p>
      <w:pPr>
        <w:spacing w:before="280" w:after="100"/>
      </w:pPr>
      <w:r>
        <w:rPr>
          <w:rFonts w:ascii="DM Sans" w:hAnsi="DM Sans" w:cs="DM Sans"/>
          <w:b/>
          <w:i w:val="0"/>
          <w:color w:val="050C2A"/>
          <w:sz w:val="28"/>
          <w:u w:val="none"/>
        </w:rPr>
        <w:t>Learning Objectives</w:t>
      </w:r>
    </w:p>
    <w:p>
      <w:pPr>
        <w:spacing w:before="0" w:after="120" w:line="276" w:lineRule="auto"/>
      </w:pPr>
      <w:r>
        <w:rPr>
          <w:rFonts w:ascii="DM Sans" w:hAnsi="DM Sans" w:cs="DM Sans"/>
          <w:b w:val="0"/>
          <w:i w:val="0"/>
          <w:color w:val="050C2A"/>
          <w:sz w:val="20"/>
          <w:u w:val="none"/>
        </w:rPr>
        <w:t>By the end of Week 4, students will be able to:</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958"/>
            <w:shd w:fill="FF7C0A" w:val="clear"/>
            <w:vAlign w:val="center"/>
          </w:tcPr>
          <w:p>
            <w:pPr>
              <w:jc w:val="left"/>
              <w:spacing w:before="40" w:after="40"/>
            </w:pPr>
            <w:r>
              <w:rPr>
                <w:rFonts w:ascii="DM Sans" w:hAnsi="DM Sans" w:cs="DM Sans"/>
                <w:b/>
                <w:i w:val="0"/>
                <w:color w:val="FFFFFF"/>
                <w:sz w:val="20"/>
                <w:u w:val="none"/>
              </w:rPr>
              <w:t>#</w:t>
            </w:r>
          </w:p>
        </w:tc>
        <w:tc>
          <w:tcPr>
            <w:tcW w:type="dxa" w:w="5557"/>
            <w:shd w:fill="FF7C0A" w:val="clear"/>
            <w:vAlign w:val="center"/>
          </w:tcPr>
          <w:p>
            <w:pPr>
              <w:jc w:val="left"/>
              <w:spacing w:before="40" w:after="40"/>
            </w:pPr>
            <w:r>
              <w:rPr>
                <w:rFonts w:ascii="DM Sans" w:hAnsi="DM Sans" w:cs="DM Sans"/>
                <w:b/>
                <w:i w:val="0"/>
                <w:color w:val="FFFFFF"/>
                <w:sz w:val="20"/>
                <w:u w:val="none"/>
              </w:rPr>
              <w:t>Objective</w:t>
            </w:r>
          </w:p>
        </w:tc>
        <w:tc>
          <w:tcPr>
            <w:tcW w:type="dxa" w:w="2845"/>
            <w:shd w:fill="FF7C0A" w:val="clear"/>
            <w:vAlign w:val="center"/>
          </w:tcPr>
          <w:p>
            <w:pPr>
              <w:jc w:val="left"/>
              <w:spacing w:before="40" w:after="40"/>
            </w:pPr>
            <w:r>
              <w:rPr>
                <w:rFonts w:ascii="DM Sans" w:hAnsi="DM Sans" w:cs="DM Sans"/>
                <w:b/>
                <w:i w:val="0"/>
                <w:color w:val="FFFFFF"/>
                <w:sz w:val="20"/>
                <w:u w:val="none"/>
              </w:rPr>
              <w:t>Competency</w:t>
            </w:r>
          </w:p>
        </w:tc>
      </w:tr>
      <w:tr>
        <w:tc>
          <w:tcPr>
            <w:tcW w:type="dxa" w:w="958"/>
            <w:vAlign w:val="center"/>
          </w:tcPr>
          <w:p>
            <w:pPr>
              <w:spacing w:before="30" w:after="30"/>
            </w:pPr>
            <w:r>
              <w:rPr>
                <w:rFonts w:ascii="DM Sans" w:hAnsi="DM Sans" w:cs="DM Sans"/>
                <w:b/>
                <w:i w:val="0"/>
                <w:color w:val="050C2A"/>
                <w:sz w:val="20"/>
                <w:u w:val="none"/>
              </w:rPr>
              <w:t>1</w:t>
            </w:r>
          </w:p>
        </w:tc>
        <w:tc>
          <w:tcPr>
            <w:tcW w:type="dxa" w:w="5557"/>
            <w:vAlign w:val="center"/>
          </w:tcPr>
          <w:p>
            <w:pPr>
              <w:spacing w:before="30" w:after="30"/>
            </w:pPr>
            <w:r>
              <w:rPr>
                <w:rFonts w:ascii="DM Sans" w:hAnsi="DM Sans" w:cs="DM Sans"/>
                <w:b w:val="0"/>
                <w:i w:val="0"/>
                <w:color w:val="050C2A"/>
                <w:sz w:val="20"/>
                <w:u w:val="none"/>
              </w:rPr>
              <w:t>Synthesize independent research findings into a coherent analytical point of view, distinguishing what was found from what it means for the project.</w:t>
            </w:r>
          </w:p>
        </w:tc>
        <w:tc>
          <w:tcPr>
            <w:tcW w:type="dxa" w:w="2845"/>
            <w:vAlign w:val="center"/>
          </w:tcPr>
          <w:p>
            <w:pPr>
              <w:spacing w:before="30" w:after="30"/>
            </w:pPr>
            <w:r>
              <w:rPr>
                <w:rFonts w:ascii="DM Sans" w:hAnsi="DM Sans" w:cs="DM Sans"/>
                <w:b w:val="0"/>
                <w:i w:val="0"/>
                <w:color w:val="050C2A"/>
                <w:sz w:val="20"/>
                <w:u w:val="none"/>
              </w:rPr>
              <w:t>Critical Thinking → Research &amp; Analysis</w:t>
            </w:r>
          </w:p>
        </w:tc>
      </w:tr>
      <w:tr>
        <w:tc>
          <w:tcPr>
            <w:tcW w:type="dxa" w:w="958"/>
            <w:shd w:fill="F5F5F5" w:val="clear"/>
            <w:vAlign w:val="center"/>
          </w:tcPr>
          <w:p>
            <w:pPr>
              <w:spacing w:before="30" w:after="30"/>
            </w:pPr>
            <w:r>
              <w:rPr>
                <w:rFonts w:ascii="DM Sans" w:hAnsi="DM Sans" w:cs="DM Sans"/>
                <w:b/>
                <w:i w:val="0"/>
                <w:color w:val="050C2A"/>
                <w:sz w:val="20"/>
                <w:u w:val="none"/>
              </w:rPr>
              <w:t>2</w:t>
            </w:r>
          </w:p>
        </w:tc>
        <w:tc>
          <w:tcPr>
            <w:tcW w:type="dxa" w:w="5557"/>
            <w:shd w:fill="F5F5F5" w:val="clear"/>
            <w:vAlign w:val="center"/>
          </w:tcPr>
          <w:p>
            <w:pPr>
              <w:spacing w:before="30" w:after="30"/>
            </w:pPr>
            <w:r>
              <w:rPr>
                <w:rFonts w:ascii="DM Sans" w:hAnsi="DM Sans" w:cs="DM Sans"/>
                <w:b w:val="0"/>
                <w:i w:val="0"/>
                <w:color w:val="050C2A"/>
                <w:sz w:val="20"/>
                <w:u w:val="none"/>
              </w:rPr>
              <w:t>Construct evidence-based claims by identifying what counts as evidence, supporting assertions with sources, and acknowledging gaps and uncertainty.</w:t>
            </w:r>
          </w:p>
        </w:tc>
        <w:tc>
          <w:tcPr>
            <w:tcW w:type="dxa" w:w="2845"/>
            <w:shd w:fill="F5F5F5" w:val="clear"/>
            <w:vAlign w:val="center"/>
          </w:tcPr>
          <w:p>
            <w:pPr>
              <w:spacing w:before="30" w:after="30"/>
            </w:pPr>
            <w:r>
              <w:rPr>
                <w:rFonts w:ascii="DM Sans" w:hAnsi="DM Sans" w:cs="DM Sans"/>
                <w:b w:val="0"/>
                <w:i w:val="0"/>
                <w:color w:val="050C2A"/>
                <w:sz w:val="20"/>
                <w:u w:val="none"/>
              </w:rPr>
              <w:t>Critical Thinking → Evidence-Based Reasoning</w:t>
            </w:r>
          </w:p>
        </w:tc>
      </w:tr>
      <w:tr>
        <w:tc>
          <w:tcPr>
            <w:tcW w:type="dxa" w:w="958"/>
            <w:vAlign w:val="center"/>
          </w:tcPr>
          <w:p>
            <w:pPr>
              <w:spacing w:before="30" w:after="30"/>
            </w:pPr>
            <w:r>
              <w:rPr>
                <w:rFonts w:ascii="DM Sans" w:hAnsi="DM Sans" w:cs="DM Sans"/>
                <w:b/>
                <w:i w:val="0"/>
                <w:color w:val="050C2A"/>
                <w:sz w:val="20"/>
                <w:u w:val="none"/>
              </w:rPr>
              <w:t>3</w:t>
            </w:r>
          </w:p>
        </w:tc>
        <w:tc>
          <w:tcPr>
            <w:tcW w:type="dxa" w:w="5557"/>
            <w:vAlign w:val="center"/>
          </w:tcPr>
          <w:p>
            <w:pPr>
              <w:spacing w:before="30" w:after="30"/>
            </w:pPr>
            <w:r>
              <w:rPr>
                <w:rFonts w:ascii="DM Sans" w:hAnsi="DM Sans" w:cs="DM Sans"/>
                <w:b w:val="0"/>
                <w:i w:val="0"/>
                <w:color w:val="050C2A"/>
                <w:sz w:val="20"/>
                <w:u w:val="none"/>
              </w:rPr>
              <w:t>Translate research insights into strategic implications by naming assumptions, identifying constraints, and connecting analysis to a proposed project approach.</w:t>
            </w:r>
          </w:p>
        </w:tc>
        <w:tc>
          <w:tcPr>
            <w:tcW w:type="dxa" w:w="2845"/>
            <w:vAlign w:val="center"/>
          </w:tcPr>
          <w:p>
            <w:pPr>
              <w:spacing w:before="30" w:after="30"/>
            </w:pPr>
            <w:r>
              <w:rPr>
                <w:rFonts w:ascii="DM Sans" w:hAnsi="DM Sans" w:cs="DM Sans"/>
                <w:b w:val="0"/>
                <w:i w:val="0"/>
                <w:color w:val="050C2A"/>
                <w:sz w:val="20"/>
                <w:u w:val="none"/>
              </w:rPr>
              <w:t>Critical Thinking → Problem Framing</w:t>
            </w:r>
          </w:p>
        </w:tc>
      </w:tr>
      <w:tr>
        <w:tc>
          <w:tcPr>
            <w:tcW w:type="dxa" w:w="958"/>
            <w:shd w:fill="F5F5F5" w:val="clear"/>
            <w:vAlign w:val="center"/>
          </w:tcPr>
          <w:p>
            <w:pPr>
              <w:spacing w:before="30" w:after="30"/>
            </w:pPr>
            <w:r>
              <w:rPr>
                <w:rFonts w:ascii="DM Sans" w:hAnsi="DM Sans" w:cs="DM Sans"/>
                <w:b/>
                <w:i w:val="0"/>
                <w:color w:val="050C2A"/>
                <w:sz w:val="20"/>
                <w:u w:val="none"/>
              </w:rPr>
              <w:t>4</w:t>
            </w:r>
          </w:p>
        </w:tc>
        <w:tc>
          <w:tcPr>
            <w:tcW w:type="dxa" w:w="5557"/>
            <w:shd w:fill="F5F5F5" w:val="clear"/>
            <w:vAlign w:val="center"/>
          </w:tcPr>
          <w:p>
            <w:pPr>
              <w:spacing w:before="30" w:after="30"/>
            </w:pPr>
            <w:r>
              <w:rPr>
                <w:rFonts w:ascii="DM Sans" w:hAnsi="DM Sans" w:cs="DM Sans"/>
                <w:b w:val="0"/>
                <w:i w:val="0"/>
                <w:color w:val="050C2A"/>
                <w:sz w:val="20"/>
                <w:u w:val="none"/>
              </w:rPr>
              <w:t>Develop a project plan that reflects deliberate scoping decisions, realistic milestones, named risks, and explicit prioritization of what the team will and will not do.</w:t>
            </w:r>
          </w:p>
        </w:tc>
        <w:tc>
          <w:tcPr>
            <w:tcW w:type="dxa" w:w="2845"/>
            <w:shd w:fill="F5F5F5" w:val="clear"/>
            <w:vAlign w:val="center"/>
          </w:tcPr>
          <w:p>
            <w:pPr>
              <w:spacing w:before="30" w:after="30"/>
            </w:pPr>
            <w:r>
              <w:rPr>
                <w:rFonts w:ascii="DM Sans" w:hAnsi="DM Sans" w:cs="DM Sans"/>
                <w:b w:val="0"/>
                <w:i w:val="0"/>
                <w:color w:val="050C2A"/>
                <w:sz w:val="20"/>
                <w:u w:val="none"/>
              </w:rPr>
              <w:t>Critical Thinking → Prioritization</w:t>
            </w:r>
          </w:p>
        </w:tc>
      </w:tr>
      <w:tr>
        <w:tc>
          <w:tcPr>
            <w:tcW w:type="dxa" w:w="958"/>
            <w:vAlign w:val="center"/>
          </w:tcPr>
          <w:p>
            <w:pPr>
              <w:spacing w:before="30" w:after="30"/>
            </w:pPr>
            <w:r>
              <w:rPr>
                <w:rFonts w:ascii="DM Sans" w:hAnsi="DM Sans" w:cs="DM Sans"/>
                <w:b/>
                <w:i w:val="0"/>
                <w:color w:val="050C2A"/>
                <w:sz w:val="20"/>
                <w:u w:val="none"/>
              </w:rPr>
              <w:t>5</w:t>
            </w:r>
          </w:p>
        </w:tc>
        <w:tc>
          <w:tcPr>
            <w:tcW w:type="dxa" w:w="5557"/>
            <w:vAlign w:val="center"/>
          </w:tcPr>
          <w:p>
            <w:pPr>
              <w:spacing w:before="30" w:after="30"/>
            </w:pPr>
            <w:r>
              <w:rPr>
                <w:rFonts w:ascii="DM Sans" w:hAnsi="DM Sans" w:cs="DM Sans"/>
                <w:b w:val="0"/>
                <w:i w:val="0"/>
                <w:color w:val="050C2A"/>
                <w:sz w:val="20"/>
                <w:u w:val="none"/>
              </w:rPr>
              <w:t>Produce a professionally coherent team document that reads as a unified whole despite being drafted collaboratively across multiple contributors.</w:t>
            </w:r>
          </w:p>
        </w:tc>
        <w:tc>
          <w:tcPr>
            <w:tcW w:type="dxa" w:w="2845"/>
            <w:vAlign w:val="center"/>
          </w:tcPr>
          <w:p>
            <w:pPr>
              <w:spacing w:before="30" w:after="30"/>
            </w:pPr>
            <w:r>
              <w:rPr>
                <w:rFonts w:ascii="DM Sans" w:hAnsi="DM Sans" w:cs="DM Sans"/>
                <w:b w:val="0"/>
                <w:i w:val="0"/>
                <w:color w:val="050C2A"/>
                <w:sz w:val="20"/>
                <w:u w:val="none"/>
              </w:rPr>
              <w:t>Communication → Written Clarity</w:t>
            </w:r>
          </w:p>
        </w:tc>
      </w:tr>
    </w:tbl>
    <w:p>
      <w:pPr>
        <w:spacing w:before="0" w:after="120"/>
      </w:pPr>
    </w:p>
    <w:p>
      <w:pPr>
        <w:spacing w:before="280" w:after="100"/>
      </w:pPr>
      <w:r>
        <w:rPr>
          <w:rFonts w:ascii="DM Sans" w:hAnsi="DM Sans" w:cs="DM Sans"/>
          <w:b/>
          <w:i w:val="0"/>
          <w:color w:val="050C2A"/>
          <w:sz w:val="28"/>
          <w:u w:val="none"/>
        </w:rPr>
        <w:t>Weekly Activity Breakdown</w:t>
      </w:r>
    </w:p>
    <w:p>
      <w:pPr>
        <w:spacing w:before="0" w:after="120" w:line="276" w:lineRule="auto"/>
      </w:pPr>
      <w:r>
        <w:rPr>
          <w:rFonts w:ascii="DM Sans" w:hAnsi="DM Sans" w:cs="DM Sans"/>
          <w:b w:val="0"/>
          <w:i w:val="0"/>
          <w:color w:val="050C2A"/>
          <w:sz w:val="20"/>
          <w:u w:val="none"/>
        </w:rPr>
        <w:t>Week 4 marks the first full production week of the Discovery phase and the first graded deliverable of the course. Students arrive with meaningful prior scaffolding: they have been introduced to what a project plan is and why it exists (Week 3, activity 3.16), have progressed through two prior stages of the research skills sequence (organizational reconnaissance in Week 2, targeted landscape orientation in Week 3), and reviewed the Context Analysis &amp; Project Plan assignment and rubric in Week 2. The module content this week is therefore not starting from zero — it is teaching the final analytical layer that prior weeks deliberately deferred. The six module sections address the skills required to move from information-gathering to analytical argument: synthesizing findings, reasoning from evidence, drawing strategic implications, prioritizing, identifying risk, and using AI appropriately for research tasks. This content is heavier than surrounding Discovery weeks precisely because every section maps directly to a rubric criterion; students cannot be assessed on evidence-based reasoning or risk identification if those concepts have not yet been explicitly taught. The project work structure — individual research, team synthesis, individual drafting, async cross-review, integration pass — is designed to produce a document that functions as a genuine team product rather than four separate pieces stitched together.</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560"/>
        <w:gridCol w:w="1560"/>
        <w:gridCol w:w="1560"/>
        <w:gridCol w:w="1560"/>
        <w:gridCol w:w="1560"/>
        <w:gridCol w:w="1560"/>
      </w:tblGrid>
      <w:tr>
        <w:tc>
          <w:tcPr>
            <w:tcW w:type="dxa" w:w="528"/>
            <w:shd w:fill="FF7C0A" w:val="clear"/>
            <w:vAlign w:val="center"/>
          </w:tcPr>
          <w:p>
            <w:pPr>
              <w:jc w:val="left"/>
              <w:spacing w:before="40" w:after="40"/>
            </w:pPr>
            <w:r>
              <w:rPr>
                <w:rFonts w:ascii="DM Sans" w:hAnsi="DM Sans" w:cs="DM Sans"/>
                <w:b/>
                <w:i w:val="0"/>
                <w:color w:val="FFFFFF"/>
                <w:sz w:val="20"/>
                <w:u w:val="none"/>
              </w:rPr>
              <w:t>#</w:t>
            </w:r>
          </w:p>
        </w:tc>
        <w:tc>
          <w:tcPr>
            <w:tcW w:type="dxa" w:w="1322"/>
            <w:shd w:fill="FF7C0A" w:val="clear"/>
            <w:vAlign w:val="center"/>
          </w:tcPr>
          <w:p>
            <w:pPr>
              <w:jc w:val="left"/>
              <w:spacing w:before="40" w:after="40"/>
            </w:pPr>
            <w:r>
              <w:rPr>
                <w:rFonts w:ascii="DM Sans" w:hAnsi="DM Sans" w:cs="DM Sans"/>
                <w:b/>
                <w:i w:val="0"/>
                <w:color w:val="FFFFFF"/>
                <w:sz w:val="20"/>
                <w:u w:val="none"/>
              </w:rPr>
              <w:t>Category</w:t>
            </w:r>
          </w:p>
        </w:tc>
        <w:tc>
          <w:tcPr>
            <w:tcW w:type="dxa" w:w="2466"/>
            <w:shd w:fill="FF7C0A" w:val="clear"/>
            <w:vAlign w:val="center"/>
          </w:tcPr>
          <w:p>
            <w:pPr>
              <w:jc w:val="left"/>
              <w:spacing w:before="40" w:after="40"/>
            </w:pPr>
            <w:r>
              <w:rPr>
                <w:rFonts w:ascii="DM Sans" w:hAnsi="DM Sans" w:cs="DM Sans"/>
                <w:b/>
                <w:i w:val="0"/>
                <w:color w:val="FFFFFF"/>
                <w:sz w:val="20"/>
                <w:u w:val="none"/>
              </w:rPr>
              <w:t>Activity</w:t>
            </w:r>
          </w:p>
        </w:tc>
        <w:tc>
          <w:tcPr>
            <w:tcW w:type="dxa" w:w="699"/>
            <w:shd w:fill="FF7C0A" w:val="clear"/>
            <w:vAlign w:val="center"/>
          </w:tcPr>
          <w:p>
            <w:pPr>
              <w:jc w:val="left"/>
              <w:spacing w:before="40" w:after="40"/>
            </w:pPr>
            <w:r>
              <w:rPr>
                <w:rFonts w:ascii="DM Sans" w:hAnsi="DM Sans" w:cs="DM Sans"/>
                <w:b/>
                <w:i w:val="0"/>
                <w:color w:val="FFFFFF"/>
                <w:sz w:val="20"/>
                <w:u w:val="none"/>
              </w:rPr>
              <w:t>Format</w:t>
            </w:r>
          </w:p>
        </w:tc>
        <w:tc>
          <w:tcPr>
            <w:tcW w:type="dxa" w:w="1399"/>
            <w:shd w:fill="FF7C0A" w:val="clear"/>
            <w:vAlign w:val="center"/>
          </w:tcPr>
          <w:p>
            <w:pPr>
              <w:jc w:val="left"/>
              <w:spacing w:before="40" w:after="40"/>
            </w:pPr>
            <w:r>
              <w:rPr>
                <w:rFonts w:ascii="DM Sans" w:hAnsi="DM Sans" w:cs="DM Sans"/>
                <w:b/>
                <w:i w:val="0"/>
                <w:color w:val="FFFFFF"/>
                <w:sz w:val="20"/>
                <w:u w:val="none"/>
              </w:rPr>
              <w:t>Min</w:t>
            </w:r>
          </w:p>
        </w:tc>
        <w:tc>
          <w:tcPr>
            <w:tcW w:type="dxa" w:w="2946"/>
            <w:shd w:fill="FF7C0A" w:val="clear"/>
            <w:vAlign w:val="center"/>
          </w:tcPr>
          <w:p>
            <w:pPr>
              <w:jc w:val="left"/>
              <w:spacing w:before="40" w:after="40"/>
            </w:pPr>
            <w:r>
              <w:rPr>
                <w:rFonts w:ascii="DM Sans" w:hAnsi="DM Sans" w:cs="DM Sans"/>
                <w:b/>
                <w:i w:val="0"/>
                <w:color w:val="FFFFFF"/>
                <w:sz w:val="20"/>
                <w:u w:val="none"/>
              </w:rPr>
              <w:t>Note</w:t>
            </w:r>
          </w:p>
        </w:tc>
      </w:tr>
      <w:tr>
        <w:tc>
          <w:tcPr>
            <w:tcW w:type="dxa" w:w="528"/>
            <w:vAlign w:val="center"/>
          </w:tcPr>
          <w:p>
            <w:pPr>
              <w:spacing w:before="30" w:after="30"/>
            </w:pPr>
            <w:r>
              <w:rPr>
                <w:rFonts w:ascii="DM Sans" w:hAnsi="DM Sans" w:cs="DM Sans"/>
                <w:b w:val="0"/>
                <w:i w:val="0"/>
                <w:color w:val="050C2A"/>
                <w:sz w:val="20"/>
                <w:u w:val="none"/>
              </w:rPr>
              <w:t>4.01</w:t>
            </w:r>
          </w:p>
        </w:tc>
        <w:tc>
          <w:tcPr>
            <w:tcW w:type="dxa" w:w="1322"/>
            <w:vAlign w:val="center"/>
          </w:tcPr>
          <w:p>
            <w:pPr>
              <w:spacing w:before="30" w:after="30"/>
            </w:pPr>
            <w:r>
              <w:rPr>
                <w:rFonts w:ascii="DM Sans" w:hAnsi="DM Sans" w:cs="DM Sans"/>
                <w:b w:val="0"/>
                <w:i w:val="0"/>
                <w:color w:val="050C2A"/>
                <w:sz w:val="20"/>
                <w:u w:val="none"/>
              </w:rPr>
              <w:t>Course Orientation</w:t>
            </w:r>
          </w:p>
        </w:tc>
        <w:tc>
          <w:tcPr>
            <w:tcW w:type="dxa" w:w="2466"/>
            <w:vAlign w:val="center"/>
          </w:tcPr>
          <w:p>
            <w:pPr>
              <w:spacing w:before="30" w:after="30"/>
            </w:pPr>
            <w:r>
              <w:rPr>
                <w:rFonts w:ascii="DM Sans" w:hAnsi="DM Sans" w:cs="DM Sans"/>
                <w:b w:val="0"/>
                <w:i w:val="0"/>
                <w:color w:val="050C2A"/>
                <w:sz w:val="20"/>
                <w:u w:val="none"/>
              </w:rPr>
              <w:t>Week 4 Overview — objectives, what's happening this week, suggested order of completion</w:t>
            </w:r>
          </w:p>
        </w:tc>
        <w:tc>
          <w:tcPr>
            <w:tcW w:type="dxa" w:w="699"/>
            <w:vAlign w:val="center"/>
          </w:tcPr>
          <w:p>
            <w:pPr>
              <w:spacing w:before="30" w:after="30"/>
            </w:pPr>
            <w:r>
              <w:rPr>
                <w:rFonts w:ascii="DM Sans" w:hAnsi="DM Sans" w:cs="DM Sans"/>
                <w:b w:val="0"/>
                <w:i w:val="0"/>
                <w:color w:val="050C2A"/>
                <w:sz w:val="20"/>
                <w:u w:val="none"/>
              </w:rPr>
              <w:t>Module</w:t>
            </w:r>
          </w:p>
        </w:tc>
        <w:tc>
          <w:tcPr>
            <w:tcW w:type="dxa" w:w="1399"/>
            <w:vAlign w:val="center"/>
          </w:tcPr>
          <w:p>
            <w:pPr>
              <w:spacing w:before="30" w:after="30"/>
            </w:pPr>
            <w:r>
              <w:rPr>
                <w:rFonts w:ascii="DM Sans" w:hAnsi="DM Sans" w:cs="DM Sans"/>
                <w:b w:val="0"/>
                <w:i w:val="0"/>
                <w:color w:val="050C2A"/>
                <w:sz w:val="20"/>
                <w:u w:val="none"/>
              </w:rPr>
              <w:t>5</w:t>
            </w:r>
          </w:p>
        </w:tc>
        <w:tc>
          <w:tcPr>
            <w:tcW w:type="dxa" w:w="2946"/>
            <w:vAlign w:val="center"/>
          </w:tcPr>
          <w:p>
            <w:pPr>
              <w:spacing w:before="30" w:after="30"/>
            </w:pPr>
            <w:r>
              <w:rPr>
                <w:rFonts w:ascii="DM Sans" w:hAnsi="DM Sans" w:cs="DM Sans"/>
                <w:b w:val="0"/>
                <w:i w:val="0"/>
                <w:color w:val="050C2A"/>
                <w:sz w:val="20"/>
                <w:u w:val="none"/>
              </w:rPr>
              <w:t>Sets up the week; anchor deliverable is Context Analysis &amp; Project Plan; names the cognitive shift from gathering to arguing</w:t>
            </w:r>
          </w:p>
        </w:tc>
      </w:tr>
      <w:tr>
        <w:tc>
          <w:tcPr>
            <w:tcW w:type="dxa" w:w="528"/>
            <w:shd w:fill="F5F5F5" w:val="clear"/>
            <w:vAlign w:val="center"/>
          </w:tcPr>
          <w:p>
            <w:pPr>
              <w:spacing w:before="30" w:after="30"/>
            </w:pPr>
            <w:r>
              <w:rPr>
                <w:rFonts w:ascii="DM Sans" w:hAnsi="DM Sans" w:cs="DM Sans"/>
                <w:b w:val="0"/>
                <w:i w:val="0"/>
                <w:color w:val="050C2A"/>
                <w:sz w:val="20"/>
                <w:u w:val="none"/>
              </w:rPr>
              <w:t>4.02</w:t>
            </w:r>
          </w:p>
        </w:tc>
        <w:tc>
          <w:tcPr>
            <w:tcW w:type="dxa" w:w="1322"/>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466"/>
            <w:shd w:fill="F5F5F5" w:val="clear"/>
            <w:vAlign w:val="center"/>
          </w:tcPr>
          <w:p>
            <w:pPr>
              <w:spacing w:before="30" w:after="30"/>
            </w:pPr>
            <w:r>
              <w:rPr>
                <w:rFonts w:ascii="DM Sans" w:hAnsi="DM Sans" w:cs="DM Sans"/>
                <w:b w:val="0"/>
                <w:i w:val="0"/>
                <w:color w:val="050C2A"/>
                <w:sz w:val="20"/>
                <w:u w:val="none"/>
              </w:rPr>
              <w:t>Synthesizing Research into Insights</w:t>
            </w:r>
          </w:p>
        </w:tc>
        <w:tc>
          <w:tcPr>
            <w:tcW w:type="dxa" w:w="699"/>
            <w:shd w:fill="F5F5F5" w:val="clear"/>
            <w:vAlign w:val="center"/>
          </w:tcPr>
          <w:p>
            <w:pPr>
              <w:spacing w:before="30" w:after="30"/>
            </w:pPr>
            <w:r>
              <w:rPr>
                <w:rFonts w:ascii="DM Sans" w:hAnsi="DM Sans" w:cs="DM Sans"/>
                <w:b w:val="0"/>
                <w:i w:val="0"/>
                <w:color w:val="050C2A"/>
                <w:sz w:val="20"/>
                <w:u w:val="none"/>
              </w:rPr>
              <w:t>Module</w:t>
            </w:r>
          </w:p>
        </w:tc>
        <w:tc>
          <w:tcPr>
            <w:tcW w:type="dxa" w:w="1399"/>
            <w:shd w:fill="F5F5F5" w:val="clear"/>
            <w:vAlign w:val="center"/>
          </w:tcPr>
          <w:p>
            <w:pPr>
              <w:spacing w:before="30" w:after="30"/>
            </w:pPr>
            <w:r>
              <w:rPr>
                <w:rFonts w:ascii="DM Sans" w:hAnsi="DM Sans" w:cs="DM Sans"/>
                <w:b w:val="0"/>
                <w:i w:val="0"/>
                <w:color w:val="050C2A"/>
                <w:sz w:val="20"/>
                <w:u w:val="none"/>
              </w:rPr>
              <w:t>20</w:t>
            </w:r>
          </w:p>
        </w:tc>
        <w:tc>
          <w:tcPr>
            <w:tcW w:type="dxa" w:w="2946"/>
            <w:shd w:fill="F5F5F5" w:val="clear"/>
            <w:vAlign w:val="center"/>
          </w:tcPr>
          <w:p>
            <w:pPr>
              <w:spacing w:before="30" w:after="30"/>
            </w:pPr>
            <w:r>
              <w:rPr>
                <w:rFonts w:ascii="DM Sans" w:hAnsi="DM Sans" w:cs="DM Sans"/>
                <w:b w:val="0"/>
                <w:i w:val="0"/>
                <w:color w:val="050C2A"/>
                <w:sz w:val="20"/>
                <w:u w:val="none"/>
              </w:rPr>
              <w:t>Moving from "what we found" to "what it means" — patterns, conclusions, avoiding summary traps</w:t>
            </w:r>
          </w:p>
        </w:tc>
      </w:tr>
      <w:tr>
        <w:tc>
          <w:tcPr>
            <w:tcW w:type="dxa" w:w="528"/>
            <w:vAlign w:val="center"/>
          </w:tcPr>
          <w:p>
            <w:pPr>
              <w:spacing w:before="30" w:after="30"/>
            </w:pPr>
            <w:r>
              <w:rPr>
                <w:rFonts w:ascii="DM Sans" w:hAnsi="DM Sans" w:cs="DM Sans"/>
                <w:b w:val="0"/>
                <w:i w:val="0"/>
                <w:color w:val="050C2A"/>
                <w:sz w:val="20"/>
                <w:u w:val="none"/>
              </w:rPr>
              <w:t>4.03</w:t>
            </w:r>
          </w:p>
        </w:tc>
        <w:tc>
          <w:tcPr>
            <w:tcW w:type="dxa" w:w="1322"/>
            <w:vAlign w:val="center"/>
          </w:tcPr>
          <w:p>
            <w:pPr>
              <w:spacing w:before="30" w:after="30"/>
            </w:pPr>
            <w:r>
              <w:rPr>
                <w:rFonts w:ascii="DM Sans" w:hAnsi="DM Sans" w:cs="DM Sans"/>
                <w:b w:val="0"/>
                <w:i w:val="0"/>
                <w:color w:val="050C2A"/>
                <w:sz w:val="20"/>
                <w:u w:val="none"/>
              </w:rPr>
              <w:t>Professional Fundamentals</w:t>
            </w:r>
          </w:p>
        </w:tc>
        <w:tc>
          <w:tcPr>
            <w:tcW w:type="dxa" w:w="2466"/>
            <w:vAlign w:val="center"/>
          </w:tcPr>
          <w:p>
            <w:pPr>
              <w:spacing w:before="30" w:after="30"/>
            </w:pPr>
            <w:r>
              <w:rPr>
                <w:rFonts w:ascii="DM Sans" w:hAnsi="DM Sans" w:cs="DM Sans"/>
                <w:b w:val="0"/>
                <w:i w:val="0"/>
                <w:color w:val="050C2A"/>
                <w:sz w:val="20"/>
                <w:u w:val="none"/>
              </w:rPr>
              <w:t>Evidence-Based Reasoning</w:t>
            </w:r>
          </w:p>
        </w:tc>
        <w:tc>
          <w:tcPr>
            <w:tcW w:type="dxa" w:w="699"/>
            <w:vAlign w:val="center"/>
          </w:tcPr>
          <w:p>
            <w:pPr>
              <w:spacing w:before="30" w:after="30"/>
            </w:pPr>
            <w:r>
              <w:rPr>
                <w:rFonts w:ascii="DM Sans" w:hAnsi="DM Sans" w:cs="DM Sans"/>
                <w:b w:val="0"/>
                <w:i w:val="0"/>
                <w:color w:val="050C2A"/>
                <w:sz w:val="20"/>
                <w:u w:val="none"/>
              </w:rPr>
              <w:t>Module</w:t>
            </w:r>
          </w:p>
        </w:tc>
        <w:tc>
          <w:tcPr>
            <w:tcW w:type="dxa" w:w="1399"/>
            <w:vAlign w:val="center"/>
          </w:tcPr>
          <w:p>
            <w:pPr>
              <w:spacing w:before="30" w:after="30"/>
            </w:pPr>
            <w:r>
              <w:rPr>
                <w:rFonts w:ascii="DM Sans" w:hAnsi="DM Sans" w:cs="DM Sans"/>
                <w:b w:val="0"/>
                <w:i w:val="0"/>
                <w:color w:val="050C2A"/>
                <w:sz w:val="20"/>
                <w:u w:val="none"/>
              </w:rPr>
              <w:t>15</w:t>
            </w:r>
          </w:p>
        </w:tc>
        <w:tc>
          <w:tcPr>
            <w:tcW w:type="dxa" w:w="2946"/>
            <w:vAlign w:val="center"/>
          </w:tcPr>
          <w:p>
            <w:pPr>
              <w:spacing w:before="30" w:after="30"/>
            </w:pPr>
            <w:r>
              <w:rPr>
                <w:rFonts w:ascii="DM Sans" w:hAnsi="DM Sans" w:cs="DM Sans"/>
                <w:b w:val="0"/>
                <w:i w:val="0"/>
                <w:color w:val="050C2A"/>
                <w:sz w:val="20"/>
                <w:u w:val="none"/>
              </w:rPr>
              <w:t>What counts as evidence; supporting claims vs. asserting them; acknowledging uncertainty</w:t>
            </w:r>
          </w:p>
        </w:tc>
      </w:tr>
      <w:tr>
        <w:tc>
          <w:tcPr>
            <w:tcW w:type="dxa" w:w="528"/>
            <w:shd w:fill="F5F5F5" w:val="clear"/>
            <w:vAlign w:val="center"/>
          </w:tcPr>
          <w:p>
            <w:pPr>
              <w:spacing w:before="30" w:after="30"/>
            </w:pPr>
            <w:r>
              <w:rPr>
                <w:rFonts w:ascii="DM Sans" w:hAnsi="DM Sans" w:cs="DM Sans"/>
                <w:b w:val="0"/>
                <w:i w:val="0"/>
                <w:color w:val="050C2A"/>
                <w:sz w:val="20"/>
                <w:u w:val="none"/>
              </w:rPr>
              <w:t>4.04</w:t>
            </w:r>
          </w:p>
        </w:tc>
        <w:tc>
          <w:tcPr>
            <w:tcW w:type="dxa" w:w="1322"/>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466"/>
            <w:shd w:fill="F5F5F5" w:val="clear"/>
            <w:vAlign w:val="center"/>
          </w:tcPr>
          <w:p>
            <w:pPr>
              <w:spacing w:before="30" w:after="30"/>
            </w:pPr>
            <w:r>
              <w:rPr>
                <w:rFonts w:ascii="DM Sans" w:hAnsi="DM Sans" w:cs="DM Sans"/>
                <w:b w:val="0"/>
                <w:i w:val="0"/>
                <w:color w:val="050C2A"/>
                <w:sz w:val="20"/>
                <w:u w:val="none"/>
              </w:rPr>
              <w:t>From Insights to Strategic Implications</w:t>
            </w:r>
          </w:p>
        </w:tc>
        <w:tc>
          <w:tcPr>
            <w:tcW w:type="dxa" w:w="699"/>
            <w:shd w:fill="F5F5F5" w:val="clear"/>
            <w:vAlign w:val="center"/>
          </w:tcPr>
          <w:p>
            <w:pPr>
              <w:spacing w:before="30" w:after="30"/>
            </w:pPr>
            <w:r>
              <w:rPr>
                <w:rFonts w:ascii="DM Sans" w:hAnsi="DM Sans" w:cs="DM Sans"/>
                <w:b w:val="0"/>
                <w:i w:val="0"/>
                <w:color w:val="050C2A"/>
                <w:sz w:val="20"/>
                <w:u w:val="none"/>
              </w:rPr>
              <w:t>Module</w:t>
            </w:r>
          </w:p>
        </w:tc>
        <w:tc>
          <w:tcPr>
            <w:tcW w:type="dxa" w:w="1399"/>
            <w:shd w:fill="F5F5F5" w:val="clear"/>
            <w:vAlign w:val="center"/>
          </w:tcPr>
          <w:p>
            <w:pPr>
              <w:spacing w:before="30" w:after="30"/>
            </w:pPr>
            <w:r>
              <w:rPr>
                <w:rFonts w:ascii="DM Sans" w:hAnsi="DM Sans" w:cs="DM Sans"/>
                <w:b w:val="0"/>
                <w:i w:val="0"/>
                <w:color w:val="050C2A"/>
                <w:sz w:val="20"/>
                <w:u w:val="none"/>
              </w:rPr>
              <w:t>20</w:t>
            </w:r>
          </w:p>
        </w:tc>
        <w:tc>
          <w:tcPr>
            <w:tcW w:type="dxa" w:w="2946"/>
            <w:shd w:fill="F5F5F5" w:val="clear"/>
            <w:vAlign w:val="center"/>
          </w:tcPr>
          <w:p>
            <w:pPr>
              <w:spacing w:before="30" w:after="30"/>
            </w:pPr>
            <w:r>
              <w:rPr>
                <w:rFonts w:ascii="DM Sans" w:hAnsi="DM Sans" w:cs="DM Sans"/>
                <w:b w:val="0"/>
                <w:i w:val="0"/>
                <w:color w:val="050C2A"/>
                <w:sz w:val="20"/>
                <w:u w:val="none"/>
              </w:rPr>
              <w:t>The "so what" move — naming assumptions, identifying constraints, connecting research to project approach</w:t>
            </w:r>
          </w:p>
        </w:tc>
      </w:tr>
      <w:tr>
        <w:tc>
          <w:tcPr>
            <w:tcW w:type="dxa" w:w="528"/>
            <w:vAlign w:val="center"/>
          </w:tcPr>
          <w:p>
            <w:pPr>
              <w:spacing w:before="30" w:after="30"/>
            </w:pPr>
            <w:r>
              <w:rPr>
                <w:rFonts w:ascii="DM Sans" w:hAnsi="DM Sans" w:cs="DM Sans"/>
                <w:b w:val="0"/>
                <w:i w:val="0"/>
                <w:color w:val="050C2A"/>
                <w:sz w:val="20"/>
                <w:u w:val="none"/>
              </w:rPr>
              <w:t>4.05</w:t>
            </w:r>
          </w:p>
        </w:tc>
        <w:tc>
          <w:tcPr>
            <w:tcW w:type="dxa" w:w="1322"/>
            <w:vAlign w:val="center"/>
          </w:tcPr>
          <w:p>
            <w:pPr>
              <w:spacing w:before="30" w:after="30"/>
            </w:pPr>
            <w:r>
              <w:rPr>
                <w:rFonts w:ascii="DM Sans" w:hAnsi="DM Sans" w:cs="DM Sans"/>
                <w:b w:val="0"/>
                <w:i w:val="0"/>
                <w:color w:val="050C2A"/>
                <w:sz w:val="20"/>
                <w:u w:val="none"/>
              </w:rPr>
              <w:t>Professional Fundamentals</w:t>
            </w:r>
          </w:p>
        </w:tc>
        <w:tc>
          <w:tcPr>
            <w:tcW w:type="dxa" w:w="2466"/>
            <w:vAlign w:val="center"/>
          </w:tcPr>
          <w:p>
            <w:pPr>
              <w:spacing w:before="30" w:after="30"/>
            </w:pPr>
            <w:r>
              <w:rPr>
                <w:rFonts w:ascii="DM Sans" w:hAnsi="DM Sans" w:cs="DM Sans"/>
                <w:b w:val="0"/>
                <w:i w:val="0"/>
                <w:color w:val="050C2A"/>
                <w:sz w:val="20"/>
                <w:u w:val="none"/>
              </w:rPr>
              <w:t>Prioritization in Planning</w:t>
            </w:r>
          </w:p>
        </w:tc>
        <w:tc>
          <w:tcPr>
            <w:tcW w:type="dxa" w:w="699"/>
            <w:vAlign w:val="center"/>
          </w:tcPr>
          <w:p>
            <w:pPr>
              <w:spacing w:before="30" w:after="30"/>
            </w:pPr>
            <w:r>
              <w:rPr>
                <w:rFonts w:ascii="DM Sans" w:hAnsi="DM Sans" w:cs="DM Sans"/>
                <w:b w:val="0"/>
                <w:i w:val="0"/>
                <w:color w:val="050C2A"/>
                <w:sz w:val="20"/>
                <w:u w:val="none"/>
              </w:rPr>
              <w:t>Module</w:t>
            </w:r>
          </w:p>
        </w:tc>
        <w:tc>
          <w:tcPr>
            <w:tcW w:type="dxa" w:w="1399"/>
            <w:vAlign w:val="center"/>
          </w:tcPr>
          <w:p>
            <w:pPr>
              <w:spacing w:before="30" w:after="30"/>
            </w:pPr>
            <w:r>
              <w:rPr>
                <w:rFonts w:ascii="DM Sans" w:hAnsi="DM Sans" w:cs="DM Sans"/>
                <w:b w:val="0"/>
                <w:i w:val="0"/>
                <w:color w:val="050C2A"/>
                <w:sz w:val="20"/>
                <w:u w:val="none"/>
              </w:rPr>
              <w:t>15</w:t>
            </w:r>
          </w:p>
        </w:tc>
        <w:tc>
          <w:tcPr>
            <w:tcW w:type="dxa" w:w="2946"/>
            <w:vAlign w:val="center"/>
          </w:tcPr>
          <w:p>
            <w:pPr>
              <w:spacing w:before="30" w:after="30"/>
            </w:pPr>
            <w:r>
              <w:rPr>
                <w:rFonts w:ascii="DM Sans" w:hAnsi="DM Sans" w:cs="DM Sans"/>
                <w:b w:val="0"/>
                <w:i w:val="0"/>
                <w:color w:val="050C2A"/>
                <w:sz w:val="20"/>
                <w:u w:val="none"/>
              </w:rPr>
              <w:t>Scoping to reality, making tradeoffs explicit, what to do and what not to do</w:t>
            </w:r>
          </w:p>
        </w:tc>
      </w:tr>
      <w:tr>
        <w:tc>
          <w:tcPr>
            <w:tcW w:type="dxa" w:w="528"/>
            <w:shd w:fill="F5F5F5" w:val="clear"/>
            <w:vAlign w:val="center"/>
          </w:tcPr>
          <w:p>
            <w:pPr>
              <w:spacing w:before="30" w:after="30"/>
            </w:pPr>
            <w:r>
              <w:rPr>
                <w:rFonts w:ascii="DM Sans" w:hAnsi="DM Sans" w:cs="DM Sans"/>
                <w:b w:val="0"/>
                <w:i w:val="0"/>
                <w:color w:val="050C2A"/>
                <w:sz w:val="20"/>
                <w:u w:val="none"/>
              </w:rPr>
              <w:t>4.06</w:t>
            </w:r>
          </w:p>
        </w:tc>
        <w:tc>
          <w:tcPr>
            <w:tcW w:type="dxa" w:w="1322"/>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466"/>
            <w:shd w:fill="F5F5F5" w:val="clear"/>
            <w:vAlign w:val="center"/>
          </w:tcPr>
          <w:p>
            <w:pPr>
              <w:spacing w:before="30" w:after="30"/>
            </w:pPr>
            <w:r>
              <w:rPr>
                <w:rFonts w:ascii="DM Sans" w:hAnsi="DM Sans" w:cs="DM Sans"/>
                <w:b w:val="0"/>
                <w:i w:val="0"/>
                <w:color w:val="050C2A"/>
                <w:sz w:val="20"/>
                <w:u w:val="none"/>
              </w:rPr>
              <w:t>Risk Identification and Mitigation</w:t>
            </w:r>
          </w:p>
        </w:tc>
        <w:tc>
          <w:tcPr>
            <w:tcW w:type="dxa" w:w="699"/>
            <w:shd w:fill="F5F5F5" w:val="clear"/>
            <w:vAlign w:val="center"/>
          </w:tcPr>
          <w:p>
            <w:pPr>
              <w:spacing w:before="30" w:after="30"/>
            </w:pPr>
            <w:r>
              <w:rPr>
                <w:rFonts w:ascii="DM Sans" w:hAnsi="DM Sans" w:cs="DM Sans"/>
                <w:b w:val="0"/>
                <w:i w:val="0"/>
                <w:color w:val="050C2A"/>
                <w:sz w:val="20"/>
                <w:u w:val="none"/>
              </w:rPr>
              <w:t>Module</w:t>
            </w:r>
          </w:p>
        </w:tc>
        <w:tc>
          <w:tcPr>
            <w:tcW w:type="dxa" w:w="1399"/>
            <w:shd w:fill="F5F5F5" w:val="clear"/>
            <w:vAlign w:val="center"/>
          </w:tcPr>
          <w:p>
            <w:pPr>
              <w:spacing w:before="30" w:after="30"/>
            </w:pPr>
            <w:r>
              <w:rPr>
                <w:rFonts w:ascii="DM Sans" w:hAnsi="DM Sans" w:cs="DM Sans"/>
                <w:b w:val="0"/>
                <w:i w:val="0"/>
                <w:color w:val="050C2A"/>
                <w:sz w:val="20"/>
                <w:u w:val="none"/>
              </w:rPr>
              <w:t>20</w:t>
            </w:r>
          </w:p>
        </w:tc>
        <w:tc>
          <w:tcPr>
            <w:tcW w:type="dxa" w:w="2946"/>
            <w:shd w:fill="F5F5F5" w:val="clear"/>
            <w:vAlign w:val="center"/>
          </w:tcPr>
          <w:p>
            <w:pPr>
              <w:spacing w:before="30" w:after="30"/>
            </w:pPr>
            <w:r>
              <w:rPr>
                <w:rFonts w:ascii="DM Sans" w:hAnsi="DM Sans" w:cs="DM Sans"/>
                <w:b w:val="0"/>
                <w:i w:val="0"/>
                <w:color w:val="050C2A"/>
                <w:sz w:val="20"/>
                <w:u w:val="none"/>
              </w:rPr>
              <w:t>What goes wrong in projects; likelihood vs. impact thinking; realistic mitigation</w:t>
            </w:r>
          </w:p>
        </w:tc>
      </w:tr>
      <w:tr>
        <w:tc>
          <w:tcPr>
            <w:tcW w:type="dxa" w:w="528"/>
            <w:vAlign w:val="center"/>
          </w:tcPr>
          <w:p>
            <w:pPr>
              <w:spacing w:before="30" w:after="30"/>
            </w:pPr>
            <w:r>
              <w:rPr>
                <w:rFonts w:ascii="DM Sans" w:hAnsi="DM Sans" w:cs="DM Sans"/>
                <w:b w:val="0"/>
                <w:i w:val="0"/>
                <w:color w:val="050C2A"/>
                <w:sz w:val="20"/>
                <w:u w:val="none"/>
              </w:rPr>
              <w:t>4.07</w:t>
            </w:r>
          </w:p>
        </w:tc>
        <w:tc>
          <w:tcPr>
            <w:tcW w:type="dxa" w:w="1322"/>
            <w:vAlign w:val="center"/>
          </w:tcPr>
          <w:p>
            <w:pPr>
              <w:spacing w:before="30" w:after="30"/>
            </w:pPr>
            <w:r>
              <w:rPr>
                <w:rFonts w:ascii="DM Sans" w:hAnsi="DM Sans" w:cs="DM Sans"/>
                <w:b w:val="0"/>
                <w:i w:val="0"/>
                <w:color w:val="050C2A"/>
                <w:sz w:val="20"/>
                <w:u w:val="none"/>
              </w:rPr>
              <w:t>Professional Fundamentals</w:t>
            </w:r>
          </w:p>
        </w:tc>
        <w:tc>
          <w:tcPr>
            <w:tcW w:type="dxa" w:w="2466"/>
            <w:vAlign w:val="center"/>
          </w:tcPr>
          <w:p>
            <w:pPr>
              <w:spacing w:before="30" w:after="30"/>
            </w:pPr>
            <w:r>
              <w:rPr>
                <w:rFonts w:ascii="DM Sans" w:hAnsi="DM Sans" w:cs="DM Sans"/>
                <w:b w:val="0"/>
                <w:i w:val="0"/>
                <w:color w:val="050C2A"/>
                <w:sz w:val="20"/>
                <w:u w:val="none"/>
              </w:rPr>
              <w:t>Using AI for Research and Synthesis</w:t>
            </w:r>
          </w:p>
        </w:tc>
        <w:tc>
          <w:tcPr>
            <w:tcW w:type="dxa" w:w="699"/>
            <w:vAlign w:val="center"/>
          </w:tcPr>
          <w:p>
            <w:pPr>
              <w:spacing w:before="30" w:after="30"/>
            </w:pPr>
            <w:r>
              <w:rPr>
                <w:rFonts w:ascii="DM Sans" w:hAnsi="DM Sans" w:cs="DM Sans"/>
                <w:b w:val="0"/>
                <w:i w:val="0"/>
                <w:color w:val="050C2A"/>
                <w:sz w:val="20"/>
                <w:u w:val="none"/>
              </w:rPr>
              <w:t>Module</w:t>
            </w:r>
          </w:p>
        </w:tc>
        <w:tc>
          <w:tcPr>
            <w:tcW w:type="dxa" w:w="1399"/>
            <w:vAlign w:val="center"/>
          </w:tcPr>
          <w:p>
            <w:pPr>
              <w:spacing w:before="30" w:after="30"/>
            </w:pPr>
            <w:r>
              <w:rPr>
                <w:rFonts w:ascii="DM Sans" w:hAnsi="DM Sans" w:cs="DM Sans"/>
                <w:b w:val="0"/>
                <w:i w:val="0"/>
                <w:color w:val="050C2A"/>
                <w:sz w:val="20"/>
                <w:u w:val="none"/>
              </w:rPr>
              <w:t>15</w:t>
            </w:r>
          </w:p>
        </w:tc>
        <w:tc>
          <w:tcPr>
            <w:tcW w:type="dxa" w:w="2946"/>
            <w:vAlign w:val="center"/>
          </w:tcPr>
          <w:p>
            <w:pPr>
              <w:spacing w:before="30" w:after="30"/>
            </w:pPr>
            <w:r>
              <w:rPr>
                <w:rFonts w:ascii="DM Sans" w:hAnsi="DM Sans" w:cs="DM Sans"/>
                <w:b w:val="0"/>
                <w:i w:val="0"/>
                <w:color w:val="050C2A"/>
                <w:sz w:val="20"/>
                <w:u w:val="none"/>
              </w:rPr>
              <w:t>Prompting AI for competitive landscape or synthesis; evaluating output; verifying claims; what AI cannot do</w:t>
            </w:r>
          </w:p>
        </w:tc>
      </w:tr>
      <w:tr>
        <w:tc>
          <w:tcPr>
            <w:tcW w:type="dxa" w:w="528"/>
            <w:shd w:fill="F5F5F5" w:val="clear"/>
            <w:vAlign w:val="center"/>
          </w:tcPr>
          <w:p>
            <w:pPr>
              <w:spacing w:before="30" w:after="30"/>
            </w:pPr>
            <w:r>
              <w:rPr>
                <w:rFonts w:ascii="DM Sans" w:hAnsi="DM Sans" w:cs="DM Sans"/>
                <w:b w:val="0"/>
                <w:i w:val="0"/>
                <w:color w:val="050C2A"/>
                <w:sz w:val="20"/>
                <w:u w:val="none"/>
              </w:rPr>
              <w:t>4.08</w:t>
            </w:r>
          </w:p>
        </w:tc>
        <w:tc>
          <w:tcPr>
            <w:tcW w:type="dxa" w:w="1322"/>
            <w:shd w:fill="F5F5F5" w:val="clear"/>
            <w:vAlign w:val="center"/>
          </w:tcPr>
          <w:p>
            <w:pPr>
              <w:spacing w:before="30" w:after="30"/>
            </w:pPr>
            <w:r>
              <w:rPr>
                <w:rFonts w:ascii="DM Sans" w:hAnsi="DM Sans" w:cs="DM Sans"/>
                <w:b w:val="0"/>
                <w:i w:val="0"/>
                <w:color w:val="050C2A"/>
                <w:sz w:val="20"/>
                <w:u w:val="none"/>
              </w:rPr>
              <w:t>Project Work</w:t>
            </w:r>
          </w:p>
        </w:tc>
        <w:tc>
          <w:tcPr>
            <w:tcW w:type="dxa" w:w="2466"/>
            <w:shd w:fill="F5F5F5" w:val="clear"/>
            <w:vAlign w:val="center"/>
          </w:tcPr>
          <w:p>
            <w:pPr>
              <w:spacing w:before="30" w:after="30"/>
            </w:pPr>
            <w:r>
              <w:rPr>
                <w:rFonts w:ascii="DM Sans" w:hAnsi="DM Sans" w:cs="DM Sans"/>
                <w:b w:val="0"/>
                <w:i w:val="0"/>
                <w:color w:val="050C2A"/>
                <w:sz w:val="20"/>
                <w:u w:val="none"/>
              </w:rPr>
              <w:t>Deep research — competitive landscape, industry trends, stakeholder context</w:t>
            </w:r>
          </w:p>
        </w:tc>
        <w:tc>
          <w:tcPr>
            <w:tcW w:type="dxa" w:w="699"/>
            <w:shd w:fill="F5F5F5" w:val="clear"/>
            <w:vAlign w:val="center"/>
          </w:tcPr>
          <w:p>
            <w:pPr>
              <w:spacing w:before="30" w:after="30"/>
            </w:pPr>
            <w:r>
              <w:rPr>
                <w:rFonts w:ascii="DM Sans" w:hAnsi="DM Sans" w:cs="DM Sans"/>
                <w:b w:val="0"/>
                <w:i w:val="0"/>
                <w:color w:val="050C2A"/>
                <w:sz w:val="20"/>
                <w:u w:val="none"/>
              </w:rPr>
              <w:t>Project</w:t>
            </w:r>
          </w:p>
        </w:tc>
        <w:tc>
          <w:tcPr>
            <w:tcW w:type="dxa" w:w="1399"/>
            <w:shd w:fill="F5F5F5" w:val="clear"/>
            <w:vAlign w:val="center"/>
          </w:tcPr>
          <w:p>
            <w:pPr>
              <w:spacing w:before="30" w:after="30"/>
            </w:pPr>
            <w:r>
              <w:rPr>
                <w:rFonts w:ascii="DM Sans" w:hAnsi="DM Sans" w:cs="DM Sans"/>
                <w:b w:val="0"/>
                <w:i w:val="0"/>
                <w:color w:val="050C2A"/>
                <w:sz w:val="20"/>
                <w:u w:val="none"/>
              </w:rPr>
              <w:t>150</w:t>
            </w:r>
          </w:p>
        </w:tc>
        <w:tc>
          <w:tcPr>
            <w:tcW w:type="dxa" w:w="2946"/>
            <w:shd w:fill="F5F5F5" w:val="clear"/>
            <w:vAlign w:val="center"/>
          </w:tcPr>
          <w:p>
            <w:pPr>
              <w:spacing w:before="30" w:after="30"/>
            </w:pPr>
            <w:r>
              <w:rPr>
                <w:rFonts w:ascii="DM Sans" w:hAnsi="DM Sans" w:cs="DM Sans"/>
                <w:b w:val="0"/>
                <w:i w:val="0"/>
                <w:color w:val="050C2A"/>
                <w:sz w:val="20"/>
                <w:u w:val="none"/>
              </w:rPr>
              <w:t>Students divide research responsibilities; heaviest single project block so far</w:t>
            </w:r>
          </w:p>
        </w:tc>
      </w:tr>
      <w:tr>
        <w:tc>
          <w:tcPr>
            <w:tcW w:type="dxa" w:w="528"/>
            <w:vAlign w:val="center"/>
          </w:tcPr>
          <w:p>
            <w:pPr>
              <w:spacing w:before="30" w:after="30"/>
            </w:pPr>
            <w:r>
              <w:rPr>
                <w:rFonts w:ascii="DM Sans" w:hAnsi="DM Sans" w:cs="DM Sans"/>
                <w:b w:val="0"/>
                <w:i w:val="0"/>
                <w:color w:val="050C2A"/>
                <w:sz w:val="20"/>
                <w:u w:val="none"/>
              </w:rPr>
              <w:t>4.09</w:t>
            </w:r>
          </w:p>
        </w:tc>
        <w:tc>
          <w:tcPr>
            <w:tcW w:type="dxa" w:w="1322"/>
            <w:vAlign w:val="center"/>
          </w:tcPr>
          <w:p>
            <w:pPr>
              <w:spacing w:before="30" w:after="30"/>
            </w:pPr>
            <w:r>
              <w:rPr>
                <w:rFonts w:ascii="DM Sans" w:hAnsi="DM Sans" w:cs="DM Sans"/>
                <w:b w:val="0"/>
                <w:i w:val="0"/>
                <w:color w:val="050C2A"/>
                <w:sz w:val="20"/>
                <w:u w:val="none"/>
              </w:rPr>
              <w:t>Project Work</w:t>
            </w:r>
          </w:p>
        </w:tc>
        <w:tc>
          <w:tcPr>
            <w:tcW w:type="dxa" w:w="2466"/>
            <w:vAlign w:val="center"/>
          </w:tcPr>
          <w:p>
            <w:pPr>
              <w:spacing w:before="30" w:after="30"/>
            </w:pPr>
            <w:r>
              <w:rPr>
                <w:rFonts w:ascii="DM Sans" w:hAnsi="DM Sans" w:cs="DM Sans"/>
                <w:b w:val="0"/>
                <w:i w:val="0"/>
                <w:color w:val="050C2A"/>
                <w:sz w:val="20"/>
                <w:u w:val="none"/>
              </w:rPr>
              <w:t>Independent research on unfamiliar methods</w:t>
            </w:r>
          </w:p>
        </w:tc>
        <w:tc>
          <w:tcPr>
            <w:tcW w:type="dxa" w:w="699"/>
            <w:vAlign w:val="center"/>
          </w:tcPr>
          <w:p>
            <w:pPr>
              <w:spacing w:before="30" w:after="30"/>
            </w:pPr>
            <w:r>
              <w:rPr>
                <w:rFonts w:ascii="DM Sans" w:hAnsi="DM Sans" w:cs="DM Sans"/>
                <w:b w:val="0"/>
                <w:i w:val="0"/>
                <w:color w:val="050C2A"/>
                <w:sz w:val="20"/>
                <w:u w:val="none"/>
              </w:rPr>
              <w:t>Project</w:t>
            </w:r>
          </w:p>
        </w:tc>
        <w:tc>
          <w:tcPr>
            <w:tcW w:type="dxa" w:w="1399"/>
            <w:vAlign w:val="center"/>
          </w:tcPr>
          <w:p>
            <w:pPr>
              <w:spacing w:before="30" w:after="30"/>
            </w:pPr>
            <w:r>
              <w:rPr>
                <w:rFonts w:ascii="DM Sans" w:hAnsi="DM Sans" w:cs="DM Sans"/>
                <w:b w:val="0"/>
                <w:i w:val="0"/>
                <w:color w:val="050C2A"/>
                <w:sz w:val="20"/>
                <w:u w:val="none"/>
              </w:rPr>
              <w:t>30</w:t>
            </w:r>
          </w:p>
        </w:tc>
        <w:tc>
          <w:tcPr>
            <w:tcW w:type="dxa" w:w="2946"/>
            <w:vAlign w:val="center"/>
          </w:tcPr>
          <w:p>
            <w:pPr>
              <w:spacing w:before="30" w:after="30"/>
            </w:pPr>
            <w:r>
              <w:rPr>
                <w:rFonts w:ascii="DM Sans" w:hAnsi="DM Sans" w:cs="DM Sans"/>
                <w:b w:val="0"/>
                <w:i w:val="0"/>
                <w:color w:val="050C2A"/>
                <w:sz w:val="20"/>
                <w:u w:val="none"/>
              </w:rPr>
              <w:t>Self-directed skill acquisition — how to do competitive analysis, stakeholder mapping, risk matrices</w:t>
            </w:r>
          </w:p>
        </w:tc>
      </w:tr>
      <w:tr>
        <w:tc>
          <w:tcPr>
            <w:tcW w:type="dxa" w:w="528"/>
            <w:shd w:fill="F5F5F5" w:val="clear"/>
            <w:vAlign w:val="center"/>
          </w:tcPr>
          <w:p>
            <w:pPr>
              <w:spacing w:before="30" w:after="30"/>
            </w:pPr>
            <w:r>
              <w:rPr>
                <w:rFonts w:ascii="DM Sans" w:hAnsi="DM Sans" w:cs="DM Sans"/>
                <w:b w:val="0"/>
                <w:i w:val="0"/>
                <w:color w:val="050C2A"/>
                <w:sz w:val="20"/>
                <w:u w:val="none"/>
              </w:rPr>
              <w:t>4.10</w:t>
            </w:r>
          </w:p>
        </w:tc>
        <w:tc>
          <w:tcPr>
            <w:tcW w:type="dxa" w:w="1322"/>
            <w:shd w:fill="F5F5F5" w:val="clear"/>
            <w:vAlign w:val="center"/>
          </w:tcPr>
          <w:p>
            <w:pPr>
              <w:spacing w:before="30" w:after="30"/>
            </w:pPr>
            <w:r>
              <w:rPr>
                <w:rFonts w:ascii="DM Sans" w:hAnsi="DM Sans" w:cs="DM Sans"/>
                <w:b w:val="0"/>
                <w:i w:val="0"/>
                <w:color w:val="050C2A"/>
                <w:sz w:val="20"/>
                <w:u w:val="none"/>
              </w:rPr>
              <w:t>Project Work</w:t>
            </w:r>
          </w:p>
        </w:tc>
        <w:tc>
          <w:tcPr>
            <w:tcW w:type="dxa" w:w="2466"/>
            <w:shd w:fill="F5F5F5" w:val="clear"/>
            <w:vAlign w:val="center"/>
          </w:tcPr>
          <w:p>
            <w:pPr>
              <w:spacing w:before="30" w:after="30"/>
            </w:pPr>
            <w:r>
              <w:rPr>
                <w:rFonts w:ascii="DM Sans" w:hAnsi="DM Sans" w:cs="DM Sans"/>
                <w:b w:val="0"/>
                <w:i w:val="0"/>
                <w:color w:val="050C2A"/>
                <w:sz w:val="20"/>
                <w:u w:val="none"/>
              </w:rPr>
              <w:t>Team synthesis meeting — align on key findings and strategic direction</w:t>
            </w:r>
          </w:p>
        </w:tc>
        <w:tc>
          <w:tcPr>
            <w:tcW w:type="dxa" w:w="699"/>
            <w:shd w:fill="F5F5F5" w:val="clear"/>
            <w:vAlign w:val="center"/>
          </w:tcPr>
          <w:p>
            <w:pPr>
              <w:spacing w:before="30" w:after="30"/>
            </w:pPr>
            <w:r>
              <w:rPr>
                <w:rFonts w:ascii="DM Sans" w:hAnsi="DM Sans" w:cs="DM Sans"/>
                <w:b w:val="0"/>
                <w:i w:val="0"/>
                <w:color w:val="050C2A"/>
                <w:sz w:val="20"/>
                <w:u w:val="none"/>
              </w:rPr>
              <w:t>Project</w:t>
            </w:r>
          </w:p>
        </w:tc>
        <w:tc>
          <w:tcPr>
            <w:tcW w:type="dxa" w:w="1399"/>
            <w:shd w:fill="F5F5F5" w:val="clear"/>
            <w:vAlign w:val="center"/>
          </w:tcPr>
          <w:p>
            <w:pPr>
              <w:spacing w:before="30" w:after="30"/>
            </w:pPr>
            <w:r>
              <w:rPr>
                <w:rFonts w:ascii="DM Sans" w:hAnsi="DM Sans" w:cs="DM Sans"/>
                <w:b w:val="0"/>
                <w:i w:val="0"/>
                <w:color w:val="050C2A"/>
                <w:sz w:val="20"/>
                <w:u w:val="none"/>
              </w:rPr>
              <w:t>90</w:t>
            </w:r>
          </w:p>
        </w:tc>
        <w:tc>
          <w:tcPr>
            <w:tcW w:type="dxa" w:w="2946"/>
            <w:shd w:fill="F5F5F5" w:val="clear"/>
            <w:vAlign w:val="center"/>
          </w:tcPr>
          <w:p>
            <w:pPr>
              <w:spacing w:before="30" w:after="30"/>
            </w:pPr>
            <w:r>
              <w:rPr>
                <w:rFonts w:ascii="DM Sans" w:hAnsi="DM Sans" w:cs="DM Sans"/>
                <w:b w:val="0"/>
                <w:i w:val="0"/>
                <w:color w:val="050C2A"/>
                <w:sz w:val="20"/>
                <w:u w:val="none"/>
              </w:rPr>
              <w:t>Team shares individual research, identifies most important insights, agrees on strategic framing before drafting begins</w:t>
            </w:r>
          </w:p>
        </w:tc>
      </w:tr>
      <w:tr>
        <w:tc>
          <w:tcPr>
            <w:tcW w:type="dxa" w:w="528"/>
            <w:vAlign w:val="center"/>
          </w:tcPr>
          <w:p>
            <w:pPr>
              <w:spacing w:before="30" w:after="30"/>
            </w:pPr>
            <w:r>
              <w:rPr>
                <w:rFonts w:ascii="DM Sans" w:hAnsi="DM Sans" w:cs="DM Sans"/>
                <w:b w:val="0"/>
                <w:i w:val="0"/>
                <w:color w:val="050C2A"/>
                <w:sz w:val="20"/>
                <w:u w:val="none"/>
              </w:rPr>
              <w:t>4.11</w:t>
            </w:r>
          </w:p>
        </w:tc>
        <w:tc>
          <w:tcPr>
            <w:tcW w:type="dxa" w:w="1322"/>
            <w:vAlign w:val="center"/>
          </w:tcPr>
          <w:p>
            <w:pPr>
              <w:spacing w:before="30" w:after="30"/>
            </w:pPr>
            <w:r>
              <w:rPr>
                <w:rFonts w:ascii="DM Sans" w:hAnsi="DM Sans" w:cs="DM Sans"/>
                <w:b w:val="0"/>
                <w:i w:val="0"/>
                <w:color w:val="050C2A"/>
                <w:sz w:val="20"/>
                <w:u w:val="none"/>
              </w:rPr>
              <w:t>Project Work</w:t>
            </w:r>
          </w:p>
        </w:tc>
        <w:tc>
          <w:tcPr>
            <w:tcW w:type="dxa" w:w="2466"/>
            <w:vAlign w:val="center"/>
          </w:tcPr>
          <w:p>
            <w:pPr>
              <w:spacing w:before="30" w:after="30"/>
            </w:pPr>
            <w:r>
              <w:rPr>
                <w:rFonts w:ascii="DM Sans" w:hAnsi="DM Sans" w:cs="DM Sans"/>
                <w:b w:val="0"/>
                <w:i w:val="0"/>
                <w:color w:val="050C2A"/>
                <w:sz w:val="20"/>
                <w:u w:val="none"/>
              </w:rPr>
              <w:t>Individual drafting of assigned sections</w:t>
            </w:r>
          </w:p>
        </w:tc>
        <w:tc>
          <w:tcPr>
            <w:tcW w:type="dxa" w:w="699"/>
            <w:vAlign w:val="center"/>
          </w:tcPr>
          <w:p>
            <w:pPr>
              <w:spacing w:before="30" w:after="30"/>
            </w:pPr>
            <w:r>
              <w:rPr>
                <w:rFonts w:ascii="DM Sans" w:hAnsi="DM Sans" w:cs="DM Sans"/>
                <w:b w:val="0"/>
                <w:i w:val="0"/>
                <w:color w:val="050C2A"/>
                <w:sz w:val="20"/>
                <w:u w:val="none"/>
              </w:rPr>
              <w:t>Project</w:t>
            </w:r>
          </w:p>
        </w:tc>
        <w:tc>
          <w:tcPr>
            <w:tcW w:type="dxa" w:w="1399"/>
            <w:vAlign w:val="center"/>
          </w:tcPr>
          <w:p>
            <w:pPr>
              <w:spacing w:before="30" w:after="30"/>
            </w:pPr>
            <w:r>
              <w:rPr>
                <w:rFonts w:ascii="DM Sans" w:hAnsi="DM Sans" w:cs="DM Sans"/>
                <w:b w:val="0"/>
                <w:i w:val="0"/>
                <w:color w:val="050C2A"/>
                <w:sz w:val="20"/>
                <w:u w:val="none"/>
              </w:rPr>
              <w:t>90</w:t>
            </w:r>
          </w:p>
        </w:tc>
        <w:tc>
          <w:tcPr>
            <w:tcW w:type="dxa" w:w="2946"/>
            <w:vAlign w:val="center"/>
          </w:tcPr>
          <w:p>
            <w:pPr>
              <w:spacing w:before="30" w:after="30"/>
            </w:pPr>
            <w:r>
              <w:rPr>
                <w:rFonts w:ascii="DM Sans" w:hAnsi="DM Sans" w:cs="DM Sans"/>
                <w:b w:val="0"/>
                <w:i w:val="0"/>
                <w:color w:val="050C2A"/>
                <w:sz w:val="20"/>
                <w:u w:val="none"/>
              </w:rPr>
              <w:t>Each team member drafts their portion of the Context Analysis &amp; Project Plan</w:t>
            </w:r>
          </w:p>
        </w:tc>
      </w:tr>
      <w:tr>
        <w:tc>
          <w:tcPr>
            <w:tcW w:type="dxa" w:w="528"/>
            <w:shd w:fill="F5F5F5" w:val="clear"/>
            <w:vAlign w:val="center"/>
          </w:tcPr>
          <w:p>
            <w:pPr>
              <w:spacing w:before="30" w:after="30"/>
            </w:pPr>
            <w:r>
              <w:rPr>
                <w:rFonts w:ascii="DM Sans" w:hAnsi="DM Sans" w:cs="DM Sans"/>
                <w:b w:val="0"/>
                <w:i w:val="0"/>
                <w:color w:val="050C2A"/>
                <w:sz w:val="20"/>
                <w:u w:val="none"/>
              </w:rPr>
              <w:t>4.12</w:t>
            </w:r>
          </w:p>
        </w:tc>
        <w:tc>
          <w:tcPr>
            <w:tcW w:type="dxa" w:w="1322"/>
            <w:shd w:fill="F5F5F5" w:val="clear"/>
            <w:vAlign w:val="center"/>
          </w:tcPr>
          <w:p>
            <w:pPr>
              <w:spacing w:before="30" w:after="30"/>
            </w:pPr>
            <w:r>
              <w:rPr>
                <w:rFonts w:ascii="DM Sans" w:hAnsi="DM Sans" w:cs="DM Sans"/>
                <w:b w:val="0"/>
                <w:i w:val="0"/>
                <w:color w:val="050C2A"/>
                <w:sz w:val="20"/>
                <w:u w:val="none"/>
              </w:rPr>
              <w:t>Project Work</w:t>
            </w:r>
          </w:p>
        </w:tc>
        <w:tc>
          <w:tcPr>
            <w:tcW w:type="dxa" w:w="2466"/>
            <w:shd w:fill="F5F5F5" w:val="clear"/>
            <w:vAlign w:val="center"/>
          </w:tcPr>
          <w:p>
            <w:pPr>
              <w:spacing w:before="30" w:after="30"/>
            </w:pPr>
            <w:r>
              <w:rPr>
                <w:rFonts w:ascii="DM Sans" w:hAnsi="DM Sans" w:cs="DM Sans"/>
                <w:b w:val="0"/>
                <w:i w:val="0"/>
                <w:color w:val="050C2A"/>
                <w:sz w:val="20"/>
                <w:u w:val="none"/>
              </w:rPr>
              <w:t>Async review of teammates' sections + comments</w:t>
            </w:r>
          </w:p>
        </w:tc>
        <w:tc>
          <w:tcPr>
            <w:tcW w:type="dxa" w:w="699"/>
            <w:shd w:fill="F5F5F5" w:val="clear"/>
            <w:vAlign w:val="center"/>
          </w:tcPr>
          <w:p>
            <w:pPr>
              <w:spacing w:before="30" w:after="30"/>
            </w:pPr>
            <w:r>
              <w:rPr>
                <w:rFonts w:ascii="DM Sans" w:hAnsi="DM Sans" w:cs="DM Sans"/>
                <w:b w:val="0"/>
                <w:i w:val="0"/>
                <w:color w:val="050C2A"/>
                <w:sz w:val="20"/>
                <w:u w:val="none"/>
              </w:rPr>
              <w:t>Project</w:t>
            </w:r>
          </w:p>
        </w:tc>
        <w:tc>
          <w:tcPr>
            <w:tcW w:type="dxa" w:w="1399"/>
            <w:shd w:fill="F5F5F5" w:val="clear"/>
            <w:vAlign w:val="center"/>
          </w:tcPr>
          <w:p>
            <w:pPr>
              <w:spacing w:before="30" w:after="30"/>
            </w:pPr>
            <w:r>
              <w:rPr>
                <w:rFonts w:ascii="DM Sans" w:hAnsi="DM Sans" w:cs="DM Sans"/>
                <w:b w:val="0"/>
                <w:i w:val="0"/>
                <w:color w:val="050C2A"/>
                <w:sz w:val="20"/>
                <w:u w:val="none"/>
              </w:rPr>
              <w:t>30</w:t>
            </w:r>
          </w:p>
        </w:tc>
        <w:tc>
          <w:tcPr>
            <w:tcW w:type="dxa" w:w="2946"/>
            <w:shd w:fill="F5F5F5" w:val="clear"/>
            <w:vAlign w:val="center"/>
          </w:tcPr>
          <w:p>
            <w:pPr>
              <w:spacing w:before="30" w:after="30"/>
            </w:pPr>
            <w:r>
              <w:rPr>
                <w:rFonts w:ascii="DM Sans" w:hAnsi="DM Sans" w:cs="DM Sans"/>
                <w:b w:val="0"/>
                <w:i w:val="0"/>
                <w:color w:val="050C2A"/>
                <w:sz w:val="20"/>
                <w:u w:val="none"/>
              </w:rPr>
              <w:t>Cross-review before integration pass — gaps, inconsistencies, disconnects between sections</w:t>
            </w:r>
          </w:p>
        </w:tc>
      </w:tr>
      <w:tr>
        <w:tc>
          <w:tcPr>
            <w:tcW w:type="dxa" w:w="528"/>
            <w:vAlign w:val="center"/>
          </w:tcPr>
          <w:p>
            <w:pPr>
              <w:spacing w:before="30" w:after="30"/>
            </w:pPr>
            <w:r>
              <w:rPr>
                <w:rFonts w:ascii="DM Sans" w:hAnsi="DM Sans" w:cs="DM Sans"/>
                <w:b w:val="0"/>
                <w:i w:val="0"/>
                <w:color w:val="050C2A"/>
                <w:sz w:val="20"/>
                <w:u w:val="none"/>
              </w:rPr>
              <w:t>4.13</w:t>
            </w:r>
          </w:p>
        </w:tc>
        <w:tc>
          <w:tcPr>
            <w:tcW w:type="dxa" w:w="1322"/>
            <w:vAlign w:val="center"/>
          </w:tcPr>
          <w:p>
            <w:pPr>
              <w:spacing w:before="30" w:after="30"/>
            </w:pPr>
            <w:r>
              <w:rPr>
                <w:rFonts w:ascii="DM Sans" w:hAnsi="DM Sans" w:cs="DM Sans"/>
                <w:b w:val="0"/>
                <w:i w:val="0"/>
                <w:color w:val="050C2A"/>
                <w:sz w:val="20"/>
                <w:u w:val="none"/>
              </w:rPr>
              <w:t>Project Work</w:t>
            </w:r>
          </w:p>
        </w:tc>
        <w:tc>
          <w:tcPr>
            <w:tcW w:type="dxa" w:w="2466"/>
            <w:vAlign w:val="center"/>
          </w:tcPr>
          <w:p>
            <w:pPr>
              <w:spacing w:before="30" w:after="30"/>
            </w:pPr>
            <w:r>
              <w:rPr>
                <w:rFonts w:ascii="DM Sans" w:hAnsi="DM Sans" w:cs="DM Sans"/>
                <w:b w:val="0"/>
                <w:i w:val="0"/>
                <w:color w:val="050C2A"/>
                <w:sz w:val="20"/>
                <w:u w:val="none"/>
              </w:rPr>
              <w:t>Integration pass — making it read as one document</w:t>
            </w:r>
          </w:p>
        </w:tc>
        <w:tc>
          <w:tcPr>
            <w:tcW w:type="dxa" w:w="699"/>
            <w:vAlign w:val="center"/>
          </w:tcPr>
          <w:p>
            <w:pPr>
              <w:spacing w:before="30" w:after="30"/>
            </w:pPr>
            <w:r>
              <w:rPr>
                <w:rFonts w:ascii="DM Sans" w:hAnsi="DM Sans" w:cs="DM Sans"/>
                <w:b w:val="0"/>
                <w:i w:val="0"/>
                <w:color w:val="050C2A"/>
                <w:sz w:val="20"/>
                <w:u w:val="none"/>
              </w:rPr>
              <w:t>Project</w:t>
            </w:r>
          </w:p>
        </w:tc>
        <w:tc>
          <w:tcPr>
            <w:tcW w:type="dxa" w:w="1399"/>
            <w:vAlign w:val="center"/>
          </w:tcPr>
          <w:p>
            <w:pPr>
              <w:spacing w:before="30" w:after="30"/>
            </w:pPr>
            <w:r>
              <w:rPr>
                <w:rFonts w:ascii="DM Sans" w:hAnsi="DM Sans" w:cs="DM Sans"/>
                <w:b w:val="0"/>
                <w:i w:val="0"/>
                <w:color w:val="050C2A"/>
                <w:sz w:val="20"/>
                <w:u w:val="none"/>
              </w:rPr>
              <w:t>45</w:t>
            </w:r>
          </w:p>
        </w:tc>
        <w:tc>
          <w:tcPr>
            <w:tcW w:type="dxa" w:w="2946"/>
            <w:vAlign w:val="center"/>
          </w:tcPr>
          <w:p>
            <w:pPr>
              <w:spacing w:before="30" w:after="30"/>
            </w:pPr>
            <w:r>
              <w:rPr>
                <w:rFonts w:ascii="DM Sans" w:hAnsi="DM Sans" w:cs="DM Sans"/>
                <w:b w:val="0"/>
                <w:i w:val="0"/>
                <w:color w:val="050C2A"/>
                <w:sz w:val="20"/>
                <w:u w:val="none"/>
              </w:rPr>
              <w:t>Unified voice, transitions, no contradictions; one person leads or shared effort</w:t>
            </w:r>
          </w:p>
        </w:tc>
      </w:tr>
      <w:tr>
        <w:tc>
          <w:tcPr>
            <w:tcW w:type="dxa" w:w="528"/>
            <w:shd w:fill="F5F5F5" w:val="clear"/>
            <w:vAlign w:val="center"/>
          </w:tcPr>
          <w:p>
            <w:pPr>
              <w:spacing w:before="30" w:after="30"/>
            </w:pPr>
            <w:r>
              <w:rPr>
                <w:rFonts w:ascii="DM Sans" w:hAnsi="DM Sans" w:cs="DM Sans"/>
                <w:b w:val="0"/>
                <w:i w:val="0"/>
                <w:color w:val="050C2A"/>
                <w:sz w:val="20"/>
                <w:u w:val="none"/>
              </w:rPr>
              <w:t>4.14</w:t>
            </w:r>
          </w:p>
        </w:tc>
        <w:tc>
          <w:tcPr>
            <w:tcW w:type="dxa" w:w="1322"/>
            <w:shd w:fill="F5F5F5" w:val="clear"/>
            <w:vAlign w:val="center"/>
          </w:tcPr>
          <w:p>
            <w:pPr>
              <w:spacing w:before="30" w:after="30"/>
            </w:pPr>
            <w:r>
              <w:rPr>
                <w:rFonts w:ascii="DM Sans" w:hAnsi="DM Sans" w:cs="DM Sans"/>
                <w:b w:val="0"/>
                <w:i w:val="0"/>
                <w:color w:val="050C2A"/>
                <w:sz w:val="20"/>
                <w:u w:val="none"/>
              </w:rPr>
              <w:t>Project Work</w:t>
            </w:r>
          </w:p>
        </w:tc>
        <w:tc>
          <w:tcPr>
            <w:tcW w:type="dxa" w:w="2466"/>
            <w:shd w:fill="F5F5F5" w:val="clear"/>
            <w:vAlign w:val="center"/>
          </w:tcPr>
          <w:p>
            <w:pPr>
              <w:spacing w:before="30" w:after="30"/>
            </w:pPr>
            <w:r>
              <w:rPr>
                <w:rFonts w:ascii="DM Sans" w:hAnsi="DM Sans" w:cs="DM Sans"/>
                <w:b w:val="0"/>
                <w:i w:val="0"/>
                <w:color w:val="050C2A"/>
                <w:sz w:val="20"/>
                <w:u w:val="none"/>
              </w:rPr>
              <w:t>Final team review and sign-off</w:t>
            </w:r>
          </w:p>
        </w:tc>
        <w:tc>
          <w:tcPr>
            <w:tcW w:type="dxa" w:w="699"/>
            <w:shd w:fill="F5F5F5" w:val="clear"/>
            <w:vAlign w:val="center"/>
          </w:tcPr>
          <w:p>
            <w:pPr>
              <w:spacing w:before="30" w:after="30"/>
            </w:pPr>
            <w:r>
              <w:rPr>
                <w:rFonts w:ascii="DM Sans" w:hAnsi="DM Sans" w:cs="DM Sans"/>
                <w:b w:val="0"/>
                <w:i w:val="0"/>
                <w:color w:val="050C2A"/>
                <w:sz w:val="20"/>
                <w:u w:val="none"/>
              </w:rPr>
              <w:t>Project</w:t>
            </w:r>
          </w:p>
        </w:tc>
        <w:tc>
          <w:tcPr>
            <w:tcW w:type="dxa" w:w="1399"/>
            <w:shd w:fill="F5F5F5" w:val="clear"/>
            <w:vAlign w:val="center"/>
          </w:tcPr>
          <w:p>
            <w:pPr>
              <w:spacing w:before="30" w:after="30"/>
            </w:pPr>
            <w:r>
              <w:rPr>
                <w:rFonts w:ascii="DM Sans" w:hAnsi="DM Sans" w:cs="DM Sans"/>
                <w:b w:val="0"/>
                <w:i w:val="0"/>
                <w:color w:val="050C2A"/>
                <w:sz w:val="20"/>
                <w:u w:val="none"/>
              </w:rPr>
              <w:t>30</w:t>
            </w:r>
          </w:p>
        </w:tc>
        <w:tc>
          <w:tcPr>
            <w:tcW w:type="dxa" w:w="2946"/>
            <w:shd w:fill="F5F5F5" w:val="clear"/>
            <w:vAlign w:val="center"/>
          </w:tcPr>
          <w:p>
            <w:pPr>
              <w:spacing w:before="30" w:after="30"/>
            </w:pPr>
            <w:r>
              <w:rPr>
                <w:rFonts w:ascii="DM Sans" w:hAnsi="DM Sans" w:cs="DM Sans"/>
                <w:b w:val="0"/>
                <w:i w:val="0"/>
                <w:color w:val="050C2A"/>
                <w:sz w:val="20"/>
                <w:u w:val="none"/>
              </w:rPr>
              <w:t>Final check before submission; everyone affirms the document</w:t>
            </w:r>
          </w:p>
        </w:tc>
      </w:tr>
      <w:tr>
        <w:tc>
          <w:tcPr>
            <w:tcW w:type="dxa" w:w="528"/>
            <w:vAlign w:val="center"/>
          </w:tcPr>
          <w:p>
            <w:pPr>
              <w:spacing w:before="30" w:after="30"/>
            </w:pPr>
            <w:r>
              <w:rPr>
                <w:rFonts w:ascii="DM Sans" w:hAnsi="DM Sans" w:cs="DM Sans"/>
                <w:b w:val="0"/>
                <w:i w:val="0"/>
                <w:color w:val="050C2A"/>
                <w:sz w:val="20"/>
                <w:u w:val="none"/>
              </w:rPr>
              <w:t>4.15</w:t>
            </w:r>
          </w:p>
        </w:tc>
        <w:tc>
          <w:tcPr>
            <w:tcW w:type="dxa" w:w="1322"/>
            <w:vAlign w:val="center"/>
          </w:tcPr>
          <w:p>
            <w:pPr>
              <w:spacing w:before="30" w:after="30"/>
            </w:pPr>
            <w:r>
              <w:rPr>
                <w:rFonts w:ascii="DM Sans" w:hAnsi="DM Sans" w:cs="DM Sans"/>
                <w:b w:val="0"/>
                <w:i w:val="0"/>
                <w:color w:val="050C2A"/>
                <w:sz w:val="20"/>
                <w:u w:val="none"/>
              </w:rPr>
              <w:t>Admin</w:t>
            </w:r>
          </w:p>
        </w:tc>
        <w:tc>
          <w:tcPr>
            <w:tcW w:type="dxa" w:w="2466"/>
            <w:vAlign w:val="center"/>
          </w:tcPr>
          <w:p>
            <w:pPr>
              <w:spacing w:before="30" w:after="30"/>
            </w:pPr>
            <w:r>
              <w:rPr>
                <w:rFonts w:ascii="DM Sans" w:hAnsi="DM Sans" w:cs="DM Sans"/>
                <w:b w:val="0"/>
                <w:i w:val="0"/>
                <w:color w:val="050C2A"/>
                <w:sz w:val="20"/>
                <w:u w:val="none"/>
              </w:rPr>
              <w:t>Submit Context Analysis &amp; Project Plan via LMS</w:t>
            </w:r>
          </w:p>
        </w:tc>
        <w:tc>
          <w:tcPr>
            <w:tcW w:type="dxa" w:w="699"/>
            <w:vAlign w:val="center"/>
          </w:tcPr>
          <w:p>
            <w:pPr>
              <w:spacing w:before="30" w:after="30"/>
            </w:pPr>
            <w:r>
              <w:rPr>
                <w:rFonts w:ascii="DM Sans" w:hAnsi="DM Sans" w:cs="DM Sans"/>
                <w:b w:val="0"/>
                <w:i w:val="0"/>
                <w:color w:val="050C2A"/>
                <w:sz w:val="20"/>
                <w:u w:val="none"/>
              </w:rPr>
              <w:t>Admin</w:t>
            </w:r>
          </w:p>
        </w:tc>
        <w:tc>
          <w:tcPr>
            <w:tcW w:type="dxa" w:w="1399"/>
            <w:vAlign w:val="center"/>
          </w:tcPr>
          <w:p>
            <w:pPr>
              <w:spacing w:before="30" w:after="30"/>
            </w:pPr>
            <w:r>
              <w:rPr>
                <w:rFonts w:ascii="DM Sans" w:hAnsi="DM Sans" w:cs="DM Sans"/>
                <w:b w:val="0"/>
                <w:i w:val="0"/>
                <w:color w:val="050C2A"/>
                <w:sz w:val="20"/>
                <w:u w:val="none"/>
              </w:rPr>
              <w:t>10</w:t>
            </w:r>
          </w:p>
        </w:tc>
        <w:tc>
          <w:tcPr>
            <w:tcW w:type="dxa" w:w="2946"/>
            <w:vAlign w:val="center"/>
          </w:tcPr>
          <w:p>
            <w:pPr>
              <w:spacing w:before="30" w:after="30"/>
            </w:pPr>
          </w:p>
        </w:tc>
      </w:tr>
      <w:tr>
        <w:tc>
          <w:tcPr>
            <w:tcW w:type="dxa" w:w="528"/>
            <w:shd w:fill="F5F5F5" w:val="clear"/>
            <w:vAlign w:val="center"/>
          </w:tcPr>
          <w:p>
            <w:pPr>
              <w:spacing w:before="30" w:after="30"/>
            </w:pPr>
            <w:r>
              <w:rPr>
                <w:rFonts w:ascii="DM Sans" w:hAnsi="DM Sans" w:cs="DM Sans"/>
                <w:b w:val="0"/>
                <w:i w:val="0"/>
                <w:color w:val="050C2A"/>
                <w:sz w:val="20"/>
                <w:u w:val="none"/>
              </w:rPr>
              <w:t>4.16</w:t>
            </w:r>
          </w:p>
        </w:tc>
        <w:tc>
          <w:tcPr>
            <w:tcW w:type="dxa" w:w="1322"/>
            <w:shd w:fill="F5F5F5" w:val="clear"/>
            <w:vAlign w:val="center"/>
          </w:tcPr>
          <w:p>
            <w:pPr>
              <w:spacing w:before="30" w:after="30"/>
            </w:pPr>
            <w:r>
              <w:rPr>
                <w:rFonts w:ascii="DM Sans" w:hAnsi="DM Sans" w:cs="DM Sans"/>
                <w:b w:val="0"/>
                <w:i w:val="0"/>
                <w:color w:val="050C2A"/>
                <w:sz w:val="20"/>
                <w:u w:val="none"/>
              </w:rPr>
              <w:t>Project Work</w:t>
            </w:r>
          </w:p>
        </w:tc>
        <w:tc>
          <w:tcPr>
            <w:tcW w:type="dxa" w:w="2466"/>
            <w:shd w:fill="F5F5F5" w:val="clear"/>
            <w:vAlign w:val="center"/>
          </w:tcPr>
          <w:p>
            <w:pPr>
              <w:spacing w:before="30" w:after="30"/>
            </w:pPr>
            <w:r>
              <w:rPr>
                <w:rFonts w:ascii="DM Sans" w:hAnsi="DM Sans" w:cs="DM Sans"/>
                <w:b w:val="0"/>
                <w:i w:val="0"/>
                <w:color w:val="050C2A"/>
                <w:sz w:val="20"/>
                <w:u w:val="none"/>
              </w:rPr>
              <w:t>Async team communication across the week</w:t>
            </w:r>
          </w:p>
        </w:tc>
        <w:tc>
          <w:tcPr>
            <w:tcW w:type="dxa" w:w="699"/>
            <w:shd w:fill="F5F5F5" w:val="clear"/>
            <w:vAlign w:val="center"/>
          </w:tcPr>
          <w:p>
            <w:pPr>
              <w:spacing w:before="30" w:after="30"/>
            </w:pPr>
            <w:r>
              <w:rPr>
                <w:rFonts w:ascii="DM Sans" w:hAnsi="DM Sans" w:cs="DM Sans"/>
                <w:b w:val="0"/>
                <w:i w:val="0"/>
                <w:color w:val="050C2A"/>
                <w:sz w:val="20"/>
                <w:u w:val="none"/>
              </w:rPr>
              <w:t>Project</w:t>
            </w:r>
          </w:p>
        </w:tc>
        <w:tc>
          <w:tcPr>
            <w:tcW w:type="dxa" w:w="1399"/>
            <w:shd w:fill="F5F5F5" w:val="clear"/>
            <w:vAlign w:val="center"/>
          </w:tcPr>
          <w:p>
            <w:pPr>
              <w:spacing w:before="30" w:after="30"/>
            </w:pPr>
            <w:r>
              <w:rPr>
                <w:rFonts w:ascii="DM Sans" w:hAnsi="DM Sans" w:cs="DM Sans"/>
                <w:b w:val="0"/>
                <w:i w:val="0"/>
                <w:color w:val="050C2A"/>
                <w:sz w:val="20"/>
                <w:u w:val="none"/>
              </w:rPr>
              <w:t>60</w:t>
            </w:r>
          </w:p>
        </w:tc>
        <w:tc>
          <w:tcPr>
            <w:tcW w:type="dxa" w:w="2946"/>
            <w:shd w:fill="F5F5F5" w:val="clear"/>
            <w:vAlign w:val="center"/>
          </w:tcPr>
          <w:p>
            <w:pPr>
              <w:spacing w:before="30" w:after="30"/>
            </w:pPr>
            <w:r>
              <w:rPr>
                <w:rFonts w:ascii="DM Sans" w:hAnsi="DM Sans" w:cs="DM Sans"/>
                <w:b w:val="0"/>
                <w:i w:val="0"/>
                <w:color w:val="050C2A"/>
                <w:sz w:val="20"/>
                <w:u w:val="none"/>
              </w:rPr>
              <w:t>Higher than Week 3 due to more handoffs across research, drafting, and integration</w:t>
            </w:r>
          </w:p>
        </w:tc>
      </w:tr>
      <w:tr>
        <w:tc>
          <w:tcPr>
            <w:tcW w:type="dxa" w:w="528"/>
            <w:vAlign w:val="center"/>
          </w:tcPr>
          <w:p>
            <w:pPr>
              <w:spacing w:before="30" w:after="30"/>
            </w:pPr>
          </w:p>
        </w:tc>
        <w:tc>
          <w:tcPr>
            <w:tcW w:type="dxa" w:w="1322"/>
            <w:vAlign w:val="center"/>
          </w:tcPr>
          <w:p>
            <w:pPr>
              <w:spacing w:before="30" w:after="30"/>
            </w:pPr>
          </w:p>
        </w:tc>
        <w:tc>
          <w:tcPr>
            <w:tcW w:type="dxa" w:w="2466"/>
            <w:vAlign w:val="center"/>
          </w:tcPr>
          <w:p>
            <w:pPr>
              <w:spacing w:before="30" w:after="30"/>
            </w:pPr>
            <w:r>
              <w:rPr>
                <w:rFonts w:ascii="DM Sans" w:hAnsi="DM Sans" w:cs="DM Sans"/>
                <w:b/>
                <w:i w:val="0"/>
                <w:color w:val="050C2A"/>
                <w:sz w:val="20"/>
                <w:u w:val="none"/>
              </w:rPr>
              <w:t>TOTAL</w:t>
            </w:r>
          </w:p>
        </w:tc>
        <w:tc>
          <w:tcPr>
            <w:tcW w:type="dxa" w:w="699"/>
            <w:vAlign w:val="center"/>
          </w:tcPr>
          <w:p>
            <w:pPr>
              <w:spacing w:before="30" w:after="30"/>
            </w:pPr>
          </w:p>
        </w:tc>
        <w:tc>
          <w:tcPr>
            <w:tcW w:type="dxa" w:w="1399"/>
            <w:vAlign w:val="center"/>
          </w:tcPr>
          <w:p>
            <w:pPr>
              <w:spacing w:before="30" w:after="30"/>
            </w:pPr>
            <w:r>
              <w:rPr>
                <w:rFonts w:ascii="DM Sans" w:hAnsi="DM Sans" w:cs="DM Sans"/>
                <w:b/>
                <w:i w:val="0"/>
                <w:color w:val="050C2A"/>
                <w:sz w:val="20"/>
                <w:u w:val="none"/>
              </w:rPr>
              <w:t>645 min (~10 hrs 45 min)</w:t>
            </w:r>
          </w:p>
        </w:tc>
        <w:tc>
          <w:tcPr>
            <w:tcW w:type="dxa" w:w="2946"/>
            <w:vAlign w:val="center"/>
          </w:tcPr>
          <w:p>
            <w:pPr>
              <w:spacing w:before="30" w:after="30"/>
            </w:pPr>
          </w:p>
        </w:tc>
      </w:tr>
    </w:tbl>
    <w:p>
      <w:pPr>
        <w:spacing w:before="0" w:after="120"/>
      </w:pPr>
    </w:p>
    <w:p>
      <w:pPr>
        <w:spacing w:before="280" w:after="100"/>
      </w:pPr>
      <w:r>
        <w:rPr>
          <w:rFonts w:ascii="DM Sans" w:hAnsi="DM Sans" w:cs="DM Sans"/>
          <w:b/>
          <w:i w:val="0"/>
          <w:color w:val="050C2A"/>
          <w:sz w:val="28"/>
          <w:u w:val="none"/>
        </w:rPr>
        <w:t>Competency Alignment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475"/>
            <w:shd w:fill="FF7C0A" w:val="clear"/>
            <w:vAlign w:val="center"/>
          </w:tcPr>
          <w:p>
            <w:pPr>
              <w:jc w:val="left"/>
              <w:spacing w:before="40" w:after="40"/>
            </w:pPr>
            <w:r>
              <w:rPr>
                <w:rFonts w:ascii="DM Sans" w:hAnsi="DM Sans" w:cs="DM Sans"/>
                <w:b/>
                <w:i w:val="0"/>
                <w:color w:val="FFFFFF"/>
                <w:sz w:val="20"/>
                <w:u w:val="none"/>
              </w:rPr>
              <w:t>Competency Area</w:t>
            </w:r>
          </w:p>
        </w:tc>
        <w:tc>
          <w:tcPr>
            <w:tcW w:type="dxa" w:w="1576"/>
            <w:shd w:fill="FF7C0A" w:val="clear"/>
            <w:vAlign w:val="center"/>
          </w:tcPr>
          <w:p>
            <w:pPr>
              <w:jc w:val="left"/>
              <w:spacing w:before="40" w:after="40"/>
            </w:pPr>
            <w:r>
              <w:rPr>
                <w:rFonts w:ascii="DM Sans" w:hAnsi="DM Sans" w:cs="DM Sans"/>
                <w:b/>
                <w:i w:val="0"/>
                <w:color w:val="FFFFFF"/>
                <w:sz w:val="20"/>
                <w:u w:val="none"/>
              </w:rPr>
              <w:t>Subskill</w:t>
            </w:r>
          </w:p>
        </w:tc>
        <w:tc>
          <w:tcPr>
            <w:tcW w:type="dxa" w:w="6309"/>
            <w:shd w:fill="FF7C0A" w:val="clear"/>
            <w:vAlign w:val="center"/>
          </w:tcPr>
          <w:p>
            <w:pPr>
              <w:jc w:val="left"/>
              <w:spacing w:before="40" w:after="40"/>
            </w:pPr>
            <w:r>
              <w:rPr>
                <w:rFonts w:ascii="DM Sans" w:hAnsi="DM Sans" w:cs="DM Sans"/>
                <w:b/>
                <w:i w:val="0"/>
                <w:color w:val="FFFFFF"/>
                <w:sz w:val="20"/>
                <w:u w:val="none"/>
              </w:rPr>
              <w:t>How This Week Builds It</w:t>
            </w:r>
          </w:p>
        </w:tc>
      </w:tr>
      <w:tr>
        <w:tc>
          <w:tcPr>
            <w:tcW w:type="dxa" w:w="1475"/>
            <w:vAlign w:val="center"/>
          </w:tcPr>
          <w:p>
            <w:pPr>
              <w:spacing w:before="30" w:after="30"/>
            </w:pPr>
            <w:r>
              <w:rPr>
                <w:rFonts w:ascii="DM Sans" w:hAnsi="DM Sans" w:cs="DM Sans"/>
                <w:b/>
                <w:i w:val="0"/>
                <w:color w:val="050C2A"/>
                <w:sz w:val="20"/>
                <w:u w:val="none"/>
              </w:rPr>
              <w:t>Critical Thinking</w:t>
            </w:r>
          </w:p>
        </w:tc>
        <w:tc>
          <w:tcPr>
            <w:tcW w:type="dxa" w:w="1576"/>
            <w:vAlign w:val="center"/>
          </w:tcPr>
          <w:p>
            <w:pPr>
              <w:spacing w:before="30" w:after="30"/>
            </w:pPr>
            <w:r>
              <w:rPr>
                <w:rFonts w:ascii="DM Sans" w:hAnsi="DM Sans" w:cs="DM Sans"/>
                <w:b w:val="0"/>
                <w:i w:val="0"/>
                <w:color w:val="050C2A"/>
                <w:sz w:val="20"/>
                <w:u w:val="none"/>
              </w:rPr>
              <w:t>Research &amp; Analysis</w:t>
            </w:r>
          </w:p>
        </w:tc>
        <w:tc>
          <w:tcPr>
            <w:tcW w:type="dxa" w:w="6309"/>
            <w:vAlign w:val="center"/>
          </w:tcPr>
          <w:p>
            <w:pPr>
              <w:spacing w:before="30" w:after="30"/>
            </w:pPr>
            <w:r>
              <w:rPr>
                <w:rFonts w:ascii="DM Sans" w:hAnsi="DM Sans" w:cs="DM Sans"/>
                <w:b w:val="0"/>
                <w:i w:val="0"/>
                <w:color w:val="050C2A"/>
                <w:sz w:val="20"/>
                <w:u w:val="none"/>
              </w:rPr>
              <w:t>Activity 4.08 requires students to conduct independent, substantive domain research — competitive landscape, industry trends, stakeholder context — distributed across team members. This is qualitatively different from the reconnaissance in Week 2 and the targeted landscape research in Week 3; students now need to find things that are analytically useful, not just orienting.</w:t>
            </w:r>
          </w:p>
        </w:tc>
      </w:tr>
      <w:tr>
        <w:tc>
          <w:tcPr>
            <w:tcW w:type="dxa" w:w="1475"/>
            <w:shd w:fill="F5F5F5" w:val="clear"/>
            <w:vAlign w:val="center"/>
          </w:tcPr>
          <w:p>
            <w:pPr>
              <w:spacing w:before="30" w:after="30"/>
            </w:pPr>
            <w:r>
              <w:rPr>
                <w:rFonts w:ascii="DM Sans" w:hAnsi="DM Sans" w:cs="DM Sans"/>
                <w:b/>
                <w:i w:val="0"/>
                <w:color w:val="050C2A"/>
                <w:sz w:val="20"/>
                <w:u w:val="none"/>
              </w:rPr>
              <w:t>Critical Thinking</w:t>
            </w:r>
          </w:p>
        </w:tc>
        <w:tc>
          <w:tcPr>
            <w:tcW w:type="dxa" w:w="1576"/>
            <w:shd w:fill="F5F5F5" w:val="clear"/>
            <w:vAlign w:val="center"/>
          </w:tcPr>
          <w:p>
            <w:pPr>
              <w:spacing w:before="30" w:after="30"/>
            </w:pPr>
            <w:r>
              <w:rPr>
                <w:rFonts w:ascii="DM Sans" w:hAnsi="DM Sans" w:cs="DM Sans"/>
                <w:b w:val="0"/>
                <w:i w:val="0"/>
                <w:color w:val="050C2A"/>
                <w:sz w:val="20"/>
                <w:u w:val="none"/>
              </w:rPr>
              <w:t>Evidence-Based Reasoning</w:t>
            </w:r>
          </w:p>
        </w:tc>
        <w:tc>
          <w:tcPr>
            <w:tcW w:type="dxa" w:w="6309"/>
            <w:shd w:fill="F5F5F5" w:val="clear"/>
            <w:vAlign w:val="center"/>
          </w:tcPr>
          <w:p>
            <w:pPr>
              <w:spacing w:before="30" w:after="30"/>
            </w:pPr>
            <w:r>
              <w:rPr>
                <w:rFonts w:ascii="DM Sans" w:hAnsi="DM Sans" w:cs="DM Sans"/>
                <w:b w:val="0"/>
                <w:i w:val="0"/>
                <w:color w:val="050C2A"/>
                <w:sz w:val="20"/>
                <w:u w:val="none"/>
              </w:rPr>
              <w:t>Module 4.03 introduces the concept directly, and the Context Analysis rubric's Analytical Rigor dimension assesses it in the deliverable. Students practice the distinction between "we found X" and "this suggests Y" throughout the drafting process (4.11) and in the cross-review (4.12).</w:t>
            </w:r>
          </w:p>
        </w:tc>
      </w:tr>
      <w:tr>
        <w:tc>
          <w:tcPr>
            <w:tcW w:type="dxa" w:w="1475"/>
            <w:vAlign w:val="center"/>
          </w:tcPr>
          <w:p>
            <w:pPr>
              <w:spacing w:before="30" w:after="30"/>
            </w:pPr>
            <w:r>
              <w:rPr>
                <w:rFonts w:ascii="DM Sans" w:hAnsi="DM Sans" w:cs="DM Sans"/>
                <w:b/>
                <w:i w:val="0"/>
                <w:color w:val="050C2A"/>
                <w:sz w:val="20"/>
                <w:u w:val="none"/>
              </w:rPr>
              <w:t>Critical Thinking</w:t>
            </w:r>
          </w:p>
        </w:tc>
        <w:tc>
          <w:tcPr>
            <w:tcW w:type="dxa" w:w="1576"/>
            <w:vAlign w:val="center"/>
          </w:tcPr>
          <w:p>
            <w:pPr>
              <w:spacing w:before="30" w:after="30"/>
            </w:pPr>
            <w:r>
              <w:rPr>
                <w:rFonts w:ascii="DM Sans" w:hAnsi="DM Sans" w:cs="DM Sans"/>
                <w:b w:val="0"/>
                <w:i w:val="0"/>
                <w:color w:val="050C2A"/>
                <w:sz w:val="20"/>
                <w:u w:val="none"/>
              </w:rPr>
              <w:t>Problem Framing</w:t>
            </w:r>
          </w:p>
        </w:tc>
        <w:tc>
          <w:tcPr>
            <w:tcW w:type="dxa" w:w="6309"/>
            <w:vAlign w:val="center"/>
          </w:tcPr>
          <w:p>
            <w:pPr>
              <w:spacing w:before="30" w:after="30"/>
            </w:pPr>
            <w:r>
              <w:rPr>
                <w:rFonts w:ascii="DM Sans" w:hAnsi="DM Sans" w:cs="DM Sans"/>
                <w:b w:val="0"/>
                <w:i w:val="0"/>
                <w:color w:val="050C2A"/>
                <w:sz w:val="20"/>
                <w:u w:val="none"/>
              </w:rPr>
              <w:t>Module 4.04 teaches the "so what" move explicitly — how research findings connect to a strategic point of view on the project. The Context Analysis &amp; Project Plan's Part 3 (Strategic Implications) is the primary application site, and it maps to the Project-Specific Dimension in the rubric.</w:t>
            </w:r>
          </w:p>
        </w:tc>
      </w:tr>
      <w:tr>
        <w:tc>
          <w:tcPr>
            <w:tcW w:type="dxa" w:w="1475"/>
            <w:shd w:fill="F5F5F5" w:val="clear"/>
            <w:vAlign w:val="center"/>
          </w:tcPr>
          <w:p>
            <w:pPr>
              <w:spacing w:before="30" w:after="30"/>
            </w:pPr>
            <w:r>
              <w:rPr>
                <w:rFonts w:ascii="DM Sans" w:hAnsi="DM Sans" w:cs="DM Sans"/>
                <w:b/>
                <w:i w:val="0"/>
                <w:color w:val="050C2A"/>
                <w:sz w:val="20"/>
                <w:u w:val="none"/>
              </w:rPr>
              <w:t>Critical Thinking</w:t>
            </w:r>
          </w:p>
        </w:tc>
        <w:tc>
          <w:tcPr>
            <w:tcW w:type="dxa" w:w="1576"/>
            <w:shd w:fill="F5F5F5" w:val="clear"/>
            <w:vAlign w:val="center"/>
          </w:tcPr>
          <w:p>
            <w:pPr>
              <w:spacing w:before="30" w:after="30"/>
            </w:pPr>
            <w:r>
              <w:rPr>
                <w:rFonts w:ascii="DM Sans" w:hAnsi="DM Sans" w:cs="DM Sans"/>
                <w:b w:val="0"/>
                <w:i w:val="0"/>
                <w:color w:val="050C2A"/>
                <w:sz w:val="20"/>
                <w:u w:val="none"/>
              </w:rPr>
              <w:t>Prioritization</w:t>
            </w:r>
          </w:p>
        </w:tc>
        <w:tc>
          <w:tcPr>
            <w:tcW w:type="dxa" w:w="6309"/>
            <w:shd w:fill="F5F5F5" w:val="clear"/>
            <w:vAlign w:val="center"/>
          </w:tcPr>
          <w:p>
            <w:pPr>
              <w:spacing w:before="30" w:after="30"/>
            </w:pPr>
            <w:r>
              <w:rPr>
                <w:rFonts w:ascii="DM Sans" w:hAnsi="DM Sans" w:cs="DM Sans"/>
                <w:b w:val="0"/>
                <w:i w:val="0"/>
                <w:color w:val="050C2A"/>
                <w:sz w:val="20"/>
                <w:u w:val="none"/>
              </w:rPr>
              <w:t>Module 4.05 and 4.06 together establish that a project plan is not a wishlist — it reflects deliberate choices about scope, sequencing, and risk. The Project Plan section of the deliverable (Part 4) is assessed directly on evidence of this thinking.</w:t>
            </w:r>
          </w:p>
        </w:tc>
      </w:tr>
      <w:tr>
        <w:tc>
          <w:tcPr>
            <w:tcW w:type="dxa" w:w="1475"/>
            <w:vAlign w:val="center"/>
          </w:tcPr>
          <w:p>
            <w:pPr>
              <w:spacing w:before="30" w:after="30"/>
            </w:pPr>
            <w:r>
              <w:rPr>
                <w:rFonts w:ascii="DM Sans" w:hAnsi="DM Sans" w:cs="DM Sans"/>
                <w:b/>
                <w:i w:val="0"/>
                <w:color w:val="050C2A"/>
                <w:sz w:val="20"/>
                <w:u w:val="none"/>
              </w:rPr>
              <w:t>Communication</w:t>
            </w:r>
          </w:p>
        </w:tc>
        <w:tc>
          <w:tcPr>
            <w:tcW w:type="dxa" w:w="1576"/>
            <w:vAlign w:val="center"/>
          </w:tcPr>
          <w:p>
            <w:pPr>
              <w:spacing w:before="30" w:after="30"/>
            </w:pPr>
            <w:r>
              <w:rPr>
                <w:rFonts w:ascii="DM Sans" w:hAnsi="DM Sans" w:cs="DM Sans"/>
                <w:b w:val="0"/>
                <w:i w:val="0"/>
                <w:color w:val="050C2A"/>
                <w:sz w:val="20"/>
                <w:u w:val="none"/>
              </w:rPr>
              <w:t>Written Clarity</w:t>
            </w:r>
          </w:p>
        </w:tc>
        <w:tc>
          <w:tcPr>
            <w:tcW w:type="dxa" w:w="6309"/>
            <w:vAlign w:val="center"/>
          </w:tcPr>
          <w:p>
            <w:pPr>
              <w:spacing w:before="30" w:after="30"/>
            </w:pPr>
            <w:r>
              <w:rPr>
                <w:rFonts w:ascii="DM Sans" w:hAnsi="DM Sans" w:cs="DM Sans"/>
                <w:b w:val="0"/>
                <w:i w:val="0"/>
                <w:color w:val="050C2A"/>
                <w:sz w:val="20"/>
                <w:u w:val="none"/>
              </w:rPr>
              <w:t>The integration pass (4.13) is designed specifically to develop this competency in a team context. Most student teams, without prompting, produce documents that read as four separate pieces. Building the integration pass as a named, time-allocated activity makes coherence an explicit design goal, not an afterthought. The Document Quality criterion in the rubric assesses the result.</w:t>
            </w:r>
          </w:p>
        </w:tc>
      </w:tr>
    </w:tbl>
    <w:p>
      <w:pPr>
        <w:spacing w:before="0" w:after="120"/>
      </w:pPr>
    </w:p>
    <w:p>
      <w:pPr>
        <w:spacing w:before="280" w:after="100"/>
      </w:pPr>
      <w:r>
        <w:rPr>
          <w:rFonts w:ascii="DM Sans" w:hAnsi="DM Sans" w:cs="DM Sans"/>
          <w:b/>
          <w:i w:val="0"/>
          <w:color w:val="050C2A"/>
          <w:sz w:val="28"/>
          <w:u w:val="none"/>
        </w:rPr>
        <w:t>Deliverable Connection</w:t>
      </w:r>
    </w:p>
    <w:p>
      <w:pPr>
        <w:spacing w:before="0" w:after="120" w:line="276" w:lineRule="auto"/>
      </w:pPr>
      <w:r>
        <w:rPr>
          <w:rFonts w:ascii="DM Sans" w:hAnsi="DM Sans" w:cs="DM Sans"/>
          <w:b/>
          <w:i w:val="0"/>
          <w:color w:val="050C2A"/>
          <w:sz w:val="20"/>
          <w:u w:val="none"/>
        </w:rPr>
        <w:t>Context Analysis &amp; Project Plan → Critical Thinking (Research &amp; Analysis, Evidence-Based Reasoning, Problem Framing, Prioritization) + Communication (Written Clarity)</w:t>
      </w:r>
    </w:p>
    <w:p>
      <w:pPr>
        <w:spacing w:before="0" w:after="120" w:line="276" w:lineRule="auto"/>
      </w:pPr>
      <w:r>
        <w:rPr>
          <w:rFonts w:ascii="DM Sans" w:hAnsi="DM Sans" w:cs="DM Sans"/>
          <w:b w:val="0"/>
          <w:i w:val="0"/>
          <w:color w:val="050C2A"/>
          <w:sz w:val="20"/>
          <w:u w:val="none"/>
        </w:rPr>
        <w:t>Graded; rubric-based. Team submission. Worth 10% of the final course grade. This is the first graded deliverable in the course and the one that establishes whether students have done the analytical work that will make their project valuable rather than simply executed on instructions received at the kickoff. All team members are accountable for the whole document; it is submitted once per team.</w:t>
      </w:r>
    </w:p>
    <w:p>
      <w:pPr>
        <w:spacing w:before="0" w:after="120" w:line="276" w:lineRule="auto"/>
      </w:pPr>
      <w:r>
        <w:rPr>
          <w:rFonts w:ascii="DM Sans" w:hAnsi="DM Sans" w:cs="DM Sans"/>
          <w:b w:val="0"/>
          <w:i w:val="0"/>
          <w:color w:val="050C2A"/>
          <w:sz w:val="20"/>
          <w:u w:val="none"/>
        </w:rPr>
        <w:t>The deliverable has four parts: Organizational &amp; Project Context (~1 page), Research Findings (~1.5–2 pages), Strategic Implications (~1 page), and Project Plan (~1.5–2 pages). The rubric has five dimensions: Communication Quality (20%), Analytical Rigor (25%), Actionability (20%), Professionalism (15%), and a Project-Specific Generated Dimension (20%). The project-specific dimension is derived from the employer's project brief and is intended to capture analytical work particular to that team's context — a dimension that would look different for a team researching youth banking trends than for a team examining supply chain logistics.</w:t>
      </w:r>
    </w:p>
    <w:p>
      <w:pPr>
        <w:spacing w:before="0" w:after="120" w:line="276" w:lineRule="auto"/>
      </w:pPr>
      <w:r>
        <w:rPr>
          <w:rFonts w:ascii="DM Sans" w:hAnsi="DM Sans" w:cs="DM Sans"/>
          <w:b w:val="0"/>
          <w:i w:val="0"/>
          <w:color w:val="050C2A"/>
          <w:sz w:val="20"/>
          <w:u w:val="none"/>
        </w:rPr>
        <w:t>The deliverable is assessed on the quality of research and reasoning, not on whether the employer validates the approach. The Direction Check (Week 5) is explicitly the mechanism for alignment; pivots based on employer feedback are expected and do not reflect poorly on the Week 4 submission.</w:t>
      </w:r>
    </w:p>
    <w:p>
      <w:pPr>
        <w:spacing w:before="0" w:after="120" w:line="276" w:lineRule="auto"/>
      </w:pPr>
      <w:r>
        <w:rPr>
          <w:rFonts w:ascii="DM Sans" w:hAnsi="DM Sans" w:cs="DM Sans"/>
          <w:b/>
          <w:i w:val="0"/>
          <w:color w:val="050C2A"/>
          <w:sz w:val="20"/>
          <w:u w:val="none"/>
        </w:rPr>
        <w:t>AI guidance specific to this deliverable:</w:t>
      </w:r>
      <w:r>
        <w:rPr>
          <w:rFonts w:ascii="DM Sans" w:hAnsi="DM Sans" w:cs="DM Sans"/>
          <w:b w:val="0"/>
          <w:i w:val="0"/>
          <w:color w:val="050C2A"/>
          <w:sz w:val="20"/>
          <w:u w:val="none"/>
        </w:rPr>
        <w:t xml:space="preserve"> AI-assisted research is permitted — using AI to generate an initial competitive landscape overview or to identify patterns across gathered findings is appropriate. The accountability mechanism is the Direction Check: students who cannot explain their findings under employer questioning will have a poor experience, which naturally incentivizes genuine engagement rather than uncritical pass-through. AI disclosure is required on submission. The specific boundary is this: AI-generated content the team cannot verify or defend should not be in the deliverable.</w:t>
      </w:r>
    </w:p>
    <w:p>
      <w:pPr>
        <w:spacing w:before="0" w:after="120" w:line="276" w:lineRule="auto"/>
      </w:pPr>
      <w:r>
        <w:rPr>
          <w:rFonts w:ascii="DM Sans" w:hAnsi="DM Sans" w:cs="DM Sans"/>
          <w:b/>
          <w:i w:val="0"/>
          <w:color w:val="050C2A"/>
          <w:sz w:val="20"/>
          <w:u w:val="none"/>
        </w:rPr>
        <w:t>Submission:</w:t>
      </w:r>
      <w:r>
        <w:rPr>
          <w:rFonts w:ascii="DM Sans" w:hAnsi="DM Sans" w:cs="DM Sans"/>
          <w:b w:val="0"/>
          <w:i w:val="0"/>
          <w:color w:val="050C2A"/>
          <w:sz w:val="20"/>
          <w:u w:val="none"/>
        </w:rPr>
        <w:t xml:space="preserve"> Via LMS, end of Week 4 (activity 4.15, 10 min).</w:t>
      </w:r>
    </w:p>
    <w:p>
      <w:pPr>
        <w:spacing w:before="280" w:after="100"/>
      </w:pPr>
      <w:r>
        <w:rPr>
          <w:rFonts w:ascii="DM Sans" w:hAnsi="DM Sans" w:cs="DM Sans"/>
          <w:b/>
          <w:i w:val="0"/>
          <w:color w:val="050C2A"/>
          <w:sz w:val="28"/>
          <w:u w:val="none"/>
        </w:rPr>
        <w:t>AI in This Week</w:t>
      </w:r>
    </w:p>
    <w:p>
      <w:pPr>
        <w:spacing w:before="0" w:after="120" w:line="276" w:lineRule="auto"/>
      </w:pPr>
      <w:r>
        <w:rPr>
          <w:rFonts w:ascii="DM Sans" w:hAnsi="DM Sans" w:cs="DM Sans"/>
          <w:b/>
          <w:i w:val="0"/>
          <w:color w:val="050C2A"/>
          <w:sz w:val="20"/>
          <w:u w:val="none"/>
        </w:rPr>
        <w:t>Permitted and encouraged:</w:t>
      </w:r>
    </w:p>
    <w:p>
      <w:pPr>
        <w:spacing w:before="0" w:after="120" w:line="276" w:lineRule="auto"/>
      </w:pPr>
      <w:r>
        <w:rPr>
          <w:rFonts w:ascii="DM Sans" w:hAnsi="DM Sans" w:cs="DM Sans"/>
          <w:b w:val="0"/>
          <w:i w:val="0"/>
          <w:color w:val="050C2A"/>
          <w:sz w:val="20"/>
          <w:u w:val="none"/>
        </w:rPr>
        <w:t>Using AI to generate an initial competitive landscape or industry overview as a starting point is explicitly permitted — the expectation is that students read the output critically, verify key claims against real sources, push back on what seems wrong or incomplete, and can walk the employer through the findings confidently at the Direction Check. Using AI to identify patterns across research findings gathered from multiple team members is appropriate synthesis support. Using AI to understand unfamiliar task formats — what does a competitive analysis typically include, what goes in a risk register — is encouraged and supports activity 4.09 directly. Using AI to support the integration pass (4.13) is a legitimate use case: asking AI to identify where the document is inconsistent, where transitions are unclear, or where sections contradict each other mirrors how professionals use AI as a document editing tool.</w:t>
      </w:r>
    </w:p>
    <w:p>
      <w:pPr>
        <w:spacing w:before="0" w:after="120" w:line="276" w:lineRule="auto"/>
      </w:pPr>
      <w:r>
        <w:rPr>
          <w:rFonts w:ascii="DM Sans" w:hAnsi="DM Sans" w:cs="DM Sans"/>
          <w:b/>
          <w:i w:val="0"/>
          <w:color w:val="050C2A"/>
          <w:sz w:val="20"/>
          <w:u w:val="none"/>
        </w:rPr>
        <w:t>Off-limits this week:</w:t>
      </w:r>
    </w:p>
    <w:p>
      <w:pPr>
        <w:spacing w:before="0" w:after="120" w:line="276" w:lineRule="auto"/>
      </w:pPr>
      <w:r>
        <w:rPr>
          <w:rFonts w:ascii="DM Sans" w:hAnsi="DM Sans" w:cs="DM Sans"/>
          <w:b w:val="0"/>
          <w:i w:val="0"/>
          <w:color w:val="050C2A"/>
          <w:sz w:val="20"/>
          <w:u w:val="none"/>
        </w:rPr>
        <w:t>AI-generated research that students cannot verify or defend is not permitted. This is not primarily a policy enforcement issue — it is a downstream consequence issue. The Direction Check in Week 5 is a direct accountability mechanism, and students who cannot explain their findings under employer questioning will have a poor experience. The test stated in the course AI policy applies here: could you explain and defend every claim in your submission without referring back to what an AI told you? If no, it should not be in the document.</w:t>
      </w:r>
    </w:p>
    <w:p>
      <w:pPr>
        <w:spacing w:before="0" w:after="120" w:line="276" w:lineRule="auto"/>
      </w:pPr>
      <w:r>
        <w:rPr>
          <w:rFonts w:ascii="DM Sans" w:hAnsi="DM Sans" w:cs="DM Sans"/>
          <w:b/>
          <w:i w:val="0"/>
          <w:color w:val="050C2A"/>
          <w:sz w:val="20"/>
          <w:u w:val="none"/>
        </w:rPr>
        <w:t>Disclosure required:</w:t>
      </w:r>
      <w:r>
        <w:rPr>
          <w:rFonts w:ascii="DM Sans" w:hAnsi="DM Sans" w:cs="DM Sans"/>
          <w:b w:val="0"/>
          <w:i w:val="0"/>
          <w:color w:val="050C2A"/>
          <w:sz w:val="20"/>
          <w:u w:val="none"/>
        </w:rPr>
        <w:t xml:space="preserve"> Yes — on the Context Analysis &amp; Project Plan submission, regardless of the extent of AI use. If AI was not used, a one-sentence statement to that effect is sufficient.</w:t>
      </w:r>
    </w:p>
    <w:p>
      <w:pPr>
        <w:spacing w:before="0" w:after="120" w:line="276" w:lineRule="auto"/>
      </w:pPr>
      <w:r>
        <w:rPr>
          <w:rFonts w:ascii="DM Sans" w:hAnsi="DM Sans" w:cs="DM Sans"/>
          <w:b/>
          <w:i w:val="0"/>
          <w:color w:val="050C2A"/>
          <w:sz w:val="20"/>
          <w:u w:val="none"/>
        </w:rPr>
        <w:t>Prompt strategy introduced this week — Using AI for Research and Synthesis:</w:t>
      </w:r>
    </w:p>
    <w:p>
      <w:pPr>
        <w:spacing w:before="0" w:after="120" w:line="276" w:lineRule="auto"/>
      </w:pPr>
      <w:r>
        <w:rPr>
          <w:rFonts w:ascii="DM Sans" w:hAnsi="DM Sans" w:cs="DM Sans"/>
          <w:b w:val="0"/>
          <w:i w:val="0"/>
          <w:color w:val="050C2A"/>
          <w:sz w:val="20"/>
          <w:u w:val="none"/>
        </w:rPr>
        <w:t>This week introduces a new prompt strategy explicitly taught in module 4.07. Two anchor prompts: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 xml:space="preserve">For competitive landscape: </w:t>
      </w:r>
      <w:r>
        <w:rPr>
          <w:rFonts w:ascii="DM Sans" w:hAnsi="DM Sans" w:cs="DM Sans"/>
          <w:b w:val="0"/>
          <w:i/>
          <w:color w:val="050C2A"/>
          <w:sz w:val="20"/>
          <w:u w:val="none"/>
        </w:rPr>
        <w:t>"I am researching [industry/sector] for a student consulting project. Generate an overview of the key players, what they offer, and how they differentiate. Flag any claims I should verify independently."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 xml:space="preserve">For synthesis: </w:t>
      </w:r>
      <w:r>
        <w:rPr>
          <w:rFonts w:ascii="DM Sans" w:hAnsi="DM Sans" w:cs="DM Sans"/>
          <w:b w:val="0"/>
          <w:i/>
          <w:color w:val="050C2A"/>
          <w:sz w:val="20"/>
          <w:u w:val="none"/>
        </w:rPr>
        <w:t>"Here are research findings from four team members on [topic]. Identify the three to five most important patterns or tensions across these findings, and explain what each one might mean for how we approach the project."</w:t>
      </w:r>
    </w:p>
    <w:p>
      <w:pPr>
        <w:spacing w:before="0" w:after="120" w:line="276" w:lineRule="auto"/>
      </w:pPr>
      <w:r>
        <w:rPr>
          <w:rFonts w:ascii="DM Sans" w:hAnsi="DM Sans" w:cs="DM Sans"/>
          <w:b w:val="0"/>
          <w:i w:val="0"/>
          <w:color w:val="050C2A"/>
          <w:sz w:val="20"/>
          <w:u w:val="none"/>
        </w:rPr>
        <w:t>Both prompts are designed to position AI as a starting point that requires student judgment to evaluate, not a finishing point that can be submitted without engagement.</w:t>
      </w:r>
    </w:p>
    <w:p>
      <w:pPr>
        <w:spacing w:before="280" w:after="100"/>
      </w:pPr>
      <w:r>
        <w:rPr>
          <w:rFonts w:ascii="DM Sans" w:hAnsi="DM Sans" w:cs="DM Sans"/>
          <w:b/>
          <w:i w:val="0"/>
          <w:color w:val="050C2A"/>
          <w:sz w:val="28"/>
          <w:u w:val="none"/>
        </w:rPr>
        <w:t>Open Questions / Flags</w:t>
      </w:r>
    </w:p>
    <w:p>
      <w:pPr>
        <w:spacing w:before="0" w:after="120" w:line="276" w:lineRule="auto"/>
      </w:pPr>
      <w:r>
        <w:rPr>
          <w:rFonts w:ascii="DM Sans" w:hAnsi="DM Sans" w:cs="DM Sans"/>
          <w:b/>
          <w:i w:val="0"/>
          <w:color w:val="050C2A"/>
          <w:sz w:val="20"/>
          <w:u w:val="none"/>
        </w:rPr>
        <w:t>1. Employer access to the Context Analysis &amp; Project Plan.</w:t>
      </w:r>
      <w:r>
        <w:rPr>
          <w:rFonts w:ascii="DM Sans" w:hAnsi="DM Sans" w:cs="DM Sans"/>
          <w:b w:val="0"/>
          <w:i w:val="0"/>
          <w:color w:val="050C2A"/>
          <w:sz w:val="20"/>
          <w:u w:val="none"/>
        </w:rPr>
        <w:t xml:space="preserve"> The Direction Check agenda assumes the employer has read the document before the meeting — the Week 5 scenario describes the employer having "reviewed it" in advance. Two questions are unresolved: (a) how does the document get to the employer — does submission to the LMS automatically share it, does the team send it directly, or does Riipen facilitate the handoff? and (b) when should it be shared — at the moment of submission at the end of Week 4, or a specified number of days before the Direction Check meeting to give the employer adequate review time? The answer affects student instructions at the end of Week 4, employer onboarding expectations, and whether a platform workflow needs to be built to support the handoff. Affects: student-facing submission instructions, employer touchpoint prep, platform or LMS configuration.</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