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5 — Professional Communication</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470"/>
            <w:shd w:fill="FF7C0A" w:val="clear"/>
            <w:vAlign w:val="center"/>
          </w:tcPr>
          <w:p>
            <w:pPr>
              <w:jc w:val="left"/>
              <w:spacing w:before="40" w:after="40"/>
            </w:pPr>
            <w:r>
              <w:rPr>
                <w:rFonts w:ascii="DM Sans" w:hAnsi="DM Sans" w:cs="DM Sans"/>
                <w:b/>
                <w:i w:val="0"/>
                <w:color w:val="FFFFFF"/>
                <w:sz w:val="20"/>
                <w:u w:val="none"/>
              </w:rPr>
            </w:r>
          </w:p>
        </w:tc>
        <w:tc>
          <w:tcPr>
            <w:tcW w:type="dxa" w:w="5890"/>
            <w:shd w:fill="FF7C0A" w:val="clear"/>
            <w:vAlign w:val="center"/>
          </w:tcPr>
          <w:p>
            <w:pPr>
              <w:jc w:val="left"/>
              <w:spacing w:before="40" w:after="40"/>
            </w:pPr>
            <w:r>
              <w:rPr>
                <w:rFonts w:ascii="DM Sans" w:hAnsi="DM Sans" w:cs="DM Sans"/>
                <w:b/>
                <w:i w:val="0"/>
                <w:color w:val="FFFFFF"/>
                <w:sz w:val="20"/>
                <w:u w:val="none"/>
              </w:rPr>
            </w:r>
          </w:p>
        </w:tc>
      </w:tr>
      <w:tr>
        <w:tc>
          <w:tcPr>
            <w:tcW w:type="dxa" w:w="3470"/>
            <w:vAlign w:val="center"/>
          </w:tcPr>
          <w:p>
            <w:pPr>
              <w:spacing w:before="30" w:after="30"/>
            </w:pPr>
            <w:r>
              <w:rPr>
                <w:rFonts w:ascii="DM Sans" w:hAnsi="DM Sans" w:cs="DM Sans"/>
                <w:b/>
                <w:i w:val="0"/>
                <w:color w:val="050C2A"/>
                <w:sz w:val="20"/>
                <w:u w:val="none"/>
              </w:rPr>
              <w:t>Phase</w:t>
            </w:r>
          </w:p>
        </w:tc>
        <w:tc>
          <w:tcPr>
            <w:tcW w:type="dxa" w:w="5890"/>
            <w:vAlign w:val="center"/>
          </w:tcPr>
          <w:p>
            <w:pPr>
              <w:spacing w:before="30" w:after="30"/>
            </w:pPr>
            <w:r>
              <w:rPr>
                <w:rFonts w:ascii="DM Sans" w:hAnsi="DM Sans" w:cs="DM Sans"/>
                <w:b w:val="0"/>
                <w:i w:val="0"/>
                <w:color w:val="050C2A"/>
                <w:sz w:val="20"/>
                <w:u w:val="none"/>
              </w:rPr>
              <w:t>Discovery</w:t>
            </w:r>
          </w:p>
        </w:tc>
      </w:tr>
      <w:tr>
        <w:tc>
          <w:tcPr>
            <w:tcW w:type="dxa" w:w="3470"/>
            <w:shd w:fill="F5F5F5" w:val="clear"/>
            <w:vAlign w:val="center"/>
          </w:tcPr>
          <w:p>
            <w:pPr>
              <w:spacing w:before="30" w:after="30"/>
            </w:pPr>
            <w:r>
              <w:rPr>
                <w:rFonts w:ascii="DM Sans" w:hAnsi="DM Sans" w:cs="DM Sans"/>
                <w:b/>
                <w:i w:val="0"/>
                <w:color w:val="050C2A"/>
                <w:sz w:val="20"/>
                <w:u w:val="none"/>
              </w:rPr>
              <w:t>Module Title</w:t>
            </w:r>
          </w:p>
        </w:tc>
        <w:tc>
          <w:tcPr>
            <w:tcW w:type="dxa" w:w="5890"/>
            <w:shd w:fill="F5F5F5" w:val="clear"/>
            <w:vAlign w:val="center"/>
          </w:tcPr>
          <w:p>
            <w:pPr>
              <w:spacing w:before="30" w:after="30"/>
            </w:pPr>
            <w:r>
              <w:rPr>
                <w:rFonts w:ascii="DM Sans" w:hAnsi="DM Sans" w:cs="DM Sans"/>
                <w:b w:val="0"/>
                <w:i w:val="0"/>
                <w:color w:val="050C2A"/>
                <w:sz w:val="20"/>
                <w:u w:val="none"/>
              </w:rPr>
              <w:t>Professional Communication</w:t>
            </w:r>
          </w:p>
        </w:tc>
      </w:tr>
      <w:tr>
        <w:tc>
          <w:tcPr>
            <w:tcW w:type="dxa" w:w="3470"/>
            <w:vAlign w:val="center"/>
          </w:tcPr>
          <w:p>
            <w:pPr>
              <w:spacing w:before="30" w:after="30"/>
            </w:pPr>
            <w:r>
              <w:rPr>
                <w:rFonts w:ascii="DM Sans" w:hAnsi="DM Sans" w:cs="DM Sans"/>
                <w:b/>
                <w:i w:val="0"/>
                <w:color w:val="050C2A"/>
                <w:sz w:val="20"/>
                <w:u w:val="none"/>
              </w:rPr>
              <w:t>Primary Function</w:t>
            </w:r>
          </w:p>
        </w:tc>
        <w:tc>
          <w:tcPr>
            <w:tcW w:type="dxa" w:w="5890"/>
            <w:vAlign w:val="center"/>
          </w:tcPr>
          <w:p>
            <w:pPr>
              <w:spacing w:before="30" w:after="30"/>
            </w:pPr>
            <w:r>
              <w:rPr>
                <w:rFonts w:ascii="DM Sans" w:hAnsi="DM Sans" w:cs="DM Sans"/>
                <w:b w:val="0"/>
                <w:i w:val="0"/>
                <w:color w:val="050C2A"/>
                <w:sz w:val="20"/>
                <w:u w:val="none"/>
              </w:rPr>
              <w:t>Skill-building (Communication) + Just-in-time prep (Direction Check)</w:t>
            </w:r>
          </w:p>
        </w:tc>
      </w:tr>
      <w:tr>
        <w:tc>
          <w:tcPr>
            <w:tcW w:type="dxa" w:w="3470"/>
            <w:shd w:fill="F5F5F5" w:val="clear"/>
            <w:vAlign w:val="center"/>
          </w:tcPr>
          <w:p>
            <w:pPr>
              <w:spacing w:before="30" w:after="30"/>
            </w:pPr>
            <w:r>
              <w:rPr>
                <w:rFonts w:ascii="DM Sans" w:hAnsi="DM Sans" w:cs="DM Sans"/>
                <w:b/>
                <w:i w:val="0"/>
                <w:color w:val="050C2A"/>
                <w:sz w:val="20"/>
                <w:u w:val="none"/>
              </w:rPr>
              <w:t>Total Student Time</w:t>
            </w:r>
          </w:p>
        </w:tc>
        <w:tc>
          <w:tcPr>
            <w:tcW w:type="dxa" w:w="5890"/>
            <w:shd w:fill="F5F5F5" w:val="clear"/>
            <w:vAlign w:val="center"/>
          </w:tcPr>
          <w:p>
            <w:pPr>
              <w:spacing w:before="30" w:after="30"/>
            </w:pPr>
            <w:r>
              <w:rPr>
                <w:rFonts w:ascii="DM Sans" w:hAnsi="DM Sans" w:cs="DM Sans"/>
                <w:b w:val="0"/>
                <w:i w:val="0"/>
                <w:color w:val="050C2A"/>
                <w:sz w:val="20"/>
                <w:u w:val="none"/>
              </w:rPr>
              <w:t>600 min (~10 hrs)</w:t>
            </w:r>
          </w:p>
        </w:tc>
      </w:tr>
      <w:tr>
        <w:tc>
          <w:tcPr>
            <w:tcW w:type="dxa" w:w="3470"/>
            <w:vAlign w:val="center"/>
          </w:tcPr>
          <w:p>
            <w:pPr>
              <w:spacing w:before="30" w:after="30"/>
            </w:pPr>
            <w:r>
              <w:rPr>
                <w:rFonts w:ascii="DM Sans" w:hAnsi="DM Sans" w:cs="DM Sans"/>
                <w:b/>
                <w:i w:val="0"/>
                <w:color w:val="050C2A"/>
                <w:sz w:val="20"/>
                <w:u w:val="none"/>
              </w:rPr>
              <w:t>Deliverable This Week</w:t>
            </w:r>
          </w:p>
        </w:tc>
        <w:tc>
          <w:tcPr>
            <w:tcW w:type="dxa" w:w="5890"/>
            <w:vAlign w:val="center"/>
          </w:tcPr>
          <w:p>
            <w:pPr>
              <w:spacing w:before="30" w:after="30"/>
            </w:pPr>
            <w:r>
              <w:rPr>
                <w:rFonts w:ascii="DM Sans" w:hAnsi="DM Sans" w:cs="DM Sans"/>
                <w:b w:val="0"/>
                <w:i w:val="0"/>
                <w:color w:val="050C2A"/>
                <w:sz w:val="20"/>
                <w:u w:val="none"/>
              </w:rPr>
              <w:t>Direction Check Summary (Checkpoint — completion-based, team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5,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69"/>
            <w:shd w:fill="FF7C0A" w:val="clear"/>
            <w:vAlign w:val="center"/>
          </w:tcPr>
          <w:p>
            <w:pPr>
              <w:jc w:val="left"/>
              <w:spacing w:before="40" w:after="40"/>
            </w:pPr>
            <w:r>
              <w:rPr>
                <w:rFonts w:ascii="DM Sans" w:hAnsi="DM Sans" w:cs="DM Sans"/>
                <w:b/>
                <w:i w:val="0"/>
                <w:color w:val="FFFFFF"/>
                <w:sz w:val="20"/>
                <w:u w:val="none"/>
              </w:rPr>
              <w:t>#</w:t>
            </w:r>
          </w:p>
        </w:tc>
        <w:tc>
          <w:tcPr>
            <w:tcW w:type="dxa" w:w="5787"/>
            <w:shd w:fill="FF7C0A" w:val="clear"/>
            <w:vAlign w:val="center"/>
          </w:tcPr>
          <w:p>
            <w:pPr>
              <w:jc w:val="left"/>
              <w:spacing w:before="40" w:after="40"/>
            </w:pPr>
            <w:r>
              <w:rPr>
                <w:rFonts w:ascii="DM Sans" w:hAnsi="DM Sans" w:cs="DM Sans"/>
                <w:b/>
                <w:i w:val="0"/>
                <w:color w:val="FFFFFF"/>
                <w:sz w:val="20"/>
                <w:u w:val="none"/>
              </w:rPr>
              <w:t>Objective</w:t>
            </w:r>
          </w:p>
        </w:tc>
        <w:tc>
          <w:tcPr>
            <w:tcW w:type="dxa" w:w="2604"/>
            <w:shd w:fill="FF7C0A" w:val="clear"/>
            <w:vAlign w:val="center"/>
          </w:tcPr>
          <w:p>
            <w:pPr>
              <w:jc w:val="left"/>
              <w:spacing w:before="40" w:after="40"/>
            </w:pPr>
            <w:r>
              <w:rPr>
                <w:rFonts w:ascii="DM Sans" w:hAnsi="DM Sans" w:cs="DM Sans"/>
                <w:b/>
                <w:i w:val="0"/>
                <w:color w:val="FFFFFF"/>
                <w:sz w:val="20"/>
                <w:u w:val="none"/>
              </w:rPr>
              <w:t>Competency</w:t>
            </w:r>
          </w:p>
        </w:tc>
      </w:tr>
      <w:tr>
        <w:tc>
          <w:tcPr>
            <w:tcW w:type="dxa" w:w="969"/>
            <w:vAlign w:val="center"/>
          </w:tcPr>
          <w:p>
            <w:pPr>
              <w:spacing w:before="30" w:after="30"/>
            </w:pPr>
            <w:r>
              <w:rPr>
                <w:rFonts w:ascii="DM Sans" w:hAnsi="DM Sans" w:cs="DM Sans"/>
                <w:b/>
                <w:i w:val="0"/>
                <w:color w:val="050C2A"/>
                <w:sz w:val="20"/>
                <w:u w:val="none"/>
              </w:rPr>
              <w:t>1</w:t>
            </w:r>
          </w:p>
        </w:tc>
        <w:tc>
          <w:tcPr>
            <w:tcW w:type="dxa" w:w="5787"/>
            <w:vAlign w:val="center"/>
          </w:tcPr>
          <w:p>
            <w:pPr>
              <w:spacing w:before="30" w:after="30"/>
            </w:pPr>
            <w:r>
              <w:rPr>
                <w:rFonts w:ascii="DM Sans" w:hAnsi="DM Sans" w:cs="DM Sans"/>
                <w:b w:val="0"/>
                <w:i w:val="0"/>
                <w:color w:val="050C2A"/>
                <w:sz w:val="20"/>
                <w:u w:val="none"/>
              </w:rPr>
              <w:t>Present a proposed approach to a professional stakeholder in a way that invites feedback rather than defends a position.</w:t>
            </w:r>
          </w:p>
        </w:tc>
        <w:tc>
          <w:tcPr>
            <w:tcW w:type="dxa" w:w="2604"/>
            <w:vAlign w:val="center"/>
          </w:tcPr>
          <w:p>
            <w:pPr>
              <w:spacing w:before="30" w:after="30"/>
            </w:pPr>
            <w:r>
              <w:rPr>
                <w:rFonts w:ascii="DM Sans" w:hAnsi="DM Sans" w:cs="DM Sans"/>
                <w:b w:val="0"/>
                <w:i w:val="0"/>
                <w:color w:val="050C2A"/>
                <w:sz w:val="20"/>
                <w:u w:val="none"/>
              </w:rPr>
              <w:t>Communication → Oral Presentation</w:t>
            </w:r>
          </w:p>
        </w:tc>
      </w:tr>
      <w:tr>
        <w:tc>
          <w:tcPr>
            <w:tcW w:type="dxa" w:w="969"/>
            <w:shd w:fill="F5F5F5" w:val="clear"/>
            <w:vAlign w:val="center"/>
          </w:tcPr>
          <w:p>
            <w:pPr>
              <w:spacing w:before="30" w:after="30"/>
            </w:pPr>
            <w:r>
              <w:rPr>
                <w:rFonts w:ascii="DM Sans" w:hAnsi="DM Sans" w:cs="DM Sans"/>
                <w:b/>
                <w:i w:val="0"/>
                <w:color w:val="050C2A"/>
                <w:sz w:val="20"/>
                <w:u w:val="none"/>
              </w:rPr>
              <w:t>2</w:t>
            </w:r>
          </w:p>
        </w:tc>
        <w:tc>
          <w:tcPr>
            <w:tcW w:type="dxa" w:w="5787"/>
            <w:shd w:fill="F5F5F5" w:val="clear"/>
            <w:vAlign w:val="center"/>
          </w:tcPr>
          <w:p>
            <w:pPr>
              <w:spacing w:before="30" w:after="30"/>
            </w:pPr>
            <w:r>
              <w:rPr>
                <w:rFonts w:ascii="DM Sans" w:hAnsi="DM Sans" w:cs="DM Sans"/>
                <w:b w:val="0"/>
                <w:i w:val="0"/>
                <w:color w:val="050C2A"/>
                <w:sz w:val="20"/>
                <w:u w:val="none"/>
              </w:rPr>
              <w:t>Conduct a structured employer meeting by arriving with prepared talking points, listening actively to feedback, and asking clarifying questions when input is vague or unexpected.</w:t>
            </w:r>
          </w:p>
        </w:tc>
        <w:tc>
          <w:tcPr>
            <w:tcW w:type="dxa" w:w="2604"/>
            <w:shd w:fill="F5F5F5" w:val="clear"/>
            <w:vAlign w:val="center"/>
          </w:tcPr>
          <w:p>
            <w:pPr>
              <w:spacing w:before="30" w:after="30"/>
            </w:pPr>
            <w:r>
              <w:rPr>
                <w:rFonts w:ascii="DM Sans" w:hAnsi="DM Sans" w:cs="DM Sans"/>
                <w:b w:val="0"/>
                <w:i w:val="0"/>
                <w:color w:val="050C2A"/>
                <w:sz w:val="20"/>
                <w:u w:val="none"/>
              </w:rPr>
              <w:t>Communication → Active Listening</w:t>
            </w:r>
          </w:p>
        </w:tc>
      </w:tr>
      <w:tr>
        <w:tc>
          <w:tcPr>
            <w:tcW w:type="dxa" w:w="969"/>
            <w:vAlign w:val="center"/>
          </w:tcPr>
          <w:p>
            <w:pPr>
              <w:spacing w:before="30" w:after="30"/>
            </w:pPr>
            <w:r>
              <w:rPr>
                <w:rFonts w:ascii="DM Sans" w:hAnsi="DM Sans" w:cs="DM Sans"/>
                <w:b/>
                <w:i w:val="0"/>
                <w:color w:val="050C2A"/>
                <w:sz w:val="20"/>
                <w:u w:val="none"/>
              </w:rPr>
              <w:t>3</w:t>
            </w:r>
          </w:p>
        </w:tc>
        <w:tc>
          <w:tcPr>
            <w:tcW w:type="dxa" w:w="5787"/>
            <w:vAlign w:val="center"/>
          </w:tcPr>
          <w:p>
            <w:pPr>
              <w:spacing w:before="30" w:after="30"/>
            </w:pPr>
            <w:r>
              <w:rPr>
                <w:rFonts w:ascii="DM Sans" w:hAnsi="DM Sans" w:cs="DM Sans"/>
                <w:b w:val="0"/>
                <w:i w:val="0"/>
                <w:color w:val="050C2A"/>
                <w:sz w:val="20"/>
                <w:u w:val="none"/>
              </w:rPr>
              <w:t>Translate verbal employer feedback into a written record that captures specific input, concrete plan adjustments, and confirmed next steps.</w:t>
            </w:r>
          </w:p>
        </w:tc>
        <w:tc>
          <w:tcPr>
            <w:tcW w:type="dxa" w:w="2604"/>
            <w:vAlign w:val="center"/>
          </w:tcPr>
          <w:p>
            <w:pPr>
              <w:spacing w:before="30" w:after="30"/>
            </w:pPr>
            <w:r>
              <w:rPr>
                <w:rFonts w:ascii="DM Sans" w:hAnsi="DM Sans" w:cs="DM Sans"/>
                <w:b w:val="0"/>
                <w:i w:val="0"/>
                <w:color w:val="050C2A"/>
                <w:sz w:val="20"/>
                <w:u w:val="none"/>
              </w:rPr>
              <w:t>Communication → Written Clarity</w:t>
            </w:r>
          </w:p>
        </w:tc>
      </w:tr>
      <w:tr>
        <w:tc>
          <w:tcPr>
            <w:tcW w:type="dxa" w:w="969"/>
            <w:shd w:fill="F5F5F5" w:val="clear"/>
            <w:vAlign w:val="center"/>
          </w:tcPr>
          <w:p>
            <w:pPr>
              <w:spacing w:before="30" w:after="30"/>
            </w:pPr>
            <w:r>
              <w:rPr>
                <w:rFonts w:ascii="DM Sans" w:hAnsi="DM Sans" w:cs="DM Sans"/>
                <w:b/>
                <w:i w:val="0"/>
                <w:color w:val="050C2A"/>
                <w:sz w:val="20"/>
                <w:u w:val="none"/>
              </w:rPr>
              <w:t>4</w:t>
            </w:r>
          </w:p>
        </w:tc>
        <w:tc>
          <w:tcPr>
            <w:tcW w:type="dxa" w:w="5787"/>
            <w:shd w:fill="F5F5F5" w:val="clear"/>
            <w:vAlign w:val="center"/>
          </w:tcPr>
          <w:p>
            <w:pPr>
              <w:spacing w:before="30" w:after="30"/>
            </w:pPr>
            <w:r>
              <w:rPr>
                <w:rFonts w:ascii="DM Sans" w:hAnsi="DM Sans" w:cs="DM Sans"/>
                <w:b w:val="0"/>
                <w:i w:val="0"/>
                <w:color w:val="050C2A"/>
                <w:sz w:val="20"/>
                <w:u w:val="none"/>
              </w:rPr>
              <w:t>Receive stakeholder feedback that requires a change in direction without defensiveness and incorporate it into a revised project approach.</w:t>
            </w:r>
          </w:p>
        </w:tc>
        <w:tc>
          <w:tcPr>
            <w:tcW w:type="dxa" w:w="2604"/>
            <w:shd w:fill="F5F5F5" w:val="clear"/>
            <w:vAlign w:val="center"/>
          </w:tcPr>
          <w:p>
            <w:pPr>
              <w:spacing w:before="30" w:after="30"/>
            </w:pPr>
            <w:r>
              <w:rPr>
                <w:rFonts w:ascii="DM Sans" w:hAnsi="DM Sans" w:cs="DM Sans"/>
                <w:b w:val="0"/>
                <w:i w:val="0"/>
                <w:color w:val="050C2A"/>
                <w:sz w:val="20"/>
                <w:u w:val="none"/>
              </w:rPr>
              <w:t>Professionalism → Feedback Reception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5 is organized around a single anchor event — the Direction Check — and everything else in the week either prepares for it or follows from it. The module content is sequenced as just-in-time skill instruction: students complete all four sections before they prepare their talking points, so they arrive at the meeting having just learned what good professional communication in this context looks like. The post-meeting arc (debrief → Summary → plan revision) is kept as four distinct line items rather than collapsed, because each step represents a different cognitive task: capturing what was heard, writing it up formally, and then deciding what to do about it. The week closes with forward-looking production work that sets up Week 6 production.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407"/>
            <w:shd w:fill="FF7C0A" w:val="clear"/>
            <w:vAlign w:val="center"/>
          </w:tcPr>
          <w:p>
            <w:pPr>
              <w:jc w:val="left"/>
              <w:spacing w:before="40" w:after="40"/>
            </w:pPr>
            <w:r>
              <w:rPr>
                <w:rFonts w:ascii="DM Sans" w:hAnsi="DM Sans" w:cs="DM Sans"/>
                <w:b/>
                <w:i w:val="0"/>
                <w:color w:val="FFFFFF"/>
                <w:sz w:val="20"/>
                <w:u w:val="none"/>
              </w:rPr>
              <w:t>#</w:t>
            </w:r>
          </w:p>
        </w:tc>
        <w:tc>
          <w:tcPr>
            <w:tcW w:type="dxa" w:w="1019"/>
            <w:shd w:fill="FF7C0A" w:val="clear"/>
            <w:vAlign w:val="center"/>
          </w:tcPr>
          <w:p>
            <w:pPr>
              <w:jc w:val="left"/>
              <w:spacing w:before="40" w:after="40"/>
            </w:pPr>
            <w:r>
              <w:rPr>
                <w:rFonts w:ascii="DM Sans" w:hAnsi="DM Sans" w:cs="DM Sans"/>
                <w:b/>
                <w:i w:val="0"/>
                <w:color w:val="FFFFFF"/>
                <w:sz w:val="20"/>
                <w:u w:val="none"/>
              </w:rPr>
              <w:t>Category</w:t>
            </w:r>
          </w:p>
        </w:tc>
        <w:tc>
          <w:tcPr>
            <w:tcW w:type="dxa" w:w="2017"/>
            <w:shd w:fill="FF7C0A" w:val="clear"/>
            <w:vAlign w:val="center"/>
          </w:tcPr>
          <w:p>
            <w:pPr>
              <w:jc w:val="left"/>
              <w:spacing w:before="40" w:after="40"/>
            </w:pPr>
            <w:r>
              <w:rPr>
                <w:rFonts w:ascii="DM Sans" w:hAnsi="DM Sans" w:cs="DM Sans"/>
                <w:b/>
                <w:i w:val="0"/>
                <w:color w:val="FFFFFF"/>
                <w:sz w:val="20"/>
                <w:u w:val="none"/>
              </w:rPr>
              <w:t>Activity</w:t>
            </w:r>
          </w:p>
        </w:tc>
        <w:tc>
          <w:tcPr>
            <w:tcW w:type="dxa" w:w="539"/>
            <w:shd w:fill="FF7C0A" w:val="clear"/>
            <w:vAlign w:val="center"/>
          </w:tcPr>
          <w:p>
            <w:pPr>
              <w:jc w:val="left"/>
              <w:spacing w:before="40" w:after="40"/>
            </w:pPr>
            <w:r>
              <w:rPr>
                <w:rFonts w:ascii="DM Sans" w:hAnsi="DM Sans" w:cs="DM Sans"/>
                <w:b/>
                <w:i w:val="0"/>
                <w:color w:val="FFFFFF"/>
                <w:sz w:val="20"/>
                <w:u w:val="none"/>
              </w:rPr>
              <w:t>Format</w:t>
            </w:r>
          </w:p>
        </w:tc>
        <w:tc>
          <w:tcPr>
            <w:tcW w:type="dxa" w:w="934"/>
            <w:shd w:fill="FF7C0A" w:val="clear"/>
            <w:vAlign w:val="center"/>
          </w:tcPr>
          <w:p>
            <w:pPr>
              <w:jc w:val="left"/>
              <w:spacing w:before="40" w:after="40"/>
            </w:pPr>
            <w:r>
              <w:rPr>
                <w:rFonts w:ascii="DM Sans" w:hAnsi="DM Sans" w:cs="DM Sans"/>
                <w:b/>
                <w:i w:val="0"/>
                <w:color w:val="FFFFFF"/>
                <w:sz w:val="20"/>
                <w:u w:val="none"/>
              </w:rPr>
              <w:t>Min</w:t>
            </w:r>
          </w:p>
        </w:tc>
        <w:tc>
          <w:tcPr>
            <w:tcW w:type="dxa" w:w="4444"/>
            <w:shd w:fill="FF7C0A" w:val="clear"/>
            <w:vAlign w:val="center"/>
          </w:tcPr>
          <w:p>
            <w:pPr>
              <w:jc w:val="left"/>
              <w:spacing w:before="40" w:after="40"/>
            </w:pPr>
            <w:r>
              <w:rPr>
                <w:rFonts w:ascii="DM Sans" w:hAnsi="DM Sans" w:cs="DM Sans"/>
                <w:b/>
                <w:i w:val="0"/>
                <w:color w:val="FFFFFF"/>
                <w:sz w:val="20"/>
                <w:u w:val="none"/>
              </w:rPr>
              <w:t>Note</w:t>
            </w:r>
          </w:p>
        </w:tc>
      </w:tr>
      <w:tr>
        <w:tc>
          <w:tcPr>
            <w:tcW w:type="dxa" w:w="407"/>
            <w:vAlign w:val="center"/>
          </w:tcPr>
          <w:p>
            <w:pPr>
              <w:spacing w:before="30" w:after="30"/>
            </w:pPr>
            <w:r>
              <w:rPr>
                <w:rFonts w:ascii="DM Sans" w:hAnsi="DM Sans" w:cs="DM Sans"/>
                <w:b w:val="0"/>
                <w:i w:val="0"/>
                <w:color w:val="050C2A"/>
                <w:sz w:val="20"/>
                <w:u w:val="none"/>
              </w:rPr>
              <w:t>5.01</w:t>
            </w:r>
          </w:p>
        </w:tc>
        <w:tc>
          <w:tcPr>
            <w:tcW w:type="dxa" w:w="1019"/>
            <w:vAlign w:val="center"/>
          </w:tcPr>
          <w:p>
            <w:pPr>
              <w:spacing w:before="30" w:after="30"/>
            </w:pPr>
            <w:r>
              <w:rPr>
                <w:rFonts w:ascii="DM Sans" w:hAnsi="DM Sans" w:cs="DM Sans"/>
                <w:b w:val="0"/>
                <w:i w:val="0"/>
                <w:color w:val="050C2A"/>
                <w:sz w:val="20"/>
                <w:u w:val="none"/>
              </w:rPr>
              <w:t>Course Orientation</w:t>
            </w:r>
          </w:p>
        </w:tc>
        <w:tc>
          <w:tcPr>
            <w:tcW w:type="dxa" w:w="2017"/>
            <w:vAlign w:val="center"/>
          </w:tcPr>
          <w:p>
            <w:pPr>
              <w:spacing w:before="30" w:after="30"/>
            </w:pPr>
            <w:r>
              <w:rPr>
                <w:rFonts w:ascii="DM Sans" w:hAnsi="DM Sans" w:cs="DM Sans"/>
                <w:b w:val="0"/>
                <w:i w:val="0"/>
                <w:color w:val="050C2A"/>
                <w:sz w:val="20"/>
                <w:u w:val="none"/>
              </w:rPr>
              <w:t>Week 5 Overview — objectives, what's happening this week, suggested order of completion</w:t>
            </w:r>
          </w:p>
        </w:tc>
        <w:tc>
          <w:tcPr>
            <w:tcW w:type="dxa" w:w="539"/>
            <w:vAlign w:val="center"/>
          </w:tcPr>
          <w:p>
            <w:pPr>
              <w:spacing w:before="30" w:after="30"/>
            </w:pPr>
            <w:r>
              <w:rPr>
                <w:rFonts w:ascii="DM Sans" w:hAnsi="DM Sans" w:cs="DM Sans"/>
                <w:b w:val="0"/>
                <w:i w:val="0"/>
                <w:color w:val="050C2A"/>
                <w:sz w:val="20"/>
                <w:u w:val="none"/>
              </w:rPr>
              <w:t>Module</w:t>
            </w:r>
          </w:p>
        </w:tc>
        <w:tc>
          <w:tcPr>
            <w:tcW w:type="dxa" w:w="934"/>
            <w:vAlign w:val="center"/>
          </w:tcPr>
          <w:p>
            <w:pPr>
              <w:spacing w:before="30" w:after="30"/>
            </w:pPr>
            <w:r>
              <w:rPr>
                <w:rFonts w:ascii="DM Sans" w:hAnsi="DM Sans" w:cs="DM Sans"/>
                <w:b w:val="0"/>
                <w:i w:val="0"/>
                <w:color w:val="050C2A"/>
                <w:sz w:val="20"/>
                <w:u w:val="none"/>
              </w:rPr>
              <w:t>5</w:t>
            </w:r>
          </w:p>
        </w:tc>
        <w:tc>
          <w:tcPr>
            <w:tcW w:type="dxa" w:w="4444"/>
            <w:vAlign w:val="center"/>
          </w:tcPr>
          <w:p>
            <w:pPr>
              <w:spacing w:before="30" w:after="30"/>
            </w:pPr>
            <w:r>
              <w:rPr>
                <w:rFonts w:ascii="DM Sans" w:hAnsi="DM Sans" w:cs="DM Sans"/>
                <w:b w:val="0"/>
                <w:i w:val="0"/>
                <w:color w:val="050C2A"/>
                <w:sz w:val="20"/>
                <w:u w:val="none"/>
              </w:rPr>
              <w:t>Names the Direction Check as the anchor event; orients students to the pre/during/post structure of the week</w:t>
            </w:r>
          </w:p>
        </w:tc>
      </w:tr>
      <w:tr>
        <w:tc>
          <w:tcPr>
            <w:tcW w:type="dxa" w:w="407"/>
            <w:shd w:fill="F5F5F5" w:val="clear"/>
            <w:vAlign w:val="center"/>
          </w:tcPr>
          <w:p>
            <w:pPr>
              <w:spacing w:before="30" w:after="30"/>
            </w:pPr>
            <w:r>
              <w:rPr>
                <w:rFonts w:ascii="DM Sans" w:hAnsi="DM Sans" w:cs="DM Sans"/>
                <w:b w:val="0"/>
                <w:i w:val="0"/>
                <w:color w:val="050C2A"/>
                <w:sz w:val="20"/>
                <w:u w:val="none"/>
              </w:rPr>
              <w:t>5.02</w:t>
            </w:r>
          </w:p>
        </w:tc>
        <w:tc>
          <w:tcPr>
            <w:tcW w:type="dxa" w:w="1019"/>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17"/>
            <w:shd w:fill="F5F5F5" w:val="clear"/>
            <w:vAlign w:val="center"/>
          </w:tcPr>
          <w:p>
            <w:pPr>
              <w:spacing w:before="30" w:after="30"/>
            </w:pPr>
            <w:r>
              <w:rPr>
                <w:rFonts w:ascii="DM Sans" w:hAnsi="DM Sans" w:cs="DM Sans"/>
                <w:b w:val="0"/>
                <w:i w:val="0"/>
                <w:color w:val="050C2A"/>
                <w:sz w:val="20"/>
                <w:u w:val="none"/>
              </w:rPr>
              <w:t>Module: Communicating Your Approach</w:t>
            </w:r>
          </w:p>
        </w:tc>
        <w:tc>
          <w:tcPr>
            <w:tcW w:type="dxa" w:w="539"/>
            <w:shd w:fill="F5F5F5" w:val="clear"/>
            <w:vAlign w:val="center"/>
          </w:tcPr>
          <w:p>
            <w:pPr>
              <w:spacing w:before="30" w:after="30"/>
            </w:pPr>
            <w:r>
              <w:rPr>
                <w:rFonts w:ascii="DM Sans" w:hAnsi="DM Sans" w:cs="DM Sans"/>
                <w:b w:val="0"/>
                <w:i w:val="0"/>
                <w:color w:val="050C2A"/>
                <w:sz w:val="20"/>
                <w:u w:val="none"/>
              </w:rPr>
              <w:t>Module</w:t>
            </w:r>
          </w:p>
        </w:tc>
        <w:tc>
          <w:tcPr>
            <w:tcW w:type="dxa" w:w="934"/>
            <w:shd w:fill="F5F5F5" w:val="clear"/>
            <w:vAlign w:val="center"/>
          </w:tcPr>
          <w:p>
            <w:pPr>
              <w:spacing w:before="30" w:after="30"/>
            </w:pPr>
            <w:r>
              <w:rPr>
                <w:rFonts w:ascii="DM Sans" w:hAnsi="DM Sans" w:cs="DM Sans"/>
                <w:b w:val="0"/>
                <w:i w:val="0"/>
                <w:color w:val="050C2A"/>
                <w:sz w:val="20"/>
                <w:u w:val="none"/>
              </w:rPr>
              <w:t>15</w:t>
            </w:r>
          </w:p>
        </w:tc>
        <w:tc>
          <w:tcPr>
            <w:tcW w:type="dxa" w:w="4444"/>
            <w:shd w:fill="F5F5F5" w:val="clear"/>
            <w:vAlign w:val="center"/>
          </w:tcPr>
          <w:p>
            <w:pPr>
              <w:spacing w:before="30" w:after="30"/>
            </w:pPr>
            <w:r>
              <w:rPr>
                <w:rFonts w:ascii="DM Sans" w:hAnsi="DM Sans" w:cs="DM Sans"/>
                <w:b w:val="0"/>
                <w:i w:val="0"/>
                <w:color w:val="050C2A"/>
                <w:sz w:val="20"/>
                <w:u w:val="none"/>
              </w:rPr>
              <w:t>Presenting a plan for validation, framing recommendations, inviting feedback</w:t>
            </w:r>
          </w:p>
        </w:tc>
      </w:tr>
      <w:tr>
        <w:tc>
          <w:tcPr>
            <w:tcW w:type="dxa" w:w="407"/>
            <w:vAlign w:val="center"/>
          </w:tcPr>
          <w:p>
            <w:pPr>
              <w:spacing w:before="30" w:after="30"/>
            </w:pPr>
            <w:r>
              <w:rPr>
                <w:rFonts w:ascii="DM Sans" w:hAnsi="DM Sans" w:cs="DM Sans"/>
                <w:b w:val="0"/>
                <w:i w:val="0"/>
                <w:color w:val="050C2A"/>
                <w:sz w:val="20"/>
                <w:u w:val="none"/>
              </w:rPr>
              <w:t>5.03</w:t>
            </w:r>
          </w:p>
        </w:tc>
        <w:tc>
          <w:tcPr>
            <w:tcW w:type="dxa" w:w="1019"/>
            <w:vAlign w:val="center"/>
          </w:tcPr>
          <w:p>
            <w:pPr>
              <w:spacing w:before="30" w:after="30"/>
            </w:pPr>
            <w:r>
              <w:rPr>
                <w:rFonts w:ascii="DM Sans" w:hAnsi="DM Sans" w:cs="DM Sans"/>
                <w:b w:val="0"/>
                <w:i w:val="0"/>
                <w:color w:val="050C2A"/>
                <w:sz w:val="20"/>
                <w:u w:val="none"/>
              </w:rPr>
              <w:t>Professional Fundamentals</w:t>
            </w:r>
          </w:p>
        </w:tc>
        <w:tc>
          <w:tcPr>
            <w:tcW w:type="dxa" w:w="2017"/>
            <w:vAlign w:val="center"/>
          </w:tcPr>
          <w:p>
            <w:pPr>
              <w:spacing w:before="30" w:after="30"/>
            </w:pPr>
            <w:r>
              <w:rPr>
                <w:rFonts w:ascii="DM Sans" w:hAnsi="DM Sans" w:cs="DM Sans"/>
                <w:b w:val="0"/>
                <w:i w:val="0"/>
                <w:color w:val="050C2A"/>
                <w:sz w:val="20"/>
                <w:u w:val="none"/>
              </w:rPr>
              <w:t>Module: Managing Expectations</w:t>
            </w:r>
          </w:p>
        </w:tc>
        <w:tc>
          <w:tcPr>
            <w:tcW w:type="dxa" w:w="539"/>
            <w:vAlign w:val="center"/>
          </w:tcPr>
          <w:p>
            <w:pPr>
              <w:spacing w:before="30" w:after="30"/>
            </w:pPr>
            <w:r>
              <w:rPr>
                <w:rFonts w:ascii="DM Sans" w:hAnsi="DM Sans" w:cs="DM Sans"/>
                <w:b w:val="0"/>
                <w:i w:val="0"/>
                <w:color w:val="050C2A"/>
                <w:sz w:val="20"/>
                <w:u w:val="none"/>
              </w:rPr>
              <w:t>Module</w:t>
            </w:r>
          </w:p>
        </w:tc>
        <w:tc>
          <w:tcPr>
            <w:tcW w:type="dxa" w:w="934"/>
            <w:vAlign w:val="center"/>
          </w:tcPr>
          <w:p>
            <w:pPr>
              <w:spacing w:before="30" w:after="30"/>
            </w:pPr>
            <w:r>
              <w:rPr>
                <w:rFonts w:ascii="DM Sans" w:hAnsi="DM Sans" w:cs="DM Sans"/>
                <w:b w:val="0"/>
                <w:i w:val="0"/>
                <w:color w:val="050C2A"/>
                <w:sz w:val="20"/>
                <w:u w:val="none"/>
              </w:rPr>
              <w:t>15</w:t>
            </w:r>
          </w:p>
        </w:tc>
        <w:tc>
          <w:tcPr>
            <w:tcW w:type="dxa" w:w="4444"/>
            <w:vAlign w:val="center"/>
          </w:tcPr>
          <w:p>
            <w:pPr>
              <w:spacing w:before="30" w:after="30"/>
            </w:pPr>
            <w:r>
              <w:rPr>
                <w:rFonts w:ascii="DM Sans" w:hAnsi="DM Sans" w:cs="DM Sans"/>
                <w:b w:val="0"/>
                <w:i w:val="0"/>
                <w:color w:val="050C2A"/>
                <w:sz w:val="20"/>
                <w:u w:val="none"/>
              </w:rPr>
              <w:t>What to do when scope shifts, delivering difficult messages, saying "we can't do that" professionally</w:t>
            </w:r>
          </w:p>
        </w:tc>
      </w:tr>
      <w:tr>
        <w:tc>
          <w:tcPr>
            <w:tcW w:type="dxa" w:w="407"/>
            <w:shd w:fill="F5F5F5" w:val="clear"/>
            <w:vAlign w:val="center"/>
          </w:tcPr>
          <w:p>
            <w:pPr>
              <w:spacing w:before="30" w:after="30"/>
            </w:pPr>
            <w:r>
              <w:rPr>
                <w:rFonts w:ascii="DM Sans" w:hAnsi="DM Sans" w:cs="DM Sans"/>
                <w:b w:val="0"/>
                <w:i w:val="0"/>
                <w:color w:val="050C2A"/>
                <w:sz w:val="20"/>
                <w:u w:val="none"/>
              </w:rPr>
              <w:t>5.04</w:t>
            </w:r>
          </w:p>
        </w:tc>
        <w:tc>
          <w:tcPr>
            <w:tcW w:type="dxa" w:w="1019"/>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17"/>
            <w:shd w:fill="F5F5F5" w:val="clear"/>
            <w:vAlign w:val="center"/>
          </w:tcPr>
          <w:p>
            <w:pPr>
              <w:spacing w:before="30" w:after="30"/>
            </w:pPr>
            <w:r>
              <w:rPr>
                <w:rFonts w:ascii="DM Sans" w:hAnsi="DM Sans" w:cs="DM Sans"/>
                <w:b w:val="0"/>
                <w:i w:val="0"/>
                <w:color w:val="050C2A"/>
                <w:sz w:val="20"/>
                <w:u w:val="none"/>
              </w:rPr>
              <w:t>Module: Preparing for Direction Check</w:t>
            </w:r>
          </w:p>
        </w:tc>
        <w:tc>
          <w:tcPr>
            <w:tcW w:type="dxa" w:w="539"/>
            <w:shd w:fill="F5F5F5" w:val="clear"/>
            <w:vAlign w:val="center"/>
          </w:tcPr>
          <w:p>
            <w:pPr>
              <w:spacing w:before="30" w:after="30"/>
            </w:pPr>
            <w:r>
              <w:rPr>
                <w:rFonts w:ascii="DM Sans" w:hAnsi="DM Sans" w:cs="DM Sans"/>
                <w:b w:val="0"/>
                <w:i w:val="0"/>
                <w:color w:val="050C2A"/>
                <w:sz w:val="20"/>
                <w:u w:val="none"/>
              </w:rPr>
              <w:t>Module</w:t>
            </w:r>
          </w:p>
        </w:tc>
        <w:tc>
          <w:tcPr>
            <w:tcW w:type="dxa" w:w="934"/>
            <w:shd w:fill="F5F5F5" w:val="clear"/>
            <w:vAlign w:val="center"/>
          </w:tcPr>
          <w:p>
            <w:pPr>
              <w:spacing w:before="30" w:after="30"/>
            </w:pPr>
            <w:r>
              <w:rPr>
                <w:rFonts w:ascii="DM Sans" w:hAnsi="DM Sans" w:cs="DM Sans"/>
                <w:b w:val="0"/>
                <w:i w:val="0"/>
                <w:color w:val="050C2A"/>
                <w:sz w:val="20"/>
                <w:u w:val="none"/>
              </w:rPr>
              <w:t>15</w:t>
            </w:r>
          </w:p>
        </w:tc>
        <w:tc>
          <w:tcPr>
            <w:tcW w:type="dxa" w:w="4444"/>
            <w:shd w:fill="F5F5F5" w:val="clear"/>
            <w:vAlign w:val="center"/>
          </w:tcPr>
          <w:p>
            <w:pPr>
              <w:spacing w:before="30" w:after="30"/>
            </w:pPr>
            <w:r>
              <w:rPr>
                <w:rFonts w:ascii="DM Sans" w:hAnsi="DM Sans" w:cs="DM Sans"/>
                <w:b w:val="0"/>
                <w:i w:val="0"/>
                <w:color w:val="050C2A"/>
                <w:sz w:val="20"/>
                <w:u w:val="none"/>
              </w:rPr>
              <w:t>What to present, what questions to ask, how to use this touchpoint effectively; includes contingency guidance for when the meeting doesn't go as expected — e.g., employer hasn't read the submission, scope shifts unexpectedly, or the conversation goes off-agenda</w:t>
            </w:r>
          </w:p>
        </w:tc>
      </w:tr>
      <w:tr>
        <w:tc>
          <w:tcPr>
            <w:tcW w:type="dxa" w:w="407"/>
            <w:vAlign w:val="center"/>
          </w:tcPr>
          <w:p>
            <w:pPr>
              <w:spacing w:before="30" w:after="30"/>
            </w:pPr>
            <w:r>
              <w:rPr>
                <w:rFonts w:ascii="DM Sans" w:hAnsi="DM Sans" w:cs="DM Sans"/>
                <w:b w:val="0"/>
                <w:i w:val="0"/>
                <w:color w:val="050C2A"/>
                <w:sz w:val="20"/>
                <w:u w:val="none"/>
              </w:rPr>
              <w:t>5.05</w:t>
            </w:r>
          </w:p>
        </w:tc>
        <w:tc>
          <w:tcPr>
            <w:tcW w:type="dxa" w:w="1019"/>
            <w:vAlign w:val="center"/>
          </w:tcPr>
          <w:p>
            <w:pPr>
              <w:spacing w:before="30" w:after="30"/>
            </w:pPr>
            <w:r>
              <w:rPr>
                <w:rFonts w:ascii="DM Sans" w:hAnsi="DM Sans" w:cs="DM Sans"/>
                <w:b w:val="0"/>
                <w:i w:val="0"/>
                <w:color w:val="050C2A"/>
                <w:sz w:val="20"/>
                <w:u w:val="none"/>
              </w:rPr>
              <w:t>Professional Fundamentals</w:t>
            </w:r>
          </w:p>
        </w:tc>
        <w:tc>
          <w:tcPr>
            <w:tcW w:type="dxa" w:w="2017"/>
            <w:vAlign w:val="center"/>
          </w:tcPr>
          <w:p>
            <w:pPr>
              <w:spacing w:before="30" w:after="30"/>
            </w:pPr>
            <w:r>
              <w:rPr>
                <w:rFonts w:ascii="DM Sans" w:hAnsi="DM Sans" w:cs="DM Sans"/>
                <w:b w:val="0"/>
                <w:i w:val="0"/>
                <w:color w:val="050C2A"/>
                <w:sz w:val="20"/>
                <w:u w:val="none"/>
              </w:rPr>
              <w:t>Module: Receiving Direction and Responding Well</w:t>
            </w:r>
          </w:p>
        </w:tc>
        <w:tc>
          <w:tcPr>
            <w:tcW w:type="dxa" w:w="539"/>
            <w:vAlign w:val="center"/>
          </w:tcPr>
          <w:p>
            <w:pPr>
              <w:spacing w:before="30" w:after="30"/>
            </w:pPr>
            <w:r>
              <w:rPr>
                <w:rFonts w:ascii="DM Sans" w:hAnsi="DM Sans" w:cs="DM Sans"/>
                <w:b w:val="0"/>
                <w:i w:val="0"/>
                <w:color w:val="050C2A"/>
                <w:sz w:val="20"/>
                <w:u w:val="none"/>
              </w:rPr>
              <w:t>Module</w:t>
            </w:r>
          </w:p>
        </w:tc>
        <w:tc>
          <w:tcPr>
            <w:tcW w:type="dxa" w:w="934"/>
            <w:vAlign w:val="center"/>
          </w:tcPr>
          <w:p>
            <w:pPr>
              <w:spacing w:before="30" w:after="30"/>
            </w:pPr>
            <w:r>
              <w:rPr>
                <w:rFonts w:ascii="DM Sans" w:hAnsi="DM Sans" w:cs="DM Sans"/>
                <w:b w:val="0"/>
                <w:i w:val="0"/>
                <w:color w:val="050C2A"/>
                <w:sz w:val="20"/>
                <w:u w:val="none"/>
              </w:rPr>
              <w:t>15</w:t>
            </w:r>
          </w:p>
        </w:tc>
        <w:tc>
          <w:tcPr>
            <w:tcW w:type="dxa" w:w="4444"/>
            <w:vAlign w:val="center"/>
          </w:tcPr>
          <w:p>
            <w:pPr>
              <w:spacing w:before="30" w:after="30"/>
            </w:pPr>
            <w:r>
              <w:rPr>
                <w:rFonts w:ascii="DM Sans" w:hAnsi="DM Sans" w:cs="DM Sans"/>
                <w:b w:val="0"/>
                <w:i w:val="0"/>
                <w:color w:val="050C2A"/>
                <w:sz w:val="20"/>
                <w:u w:val="none"/>
              </w:rPr>
              <w:t>How to listen without defending, asking clarifying questions when feedback is vague, translating verbal feedback into written plan adjustments</w:t>
            </w:r>
          </w:p>
        </w:tc>
      </w:tr>
      <w:tr>
        <w:tc>
          <w:tcPr>
            <w:tcW w:type="dxa" w:w="407"/>
            <w:shd w:fill="F5F5F5" w:val="clear"/>
            <w:vAlign w:val="center"/>
          </w:tcPr>
          <w:p>
            <w:pPr>
              <w:spacing w:before="30" w:after="30"/>
            </w:pPr>
            <w:r>
              <w:rPr>
                <w:rFonts w:ascii="DM Sans" w:hAnsi="DM Sans" w:cs="DM Sans"/>
                <w:b w:val="0"/>
                <w:i w:val="0"/>
                <w:color w:val="050C2A"/>
                <w:sz w:val="20"/>
                <w:u w:val="none"/>
              </w:rPr>
              <w:t>5.06</w:t>
            </w:r>
          </w:p>
        </w:tc>
        <w:tc>
          <w:tcPr>
            <w:tcW w:type="dxa" w:w="1019"/>
            <w:shd w:fill="F5F5F5" w:val="clear"/>
            <w:vAlign w:val="center"/>
          </w:tcPr>
          <w:p>
            <w:pPr>
              <w:spacing w:before="30" w:after="30"/>
            </w:pPr>
            <w:r>
              <w:rPr>
                <w:rFonts w:ascii="DM Sans" w:hAnsi="DM Sans" w:cs="DM Sans"/>
                <w:b w:val="0"/>
                <w:i w:val="0"/>
                <w:color w:val="050C2A"/>
                <w:sz w:val="20"/>
                <w:u w:val="none"/>
              </w:rPr>
              <w:t>Project Work</w:t>
            </w:r>
          </w:p>
        </w:tc>
        <w:tc>
          <w:tcPr>
            <w:tcW w:type="dxa" w:w="2017"/>
            <w:shd w:fill="F5F5F5" w:val="clear"/>
            <w:vAlign w:val="center"/>
          </w:tcPr>
          <w:p>
            <w:pPr>
              <w:spacing w:before="30" w:after="30"/>
            </w:pPr>
            <w:r>
              <w:rPr>
                <w:rFonts w:ascii="DM Sans" w:hAnsi="DM Sans" w:cs="DM Sans"/>
                <w:b w:val="0"/>
                <w:i w:val="0"/>
                <w:color w:val="050C2A"/>
                <w:sz w:val="20"/>
                <w:u w:val="none"/>
              </w:rPr>
              <w:t>Review Context Analysis feedback + prep for Direction Check (team meeting)</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60</w:t>
            </w:r>
          </w:p>
        </w:tc>
        <w:tc>
          <w:tcPr>
            <w:tcW w:type="dxa" w:w="4444"/>
            <w:shd w:fill="F5F5F5" w:val="clear"/>
            <w:vAlign w:val="center"/>
          </w:tcPr>
          <w:p>
            <w:pPr>
              <w:spacing w:before="30" w:after="30"/>
            </w:pPr>
            <w:r>
              <w:rPr>
                <w:rFonts w:ascii="DM Sans" w:hAnsi="DM Sans" w:cs="DM Sans"/>
                <w:b w:val="0"/>
                <w:i w:val="0"/>
                <w:color w:val="050C2A"/>
                <w:sz w:val="20"/>
                <w:u w:val="none"/>
              </w:rPr>
              <w:t>Team reviews graded feedback on Context Analysis &amp; Project Plan, if available; identifies what employer is likely to probe; assigns talking points</w:t>
            </w:r>
          </w:p>
        </w:tc>
      </w:tr>
      <w:tr>
        <w:tc>
          <w:tcPr>
            <w:tcW w:type="dxa" w:w="407"/>
            <w:vAlign w:val="center"/>
          </w:tcPr>
          <w:p>
            <w:pPr>
              <w:spacing w:before="30" w:after="30"/>
            </w:pPr>
            <w:r>
              <w:rPr>
                <w:rFonts w:ascii="DM Sans" w:hAnsi="DM Sans" w:cs="DM Sans"/>
                <w:b w:val="0"/>
                <w:i w:val="0"/>
                <w:color w:val="050C2A"/>
                <w:sz w:val="20"/>
                <w:u w:val="none"/>
              </w:rPr>
              <w:t>5.07</w:t>
            </w:r>
          </w:p>
        </w:tc>
        <w:tc>
          <w:tcPr>
            <w:tcW w:type="dxa" w:w="1019"/>
            <w:vAlign w:val="center"/>
          </w:tcPr>
          <w:p>
            <w:pPr>
              <w:spacing w:before="30" w:after="30"/>
            </w:pPr>
            <w:r>
              <w:rPr>
                <w:rFonts w:ascii="DM Sans" w:hAnsi="DM Sans" w:cs="DM Sans"/>
                <w:b w:val="0"/>
                <w:i w:val="0"/>
                <w:color w:val="050C2A"/>
                <w:sz w:val="20"/>
                <w:u w:val="none"/>
              </w:rPr>
              <w:t>Project Work</w:t>
            </w:r>
          </w:p>
        </w:tc>
        <w:tc>
          <w:tcPr>
            <w:tcW w:type="dxa" w:w="2017"/>
            <w:vAlign w:val="center"/>
          </w:tcPr>
          <w:p>
            <w:pPr>
              <w:spacing w:before="30" w:after="30"/>
            </w:pPr>
            <w:r>
              <w:rPr>
                <w:rFonts w:ascii="DM Sans" w:hAnsi="DM Sans" w:cs="DM Sans"/>
                <w:b w:val="0"/>
                <w:i w:val="0"/>
                <w:color w:val="050C2A"/>
                <w:sz w:val="20"/>
                <w:u w:val="none"/>
              </w:rPr>
              <w:t>Prepare talking points for Direction Check</w:t>
            </w:r>
          </w:p>
        </w:tc>
        <w:tc>
          <w:tcPr>
            <w:tcW w:type="dxa" w:w="539"/>
            <w:vAlign w:val="center"/>
          </w:tcPr>
          <w:p>
            <w:pPr>
              <w:spacing w:before="30" w:after="30"/>
            </w:pPr>
            <w:r>
              <w:rPr>
                <w:rFonts w:ascii="DM Sans" w:hAnsi="DM Sans" w:cs="DM Sans"/>
                <w:b w:val="0"/>
                <w:i w:val="0"/>
                <w:color w:val="050C2A"/>
                <w:sz w:val="20"/>
                <w:u w:val="none"/>
              </w:rPr>
              <w:t>Project</w:t>
            </w:r>
          </w:p>
        </w:tc>
        <w:tc>
          <w:tcPr>
            <w:tcW w:type="dxa" w:w="934"/>
            <w:vAlign w:val="center"/>
          </w:tcPr>
          <w:p>
            <w:pPr>
              <w:spacing w:before="30" w:after="30"/>
            </w:pPr>
            <w:r>
              <w:rPr>
                <w:rFonts w:ascii="DM Sans" w:hAnsi="DM Sans" w:cs="DM Sans"/>
                <w:b w:val="0"/>
                <w:i w:val="0"/>
                <w:color w:val="050C2A"/>
                <w:sz w:val="20"/>
                <w:u w:val="none"/>
              </w:rPr>
              <w:t>75</w:t>
            </w:r>
          </w:p>
        </w:tc>
        <w:tc>
          <w:tcPr>
            <w:tcW w:type="dxa" w:w="4444"/>
            <w:vAlign w:val="center"/>
          </w:tcPr>
          <w:p>
            <w:pPr>
              <w:spacing w:before="30" w:after="30"/>
            </w:pPr>
            <w:r>
              <w:rPr>
                <w:rFonts w:ascii="DM Sans" w:hAnsi="DM Sans" w:cs="DM Sans"/>
                <w:b w:val="0"/>
                <w:i w:val="0"/>
                <w:color w:val="050C2A"/>
                <w:sz w:val="20"/>
                <w:u w:val="none"/>
              </w:rPr>
              <w:t>Individual + team drafting of what to present, how to frame proposed approach, and what questions to ask; includes team review before meeting</w:t>
            </w:r>
          </w:p>
        </w:tc>
      </w:tr>
      <w:tr>
        <w:tc>
          <w:tcPr>
            <w:tcW w:type="dxa" w:w="407"/>
            <w:shd w:fill="F5F5F5" w:val="clear"/>
            <w:vAlign w:val="center"/>
          </w:tcPr>
          <w:p>
            <w:pPr>
              <w:spacing w:before="30" w:after="30"/>
            </w:pPr>
            <w:r>
              <w:rPr>
                <w:rFonts w:ascii="DM Sans" w:hAnsi="DM Sans" w:cs="DM Sans"/>
                <w:b w:val="0"/>
                <w:i w:val="0"/>
                <w:color w:val="050C2A"/>
                <w:sz w:val="20"/>
                <w:u w:val="none"/>
              </w:rPr>
              <w:t>5.08</w:t>
            </w:r>
          </w:p>
        </w:tc>
        <w:tc>
          <w:tcPr>
            <w:tcW w:type="dxa" w:w="1019"/>
            <w:shd w:fill="F5F5F5" w:val="clear"/>
            <w:vAlign w:val="center"/>
          </w:tcPr>
          <w:p>
            <w:pPr>
              <w:spacing w:before="30" w:after="30"/>
            </w:pPr>
            <w:r>
              <w:rPr>
                <w:rFonts w:ascii="DM Sans" w:hAnsi="DM Sans" w:cs="DM Sans"/>
                <w:b w:val="0"/>
                <w:i w:val="0"/>
                <w:color w:val="050C2A"/>
                <w:sz w:val="20"/>
                <w:u w:val="none"/>
              </w:rPr>
              <w:t>Employer Engagement</w:t>
            </w:r>
          </w:p>
        </w:tc>
        <w:tc>
          <w:tcPr>
            <w:tcW w:type="dxa" w:w="2017"/>
            <w:shd w:fill="F5F5F5" w:val="clear"/>
            <w:vAlign w:val="center"/>
          </w:tcPr>
          <w:p>
            <w:pPr>
              <w:spacing w:before="30" w:after="30"/>
            </w:pPr>
            <w:r>
              <w:rPr>
                <w:rFonts w:ascii="DM Sans" w:hAnsi="DM Sans" w:cs="DM Sans"/>
                <w:b w:val="0"/>
                <w:i w:val="0"/>
                <w:color w:val="050C2A"/>
                <w:sz w:val="20"/>
                <w:u w:val="none"/>
              </w:rPr>
              <w:t>Email coordination with employer — confirm logistics</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10</w:t>
            </w:r>
          </w:p>
        </w:tc>
        <w:tc>
          <w:tcPr>
            <w:tcW w:type="dxa" w:w="4444"/>
            <w:shd w:fill="F5F5F5" w:val="clear"/>
            <w:vAlign w:val="center"/>
          </w:tcPr>
          <w:p>
            <w:pPr>
              <w:spacing w:before="30" w:after="30"/>
            </w:pPr>
            <w:r>
              <w:rPr>
                <w:rFonts w:ascii="DM Sans" w:hAnsi="DM Sans" w:cs="DM Sans"/>
                <w:b w:val="0"/>
                <w:i w:val="0"/>
                <w:color w:val="050C2A"/>
                <w:sz w:val="20"/>
                <w:u w:val="none"/>
              </w:rPr>
              <w:t>Confirming meeting link, time, attendees; professional communication practice</w:t>
            </w:r>
          </w:p>
        </w:tc>
      </w:tr>
      <w:tr>
        <w:tc>
          <w:tcPr>
            <w:tcW w:type="dxa" w:w="407"/>
            <w:vAlign w:val="center"/>
          </w:tcPr>
          <w:p>
            <w:pPr>
              <w:spacing w:before="30" w:after="30"/>
            </w:pPr>
            <w:r>
              <w:rPr>
                <w:rFonts w:ascii="DM Sans" w:hAnsi="DM Sans" w:cs="DM Sans"/>
                <w:b w:val="0"/>
                <w:i w:val="0"/>
                <w:color w:val="050C2A"/>
                <w:sz w:val="20"/>
                <w:u w:val="none"/>
              </w:rPr>
              <w:t>5.09</w:t>
            </w:r>
          </w:p>
        </w:tc>
        <w:tc>
          <w:tcPr>
            <w:tcW w:type="dxa" w:w="1019"/>
            <w:vAlign w:val="center"/>
          </w:tcPr>
          <w:p>
            <w:pPr>
              <w:spacing w:before="30" w:after="30"/>
            </w:pPr>
            <w:r>
              <w:rPr>
                <w:rFonts w:ascii="DM Sans" w:hAnsi="DM Sans" w:cs="DM Sans"/>
                <w:b w:val="0"/>
                <w:i w:val="0"/>
                <w:color w:val="050C2A"/>
                <w:sz w:val="20"/>
                <w:u w:val="none"/>
              </w:rPr>
              <w:t>Employer Engagement</w:t>
            </w:r>
          </w:p>
        </w:tc>
        <w:tc>
          <w:tcPr>
            <w:tcW w:type="dxa" w:w="2017"/>
            <w:vAlign w:val="center"/>
          </w:tcPr>
          <w:p>
            <w:pPr>
              <w:spacing w:before="30" w:after="30"/>
            </w:pPr>
            <w:r>
              <w:rPr>
                <w:rFonts w:ascii="DM Sans" w:hAnsi="DM Sans" w:cs="DM Sans"/>
                <w:b w:val="0"/>
                <w:i w:val="0"/>
                <w:color w:val="050C2A"/>
                <w:sz w:val="20"/>
                <w:u w:val="none"/>
              </w:rPr>
              <w:t>Direction Check — present Context Analysis and Project Plan, receive employer feedback on approach</w:t>
            </w:r>
          </w:p>
        </w:tc>
        <w:tc>
          <w:tcPr>
            <w:tcW w:type="dxa" w:w="539"/>
            <w:vAlign w:val="center"/>
          </w:tcPr>
          <w:p>
            <w:pPr>
              <w:spacing w:before="30" w:after="30"/>
            </w:pPr>
            <w:r>
              <w:rPr>
                <w:rFonts w:ascii="DM Sans" w:hAnsi="DM Sans" w:cs="DM Sans"/>
                <w:b w:val="0"/>
                <w:i w:val="0"/>
                <w:color w:val="050C2A"/>
                <w:sz w:val="20"/>
                <w:u w:val="none"/>
              </w:rPr>
              <w:t>Project</w:t>
            </w:r>
          </w:p>
        </w:tc>
        <w:tc>
          <w:tcPr>
            <w:tcW w:type="dxa" w:w="934"/>
            <w:vAlign w:val="center"/>
          </w:tcPr>
          <w:p>
            <w:pPr>
              <w:spacing w:before="30" w:after="30"/>
            </w:pPr>
            <w:r>
              <w:rPr>
                <w:rFonts w:ascii="DM Sans" w:hAnsi="DM Sans" w:cs="DM Sans"/>
                <w:b w:val="0"/>
                <w:i w:val="0"/>
                <w:color w:val="050C2A"/>
                <w:sz w:val="20"/>
                <w:u w:val="none"/>
              </w:rPr>
              <w:t>60</w:t>
            </w:r>
          </w:p>
        </w:tc>
        <w:tc>
          <w:tcPr>
            <w:tcW w:type="dxa" w:w="4444"/>
            <w:vAlign w:val="center"/>
          </w:tcPr>
          <w:p>
            <w:pPr>
              <w:spacing w:before="30" w:after="30"/>
            </w:pPr>
            <w:r>
              <w:rPr>
                <w:rFonts w:ascii="DM Sans" w:hAnsi="DM Sans" w:cs="DM Sans"/>
                <w:b w:val="0"/>
                <w:i w:val="0"/>
                <w:color w:val="050C2A"/>
                <w:sz w:val="20"/>
                <w:u w:val="none"/>
              </w:rPr>
              <w:t>60-min hold (may end early). First of only two formal student presentations in the course (the other is the Final Presentation in Week 15). Students present key findings from context research (15 min), proposed approach and rationale (10 min); employer feedback on direction (15 min); discussion and refinement (10 min); confirm priorities and next steps (5 min). Critical decision point where employer validates or redirects the project before students commit to production.</w:t>
            </w:r>
          </w:p>
        </w:tc>
      </w:tr>
      <w:tr>
        <w:tc>
          <w:tcPr>
            <w:tcW w:type="dxa" w:w="407"/>
            <w:shd w:fill="F5F5F5" w:val="clear"/>
            <w:vAlign w:val="center"/>
          </w:tcPr>
          <w:p>
            <w:pPr>
              <w:spacing w:before="30" w:after="30"/>
            </w:pPr>
            <w:r>
              <w:rPr>
                <w:rFonts w:ascii="DM Sans" w:hAnsi="DM Sans" w:cs="DM Sans"/>
                <w:b w:val="0"/>
                <w:i w:val="0"/>
                <w:color w:val="050C2A"/>
                <w:sz w:val="20"/>
                <w:u w:val="none"/>
              </w:rPr>
              <w:t>5.10</w:t>
            </w:r>
          </w:p>
        </w:tc>
        <w:tc>
          <w:tcPr>
            <w:tcW w:type="dxa" w:w="1019"/>
            <w:shd w:fill="F5F5F5" w:val="clear"/>
            <w:vAlign w:val="center"/>
          </w:tcPr>
          <w:p>
            <w:pPr>
              <w:spacing w:before="30" w:after="30"/>
            </w:pPr>
            <w:r>
              <w:rPr>
                <w:rFonts w:ascii="DM Sans" w:hAnsi="DM Sans" w:cs="DM Sans"/>
                <w:b w:val="0"/>
                <w:i w:val="0"/>
                <w:color w:val="050C2A"/>
                <w:sz w:val="20"/>
                <w:u w:val="none"/>
              </w:rPr>
              <w:t>Project Work</w:t>
            </w:r>
          </w:p>
        </w:tc>
        <w:tc>
          <w:tcPr>
            <w:tcW w:type="dxa" w:w="2017"/>
            <w:shd w:fill="F5F5F5" w:val="clear"/>
            <w:vAlign w:val="center"/>
          </w:tcPr>
          <w:p>
            <w:pPr>
              <w:spacing w:before="30" w:after="30"/>
            </w:pPr>
            <w:r>
              <w:rPr>
                <w:rFonts w:ascii="DM Sans" w:hAnsi="DM Sans" w:cs="DM Sans"/>
                <w:b w:val="0"/>
                <w:i w:val="0"/>
                <w:color w:val="050C2A"/>
                <w:sz w:val="20"/>
                <w:u w:val="none"/>
              </w:rPr>
              <w:t>Post-meeting debrief — what did we hear, what changes?</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45</w:t>
            </w:r>
          </w:p>
        </w:tc>
        <w:tc>
          <w:tcPr>
            <w:tcW w:type="dxa" w:w="4444"/>
            <w:shd w:fill="F5F5F5" w:val="clear"/>
            <w:vAlign w:val="center"/>
          </w:tcPr>
          <w:p>
            <w:pPr>
              <w:spacing w:before="30" w:after="30"/>
            </w:pPr>
            <w:r>
              <w:rPr>
                <w:rFonts w:ascii="DM Sans" w:hAnsi="DM Sans" w:cs="DM Sans"/>
                <w:b w:val="0"/>
                <w:i w:val="0"/>
                <w:color w:val="050C2A"/>
                <w:sz w:val="20"/>
                <w:u w:val="none"/>
              </w:rPr>
              <w:t>Immediate team debrief while conversation is fresh; captures verbal feedback before it degrades; precedes written summary</w:t>
            </w:r>
          </w:p>
        </w:tc>
      </w:tr>
      <w:tr>
        <w:tc>
          <w:tcPr>
            <w:tcW w:type="dxa" w:w="407"/>
            <w:vAlign w:val="center"/>
          </w:tcPr>
          <w:p>
            <w:pPr>
              <w:spacing w:before="30" w:after="30"/>
            </w:pPr>
            <w:r>
              <w:rPr>
                <w:rFonts w:ascii="DM Sans" w:hAnsi="DM Sans" w:cs="DM Sans"/>
                <w:b w:val="0"/>
                <w:i w:val="0"/>
                <w:color w:val="050C2A"/>
                <w:sz w:val="20"/>
                <w:u w:val="none"/>
              </w:rPr>
              <w:t>5.11</w:t>
            </w:r>
          </w:p>
        </w:tc>
        <w:tc>
          <w:tcPr>
            <w:tcW w:type="dxa" w:w="1019"/>
            <w:vAlign w:val="center"/>
          </w:tcPr>
          <w:p>
            <w:pPr>
              <w:spacing w:before="30" w:after="30"/>
            </w:pPr>
            <w:r>
              <w:rPr>
                <w:rFonts w:ascii="DM Sans" w:hAnsi="DM Sans" w:cs="DM Sans"/>
                <w:b w:val="0"/>
                <w:i w:val="0"/>
                <w:color w:val="050C2A"/>
                <w:sz w:val="20"/>
                <w:u w:val="none"/>
              </w:rPr>
              <w:t>Project Work</w:t>
            </w:r>
          </w:p>
        </w:tc>
        <w:tc>
          <w:tcPr>
            <w:tcW w:type="dxa" w:w="2017"/>
            <w:vAlign w:val="center"/>
          </w:tcPr>
          <w:p>
            <w:pPr>
              <w:spacing w:before="30" w:after="30"/>
            </w:pPr>
            <w:r>
              <w:rPr>
                <w:rFonts w:ascii="DM Sans" w:hAnsi="DM Sans" w:cs="DM Sans"/>
                <w:b w:val="0"/>
                <w:i w:val="0"/>
                <w:color w:val="050C2A"/>
                <w:sz w:val="20"/>
                <w:u w:val="none"/>
              </w:rPr>
              <w:t>Draft Direction Check Summary</w:t>
            </w:r>
          </w:p>
        </w:tc>
        <w:tc>
          <w:tcPr>
            <w:tcW w:type="dxa" w:w="539"/>
            <w:vAlign w:val="center"/>
          </w:tcPr>
          <w:p>
            <w:pPr>
              <w:spacing w:before="30" w:after="30"/>
            </w:pPr>
            <w:r>
              <w:rPr>
                <w:rFonts w:ascii="DM Sans" w:hAnsi="DM Sans" w:cs="DM Sans"/>
                <w:b w:val="0"/>
                <w:i w:val="0"/>
                <w:color w:val="050C2A"/>
                <w:sz w:val="20"/>
                <w:u w:val="none"/>
              </w:rPr>
              <w:t>Project</w:t>
            </w:r>
          </w:p>
        </w:tc>
        <w:tc>
          <w:tcPr>
            <w:tcW w:type="dxa" w:w="934"/>
            <w:vAlign w:val="center"/>
          </w:tcPr>
          <w:p>
            <w:pPr>
              <w:spacing w:before="30" w:after="30"/>
            </w:pPr>
            <w:r>
              <w:rPr>
                <w:rFonts w:ascii="DM Sans" w:hAnsi="DM Sans" w:cs="DM Sans"/>
                <w:b w:val="0"/>
                <w:i w:val="0"/>
                <w:color w:val="050C2A"/>
                <w:sz w:val="20"/>
                <w:u w:val="none"/>
              </w:rPr>
              <w:t>30</w:t>
            </w:r>
          </w:p>
        </w:tc>
        <w:tc>
          <w:tcPr>
            <w:tcW w:type="dxa" w:w="4444"/>
            <w:vAlign w:val="center"/>
          </w:tcPr>
          <w:p>
            <w:pPr>
              <w:spacing w:before="30" w:after="30"/>
            </w:pPr>
            <w:r>
              <w:rPr>
                <w:rFonts w:ascii="DM Sans" w:hAnsi="DM Sans" w:cs="DM Sans"/>
                <w:b w:val="0"/>
                <w:i w:val="0"/>
                <w:color w:val="050C2A"/>
                <w:sz w:val="20"/>
                <w:u w:val="none"/>
              </w:rPr>
              <w:t>Translates verbal employer feedback into the written checkpoint document (1 page); first draft only</w:t>
            </w:r>
          </w:p>
        </w:tc>
      </w:tr>
      <w:tr>
        <w:tc>
          <w:tcPr>
            <w:tcW w:type="dxa" w:w="407"/>
            <w:shd w:fill="F5F5F5" w:val="clear"/>
            <w:vAlign w:val="center"/>
          </w:tcPr>
          <w:p>
            <w:pPr>
              <w:spacing w:before="30" w:after="30"/>
            </w:pPr>
            <w:r>
              <w:rPr>
                <w:rFonts w:ascii="DM Sans" w:hAnsi="DM Sans" w:cs="DM Sans"/>
                <w:b w:val="0"/>
                <w:i w:val="0"/>
                <w:color w:val="050C2A"/>
                <w:sz w:val="20"/>
                <w:u w:val="none"/>
              </w:rPr>
              <w:t>5.12</w:t>
            </w:r>
          </w:p>
        </w:tc>
        <w:tc>
          <w:tcPr>
            <w:tcW w:type="dxa" w:w="1019"/>
            <w:shd w:fill="F5F5F5" w:val="clear"/>
            <w:vAlign w:val="center"/>
          </w:tcPr>
          <w:p>
            <w:pPr>
              <w:spacing w:before="30" w:after="30"/>
            </w:pPr>
            <w:r>
              <w:rPr>
                <w:rFonts w:ascii="DM Sans" w:hAnsi="DM Sans" w:cs="DM Sans"/>
                <w:b w:val="0"/>
                <w:i w:val="0"/>
                <w:color w:val="050C2A"/>
                <w:sz w:val="20"/>
                <w:u w:val="none"/>
              </w:rPr>
              <w:t>Project Work</w:t>
            </w:r>
          </w:p>
        </w:tc>
        <w:tc>
          <w:tcPr>
            <w:tcW w:type="dxa" w:w="2017"/>
            <w:shd w:fill="F5F5F5" w:val="clear"/>
            <w:vAlign w:val="center"/>
          </w:tcPr>
          <w:p>
            <w:pPr>
              <w:spacing w:before="30" w:after="30"/>
            </w:pPr>
            <w:r>
              <w:rPr>
                <w:rFonts w:ascii="DM Sans" w:hAnsi="DM Sans" w:cs="DM Sans"/>
                <w:b w:val="0"/>
                <w:i w:val="0"/>
                <w:color w:val="050C2A"/>
                <w:sz w:val="20"/>
                <w:u w:val="none"/>
              </w:rPr>
              <w:t>Async review of Direction Check Summary + finalize and submit</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30</w:t>
            </w:r>
          </w:p>
        </w:tc>
        <w:tc>
          <w:tcPr>
            <w:tcW w:type="dxa" w:w="4444"/>
            <w:shd w:fill="F5F5F5" w:val="clear"/>
            <w:vAlign w:val="center"/>
          </w:tcPr>
          <w:p>
            <w:pPr>
              <w:spacing w:before="30" w:after="30"/>
            </w:pPr>
            <w:r>
              <w:rPr>
                <w:rFonts w:ascii="DM Sans" w:hAnsi="DM Sans" w:cs="DM Sans"/>
                <w:b w:val="0"/>
                <w:i w:val="0"/>
                <w:color w:val="050C2A"/>
                <w:sz w:val="20"/>
                <w:u w:val="none"/>
              </w:rPr>
              <w:t>Team reviews draft asynchronously, consolidates edits, and submits; completion-based checkpoint</w:t>
            </w:r>
          </w:p>
        </w:tc>
      </w:tr>
      <w:tr>
        <w:tc>
          <w:tcPr>
            <w:tcW w:type="dxa" w:w="407"/>
            <w:vAlign w:val="center"/>
          </w:tcPr>
          <w:p>
            <w:pPr>
              <w:spacing w:before="30" w:after="30"/>
            </w:pPr>
            <w:r>
              <w:rPr>
                <w:rFonts w:ascii="DM Sans" w:hAnsi="DM Sans" w:cs="DM Sans"/>
                <w:b w:val="0"/>
                <w:i w:val="0"/>
                <w:color w:val="050C2A"/>
                <w:sz w:val="20"/>
                <w:u w:val="none"/>
              </w:rPr>
              <w:t>5.13</w:t>
            </w:r>
          </w:p>
        </w:tc>
        <w:tc>
          <w:tcPr>
            <w:tcW w:type="dxa" w:w="1019"/>
            <w:vAlign w:val="center"/>
          </w:tcPr>
          <w:p>
            <w:pPr>
              <w:spacing w:before="30" w:after="30"/>
            </w:pPr>
            <w:r>
              <w:rPr>
                <w:rFonts w:ascii="DM Sans" w:hAnsi="DM Sans" w:cs="DM Sans"/>
                <w:b w:val="0"/>
                <w:i w:val="0"/>
                <w:color w:val="050C2A"/>
                <w:sz w:val="20"/>
                <w:u w:val="none"/>
              </w:rPr>
              <w:t>Project Work</w:t>
            </w:r>
          </w:p>
        </w:tc>
        <w:tc>
          <w:tcPr>
            <w:tcW w:type="dxa" w:w="2017"/>
            <w:vAlign w:val="center"/>
          </w:tcPr>
          <w:p>
            <w:pPr>
              <w:spacing w:before="30" w:after="30"/>
            </w:pPr>
            <w:r>
              <w:rPr>
                <w:rFonts w:ascii="DM Sans" w:hAnsi="DM Sans" w:cs="DM Sans"/>
                <w:b w:val="0"/>
                <w:i w:val="0"/>
                <w:color w:val="050C2A"/>
                <w:sz w:val="20"/>
                <w:u w:val="none"/>
              </w:rPr>
              <w:t>Revise project plan based on Direction Check feedback</w:t>
            </w:r>
          </w:p>
        </w:tc>
        <w:tc>
          <w:tcPr>
            <w:tcW w:type="dxa" w:w="539"/>
            <w:vAlign w:val="center"/>
          </w:tcPr>
          <w:p>
            <w:pPr>
              <w:spacing w:before="30" w:after="30"/>
            </w:pPr>
            <w:r>
              <w:rPr>
                <w:rFonts w:ascii="DM Sans" w:hAnsi="DM Sans" w:cs="DM Sans"/>
                <w:b w:val="0"/>
                <w:i w:val="0"/>
                <w:color w:val="050C2A"/>
                <w:sz w:val="20"/>
                <w:u w:val="none"/>
              </w:rPr>
              <w:t>Project</w:t>
            </w:r>
          </w:p>
        </w:tc>
        <w:tc>
          <w:tcPr>
            <w:tcW w:type="dxa" w:w="934"/>
            <w:vAlign w:val="center"/>
          </w:tcPr>
          <w:p>
            <w:pPr>
              <w:spacing w:before="30" w:after="30"/>
            </w:pPr>
            <w:r>
              <w:rPr>
                <w:rFonts w:ascii="DM Sans" w:hAnsi="DM Sans" w:cs="DM Sans"/>
                <w:b w:val="0"/>
                <w:i w:val="0"/>
                <w:color w:val="050C2A"/>
                <w:sz w:val="20"/>
                <w:u w:val="none"/>
              </w:rPr>
              <w:t>60</w:t>
            </w:r>
          </w:p>
        </w:tc>
        <w:tc>
          <w:tcPr>
            <w:tcW w:type="dxa" w:w="4444"/>
            <w:vAlign w:val="center"/>
          </w:tcPr>
          <w:p>
            <w:pPr>
              <w:spacing w:before="30" w:after="30"/>
            </w:pPr>
            <w:r>
              <w:rPr>
                <w:rFonts w:ascii="DM Sans" w:hAnsi="DM Sans" w:cs="DM Sans"/>
                <w:b w:val="0"/>
                <w:i w:val="0"/>
                <w:color w:val="050C2A"/>
                <w:sz w:val="20"/>
                <w:u w:val="none"/>
              </w:rPr>
              <w:t>Updates approach, milestones, or scope based on employer feedback; connects feedback to concrete planning decisions</w:t>
            </w:r>
          </w:p>
        </w:tc>
      </w:tr>
      <w:tr>
        <w:tc>
          <w:tcPr>
            <w:tcW w:type="dxa" w:w="407"/>
            <w:shd w:fill="F5F5F5" w:val="clear"/>
            <w:vAlign w:val="center"/>
          </w:tcPr>
          <w:p>
            <w:pPr>
              <w:spacing w:before="30" w:after="30"/>
            </w:pPr>
            <w:r>
              <w:rPr>
                <w:rFonts w:ascii="DM Sans" w:hAnsi="DM Sans" w:cs="DM Sans"/>
                <w:b w:val="0"/>
                <w:i w:val="0"/>
                <w:color w:val="050C2A"/>
                <w:sz w:val="20"/>
                <w:u w:val="none"/>
              </w:rPr>
              <w:t>5.14</w:t>
            </w:r>
          </w:p>
        </w:tc>
        <w:tc>
          <w:tcPr>
            <w:tcW w:type="dxa" w:w="1019"/>
            <w:shd w:fill="F5F5F5" w:val="clear"/>
            <w:vAlign w:val="center"/>
          </w:tcPr>
          <w:p>
            <w:pPr>
              <w:spacing w:before="30" w:after="30"/>
            </w:pPr>
            <w:r>
              <w:rPr>
                <w:rFonts w:ascii="DM Sans" w:hAnsi="DM Sans" w:cs="DM Sans"/>
                <w:b w:val="0"/>
                <w:i w:val="0"/>
                <w:color w:val="050C2A"/>
                <w:sz w:val="20"/>
                <w:u w:val="none"/>
              </w:rPr>
              <w:t>Project Work</w:t>
            </w:r>
          </w:p>
        </w:tc>
        <w:tc>
          <w:tcPr>
            <w:tcW w:type="dxa" w:w="2017"/>
            <w:shd w:fill="F5F5F5" w:val="clear"/>
            <w:vAlign w:val="center"/>
          </w:tcPr>
          <w:p>
            <w:pPr>
              <w:spacing w:before="30" w:after="30"/>
            </w:pPr>
            <w:r>
              <w:rPr>
                <w:rFonts w:ascii="DM Sans" w:hAnsi="DM Sans" w:cs="DM Sans"/>
                <w:b w:val="0"/>
                <w:i w:val="0"/>
                <w:color w:val="050C2A"/>
                <w:sz w:val="20"/>
                <w:u w:val="none"/>
              </w:rPr>
              <w:t>Develop deliverable structures — report outline + deck skeleton, divide sections</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60</w:t>
            </w:r>
          </w:p>
        </w:tc>
        <w:tc>
          <w:tcPr>
            <w:tcW w:type="dxa" w:w="4444"/>
            <w:shd w:fill="F5F5F5" w:val="clear"/>
            <w:vAlign w:val="center"/>
          </w:tcPr>
          <w:p>
            <w:pPr>
              <w:spacing w:before="30" w:after="30"/>
            </w:pPr>
            <w:r>
              <w:rPr>
                <w:rFonts w:ascii="DM Sans" w:hAnsi="DM Sans" w:cs="DM Sans"/>
                <w:b w:val="0"/>
                <w:i w:val="0"/>
                <w:color w:val="050C2A"/>
                <w:sz w:val="20"/>
                <w:u w:val="none"/>
              </w:rPr>
              <w:t>Translates revised approach into structural scaffolding for both final deliverables; divides drafting sections; sets up Week 6+ production</w:t>
            </w:r>
          </w:p>
        </w:tc>
      </w:tr>
      <w:tr>
        <w:tc>
          <w:tcPr>
            <w:tcW w:type="dxa" w:w="407"/>
            <w:vAlign w:val="center"/>
          </w:tcPr>
          <w:p>
            <w:pPr>
              <w:spacing w:before="30" w:after="30"/>
            </w:pPr>
            <w:r>
              <w:rPr>
                <w:rFonts w:ascii="DM Sans" w:hAnsi="DM Sans" w:cs="DM Sans"/>
                <w:b w:val="0"/>
                <w:i w:val="0"/>
                <w:color w:val="050C2A"/>
                <w:sz w:val="20"/>
                <w:u w:val="none"/>
              </w:rPr>
              <w:t>5.15</w:t>
            </w:r>
          </w:p>
        </w:tc>
        <w:tc>
          <w:tcPr>
            <w:tcW w:type="dxa" w:w="1019"/>
            <w:vAlign w:val="center"/>
          </w:tcPr>
          <w:p>
            <w:pPr>
              <w:spacing w:before="30" w:after="30"/>
            </w:pPr>
            <w:r>
              <w:rPr>
                <w:rFonts w:ascii="DM Sans" w:hAnsi="DM Sans" w:cs="DM Sans"/>
                <w:b w:val="0"/>
                <w:i w:val="0"/>
                <w:color w:val="050C2A"/>
                <w:sz w:val="20"/>
                <w:u w:val="none"/>
              </w:rPr>
              <w:t>Project Work</w:t>
            </w:r>
          </w:p>
        </w:tc>
        <w:tc>
          <w:tcPr>
            <w:tcW w:type="dxa" w:w="2017"/>
            <w:vAlign w:val="center"/>
          </w:tcPr>
          <w:p>
            <w:pPr>
              <w:spacing w:before="30" w:after="30"/>
            </w:pPr>
            <w:r>
              <w:rPr>
                <w:rFonts w:ascii="DM Sans" w:hAnsi="DM Sans" w:cs="DM Sans"/>
                <w:b w:val="0"/>
                <w:i w:val="0"/>
                <w:color w:val="050C2A"/>
                <w:sz w:val="20"/>
                <w:u w:val="none"/>
              </w:rPr>
              <w:t>Independent learning — research skills, formats, or domain knowledge needed for project production</w:t>
            </w:r>
          </w:p>
        </w:tc>
        <w:tc>
          <w:tcPr>
            <w:tcW w:type="dxa" w:w="539"/>
            <w:vAlign w:val="center"/>
          </w:tcPr>
          <w:p>
            <w:pPr>
              <w:spacing w:before="30" w:after="30"/>
            </w:pPr>
            <w:r>
              <w:rPr>
                <w:rFonts w:ascii="DM Sans" w:hAnsi="DM Sans" w:cs="DM Sans"/>
                <w:b w:val="0"/>
                <w:i w:val="0"/>
                <w:color w:val="050C2A"/>
                <w:sz w:val="20"/>
                <w:u w:val="none"/>
              </w:rPr>
              <w:t>Project</w:t>
            </w:r>
          </w:p>
        </w:tc>
        <w:tc>
          <w:tcPr>
            <w:tcW w:type="dxa" w:w="934"/>
            <w:vAlign w:val="center"/>
          </w:tcPr>
          <w:p>
            <w:pPr>
              <w:spacing w:before="30" w:after="30"/>
            </w:pPr>
            <w:r>
              <w:rPr>
                <w:rFonts w:ascii="DM Sans" w:hAnsi="DM Sans" w:cs="DM Sans"/>
                <w:b w:val="0"/>
                <w:i w:val="0"/>
                <w:color w:val="050C2A"/>
                <w:sz w:val="20"/>
                <w:u w:val="none"/>
              </w:rPr>
              <w:t>60</w:t>
            </w:r>
          </w:p>
        </w:tc>
        <w:tc>
          <w:tcPr>
            <w:tcW w:type="dxa" w:w="4444"/>
            <w:vAlign w:val="center"/>
          </w:tcPr>
          <w:p>
            <w:pPr>
              <w:spacing w:before="30" w:after="30"/>
            </w:pPr>
            <w:r>
              <w:rPr>
                <w:rFonts w:ascii="DM Sans" w:hAnsi="DM Sans" w:cs="DM Sans"/>
                <w:b w:val="0"/>
                <w:i w:val="0"/>
                <w:color w:val="050C2A"/>
                <w:sz w:val="20"/>
                <w:u w:val="none"/>
              </w:rPr>
              <w:t>Self-directed learning based on each student's own gaps and needs; may include understanding unfamiliar deliverable formats, building domain knowledge, or developing skills needed for the production work ahead; varies by project type and student background</w:t>
            </w:r>
          </w:p>
        </w:tc>
      </w:tr>
      <w:tr>
        <w:tc>
          <w:tcPr>
            <w:tcW w:type="dxa" w:w="407"/>
            <w:shd w:fill="F5F5F5" w:val="clear"/>
            <w:vAlign w:val="center"/>
          </w:tcPr>
          <w:p>
            <w:pPr>
              <w:spacing w:before="30" w:after="30"/>
            </w:pPr>
            <w:r>
              <w:rPr>
                <w:rFonts w:ascii="DM Sans" w:hAnsi="DM Sans" w:cs="DM Sans"/>
                <w:b w:val="0"/>
                <w:i w:val="0"/>
                <w:color w:val="050C2A"/>
                <w:sz w:val="20"/>
                <w:u w:val="none"/>
              </w:rPr>
              <w:t>5.16</w:t>
            </w:r>
          </w:p>
        </w:tc>
        <w:tc>
          <w:tcPr>
            <w:tcW w:type="dxa" w:w="1019"/>
            <w:shd w:fill="F5F5F5" w:val="clear"/>
            <w:vAlign w:val="center"/>
          </w:tcPr>
          <w:p>
            <w:pPr>
              <w:spacing w:before="30" w:after="30"/>
            </w:pPr>
            <w:r>
              <w:rPr>
                <w:rFonts w:ascii="DM Sans" w:hAnsi="DM Sans" w:cs="DM Sans"/>
                <w:b w:val="0"/>
                <w:i w:val="0"/>
                <w:color w:val="050C2A"/>
                <w:sz w:val="20"/>
                <w:u w:val="none"/>
              </w:rPr>
              <w:t>Project Work</w:t>
            </w:r>
          </w:p>
        </w:tc>
        <w:tc>
          <w:tcPr>
            <w:tcW w:type="dxa" w:w="2017"/>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539"/>
            <w:shd w:fill="F5F5F5" w:val="clear"/>
            <w:vAlign w:val="center"/>
          </w:tcPr>
          <w:p>
            <w:pPr>
              <w:spacing w:before="30" w:after="30"/>
            </w:pPr>
            <w:r>
              <w:rPr>
                <w:rFonts w:ascii="DM Sans" w:hAnsi="DM Sans" w:cs="DM Sans"/>
                <w:b w:val="0"/>
                <w:i w:val="0"/>
                <w:color w:val="050C2A"/>
                <w:sz w:val="20"/>
                <w:u w:val="none"/>
              </w:rPr>
              <w:t>Project</w:t>
            </w:r>
          </w:p>
        </w:tc>
        <w:tc>
          <w:tcPr>
            <w:tcW w:type="dxa" w:w="934"/>
            <w:shd w:fill="F5F5F5" w:val="clear"/>
            <w:vAlign w:val="center"/>
          </w:tcPr>
          <w:p>
            <w:pPr>
              <w:spacing w:before="30" w:after="30"/>
            </w:pPr>
            <w:r>
              <w:rPr>
                <w:rFonts w:ascii="DM Sans" w:hAnsi="DM Sans" w:cs="DM Sans"/>
                <w:b w:val="0"/>
                <w:i w:val="0"/>
                <w:color w:val="050C2A"/>
                <w:sz w:val="20"/>
                <w:u w:val="none"/>
              </w:rPr>
              <w:t>45</w:t>
            </w:r>
          </w:p>
        </w:tc>
        <w:tc>
          <w:tcPr>
            <w:tcW w:type="dxa" w:w="4444"/>
            <w:shd w:fill="F5F5F5" w:val="clear"/>
            <w:vAlign w:val="center"/>
          </w:tcPr>
          <w:p>
            <w:pPr>
              <w:spacing w:before="30" w:after="30"/>
            </w:pPr>
            <w:r>
              <w:rPr>
                <w:rFonts w:ascii="DM Sans" w:hAnsi="DM Sans" w:cs="DM Sans"/>
                <w:b w:val="0"/>
                <w:i w:val="0"/>
                <w:color w:val="050C2A"/>
                <w:sz w:val="20"/>
                <w:u w:val="none"/>
              </w:rPr>
              <w:t>Coordination, logistics, and check-ins outside structured activities</w:t>
            </w:r>
          </w:p>
        </w:tc>
      </w:tr>
      <w:tr>
        <w:tc>
          <w:tcPr>
            <w:tcW w:type="dxa" w:w="407"/>
            <w:vAlign w:val="center"/>
          </w:tcPr>
          <w:p>
            <w:pPr>
              <w:spacing w:before="30" w:after="30"/>
            </w:pPr>
          </w:p>
        </w:tc>
        <w:tc>
          <w:tcPr>
            <w:tcW w:type="dxa" w:w="1019"/>
            <w:vAlign w:val="center"/>
          </w:tcPr>
          <w:p>
            <w:pPr>
              <w:spacing w:before="30" w:after="30"/>
            </w:pPr>
          </w:p>
        </w:tc>
        <w:tc>
          <w:tcPr>
            <w:tcW w:type="dxa" w:w="2017"/>
            <w:vAlign w:val="center"/>
          </w:tcPr>
          <w:p>
            <w:pPr>
              <w:spacing w:before="30" w:after="30"/>
            </w:pPr>
            <w:r>
              <w:rPr>
                <w:rFonts w:ascii="DM Sans" w:hAnsi="DM Sans" w:cs="DM Sans"/>
                <w:b/>
                <w:i w:val="0"/>
                <w:color w:val="050C2A"/>
                <w:sz w:val="20"/>
                <w:u w:val="none"/>
              </w:rPr>
              <w:t>TOTAL</w:t>
            </w:r>
          </w:p>
        </w:tc>
        <w:tc>
          <w:tcPr>
            <w:tcW w:type="dxa" w:w="539"/>
            <w:vAlign w:val="center"/>
          </w:tcPr>
          <w:p>
            <w:pPr>
              <w:spacing w:before="30" w:after="30"/>
            </w:pPr>
          </w:p>
        </w:tc>
        <w:tc>
          <w:tcPr>
            <w:tcW w:type="dxa" w:w="934"/>
            <w:vAlign w:val="center"/>
          </w:tcPr>
          <w:p>
            <w:pPr>
              <w:spacing w:before="30" w:after="30"/>
            </w:pPr>
            <w:r>
              <w:rPr>
                <w:rFonts w:ascii="DM Sans" w:hAnsi="DM Sans" w:cs="DM Sans"/>
                <w:b/>
                <w:i w:val="0"/>
                <w:color w:val="050C2A"/>
                <w:sz w:val="20"/>
                <w:u w:val="none"/>
              </w:rPr>
              <w:t>600 min (~10 hrs)</w:t>
            </w:r>
          </w:p>
        </w:tc>
        <w:tc>
          <w:tcPr>
            <w:tcW w:type="dxa" w:w="4444"/>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620"/>
            <w:shd w:fill="FF7C0A" w:val="clear"/>
            <w:vAlign w:val="center"/>
          </w:tcPr>
          <w:p>
            <w:pPr>
              <w:jc w:val="left"/>
              <w:spacing w:before="40" w:after="40"/>
            </w:pPr>
            <w:r>
              <w:rPr>
                <w:rFonts w:ascii="DM Sans" w:hAnsi="DM Sans" w:cs="DM Sans"/>
                <w:b/>
                <w:i w:val="0"/>
                <w:color w:val="FFFFFF"/>
                <w:sz w:val="20"/>
                <w:u w:val="none"/>
              </w:rPr>
              <w:t>Competency Area</w:t>
            </w:r>
          </w:p>
        </w:tc>
        <w:tc>
          <w:tcPr>
            <w:tcW w:type="dxa" w:w="1563"/>
            <w:shd w:fill="FF7C0A" w:val="clear"/>
            <w:vAlign w:val="center"/>
          </w:tcPr>
          <w:p>
            <w:pPr>
              <w:jc w:val="left"/>
              <w:spacing w:before="40" w:after="40"/>
            </w:pPr>
            <w:r>
              <w:rPr>
                <w:rFonts w:ascii="DM Sans" w:hAnsi="DM Sans" w:cs="DM Sans"/>
                <w:b/>
                <w:i w:val="0"/>
                <w:color w:val="FFFFFF"/>
                <w:sz w:val="20"/>
                <w:u w:val="none"/>
              </w:rPr>
              <w:t>Subskill</w:t>
            </w:r>
          </w:p>
        </w:tc>
        <w:tc>
          <w:tcPr>
            <w:tcW w:type="dxa" w:w="6177"/>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620"/>
            <w:vAlign w:val="center"/>
          </w:tcPr>
          <w:p>
            <w:pPr>
              <w:spacing w:before="30" w:after="30"/>
            </w:pPr>
            <w:r>
              <w:rPr>
                <w:rFonts w:ascii="DM Sans" w:hAnsi="DM Sans" w:cs="DM Sans"/>
                <w:b/>
                <w:i w:val="0"/>
                <w:color w:val="050C2A"/>
                <w:sz w:val="20"/>
                <w:u w:val="none"/>
              </w:rPr>
              <w:t>Communication</w:t>
            </w:r>
          </w:p>
        </w:tc>
        <w:tc>
          <w:tcPr>
            <w:tcW w:type="dxa" w:w="1563"/>
            <w:vAlign w:val="center"/>
          </w:tcPr>
          <w:p>
            <w:pPr>
              <w:spacing w:before="30" w:after="30"/>
            </w:pPr>
            <w:r>
              <w:rPr>
                <w:rFonts w:ascii="DM Sans" w:hAnsi="DM Sans" w:cs="DM Sans"/>
                <w:b w:val="0"/>
                <w:i w:val="0"/>
                <w:color w:val="050C2A"/>
                <w:sz w:val="20"/>
                <w:u w:val="none"/>
              </w:rPr>
              <w:t>Oral Presentation</w:t>
            </w:r>
          </w:p>
        </w:tc>
        <w:tc>
          <w:tcPr>
            <w:tcW w:type="dxa" w:w="6177"/>
            <w:vAlign w:val="center"/>
          </w:tcPr>
          <w:p>
            <w:pPr>
              <w:spacing w:before="30" w:after="30"/>
            </w:pPr>
            <w:r>
              <w:rPr>
                <w:rFonts w:ascii="DM Sans" w:hAnsi="DM Sans" w:cs="DM Sans"/>
                <w:b w:val="0"/>
                <w:i w:val="0"/>
                <w:color w:val="050C2A"/>
                <w:sz w:val="20"/>
                <w:u w:val="none"/>
              </w:rPr>
              <w:t>The Direction Check (5.09) is the first time students present their own work product to a real professional stakeholder. The talking points preparation (5.06, 5.07) is not slide-building — it requires genuine decisions about what to lead with, how to frame the proposed approach, and what to ask. Modules 5.02 and 5.04 teach the conceptual underpinnings of presenting for validation rather than performing for approval.</w:t>
            </w:r>
          </w:p>
        </w:tc>
      </w:tr>
      <w:tr>
        <w:tc>
          <w:tcPr>
            <w:tcW w:type="dxa" w:w="1620"/>
            <w:shd w:fill="F5F5F5" w:val="clear"/>
            <w:vAlign w:val="center"/>
          </w:tcPr>
          <w:p>
            <w:pPr>
              <w:spacing w:before="30" w:after="30"/>
            </w:pPr>
            <w:r>
              <w:rPr>
                <w:rFonts w:ascii="DM Sans" w:hAnsi="DM Sans" w:cs="DM Sans"/>
                <w:b/>
                <w:i w:val="0"/>
                <w:color w:val="050C2A"/>
                <w:sz w:val="20"/>
                <w:u w:val="none"/>
              </w:rPr>
              <w:t>Communication</w:t>
            </w:r>
          </w:p>
        </w:tc>
        <w:tc>
          <w:tcPr>
            <w:tcW w:type="dxa" w:w="1563"/>
            <w:shd w:fill="F5F5F5" w:val="clear"/>
            <w:vAlign w:val="center"/>
          </w:tcPr>
          <w:p>
            <w:pPr>
              <w:spacing w:before="30" w:after="30"/>
            </w:pPr>
            <w:r>
              <w:rPr>
                <w:rFonts w:ascii="DM Sans" w:hAnsi="DM Sans" w:cs="DM Sans"/>
                <w:b w:val="0"/>
                <w:i w:val="0"/>
                <w:color w:val="050C2A"/>
                <w:sz w:val="20"/>
                <w:u w:val="none"/>
              </w:rPr>
              <w:t>Active Listening</w:t>
            </w:r>
          </w:p>
        </w:tc>
        <w:tc>
          <w:tcPr>
            <w:tcW w:type="dxa" w:w="6177"/>
            <w:shd w:fill="F5F5F5" w:val="clear"/>
            <w:vAlign w:val="center"/>
          </w:tcPr>
          <w:p>
            <w:pPr>
              <w:spacing w:before="30" w:after="30"/>
            </w:pPr>
            <w:r>
              <w:rPr>
                <w:rFonts w:ascii="DM Sans" w:hAnsi="DM Sans" w:cs="DM Sans"/>
                <w:b w:val="0"/>
                <w:i w:val="0"/>
                <w:color w:val="050C2A"/>
                <w:sz w:val="20"/>
                <w:u w:val="none"/>
              </w:rPr>
              <w:t>Module 5.05 introduces the listening skill explicitly before students need it, and the Direction Check (5.09) provides the immediate application site. The post-meeting debrief (5.10) serves as a check on whether students listened accurately — teams that listened well will have more granular, less ambiguous notes to work from.</w:t>
            </w:r>
          </w:p>
        </w:tc>
      </w:tr>
      <w:tr>
        <w:tc>
          <w:tcPr>
            <w:tcW w:type="dxa" w:w="1620"/>
            <w:vAlign w:val="center"/>
          </w:tcPr>
          <w:p>
            <w:pPr>
              <w:spacing w:before="30" w:after="30"/>
            </w:pPr>
            <w:r>
              <w:rPr>
                <w:rFonts w:ascii="DM Sans" w:hAnsi="DM Sans" w:cs="DM Sans"/>
                <w:b/>
                <w:i w:val="0"/>
                <w:color w:val="050C2A"/>
                <w:sz w:val="20"/>
                <w:u w:val="none"/>
              </w:rPr>
              <w:t>Communication</w:t>
            </w:r>
          </w:p>
        </w:tc>
        <w:tc>
          <w:tcPr>
            <w:tcW w:type="dxa" w:w="1563"/>
            <w:vAlign w:val="center"/>
          </w:tcPr>
          <w:p>
            <w:pPr>
              <w:spacing w:before="30" w:after="30"/>
            </w:pPr>
            <w:r>
              <w:rPr>
                <w:rFonts w:ascii="DM Sans" w:hAnsi="DM Sans" w:cs="DM Sans"/>
                <w:b w:val="0"/>
                <w:i w:val="0"/>
                <w:color w:val="050C2A"/>
                <w:sz w:val="20"/>
                <w:u w:val="none"/>
              </w:rPr>
              <w:t>Written Clarity</w:t>
            </w:r>
          </w:p>
        </w:tc>
        <w:tc>
          <w:tcPr>
            <w:tcW w:type="dxa" w:w="6177"/>
            <w:vAlign w:val="center"/>
          </w:tcPr>
          <w:p>
            <w:pPr>
              <w:spacing w:before="30" w:after="30"/>
            </w:pPr>
            <w:r>
              <w:rPr>
                <w:rFonts w:ascii="DM Sans" w:hAnsi="DM Sans" w:cs="DM Sans"/>
                <w:b w:val="0"/>
                <w:i w:val="0"/>
                <w:color w:val="050C2A"/>
                <w:sz w:val="20"/>
                <w:u w:val="none"/>
              </w:rPr>
              <w:t>The Direction Check Summary (5.11, 5.12) requires students to translate a verbal, real-time conversation into a clear written record. This is a qualitatively different writing task from the Context Analysis — less analytical, more documentary — and it develops the ability to produce accurate, organized professional correspondence under time pressure.</w:t>
            </w:r>
          </w:p>
        </w:tc>
      </w:tr>
      <w:tr>
        <w:tc>
          <w:tcPr>
            <w:tcW w:type="dxa" w:w="1620"/>
            <w:shd w:fill="F5F5F5" w:val="clear"/>
            <w:vAlign w:val="center"/>
          </w:tcPr>
          <w:p>
            <w:pPr>
              <w:spacing w:before="30" w:after="30"/>
            </w:pPr>
            <w:r>
              <w:rPr>
                <w:rFonts w:ascii="DM Sans" w:hAnsi="DM Sans" w:cs="DM Sans"/>
                <w:b/>
                <w:i w:val="0"/>
                <w:color w:val="050C2A"/>
                <w:sz w:val="20"/>
                <w:u w:val="none"/>
              </w:rPr>
              <w:t>Communication</w:t>
            </w:r>
          </w:p>
        </w:tc>
        <w:tc>
          <w:tcPr>
            <w:tcW w:type="dxa" w:w="1563"/>
            <w:shd w:fill="F5F5F5" w:val="clear"/>
            <w:vAlign w:val="center"/>
          </w:tcPr>
          <w:p>
            <w:pPr>
              <w:spacing w:before="30" w:after="30"/>
            </w:pPr>
            <w:r>
              <w:rPr>
                <w:rFonts w:ascii="DM Sans" w:hAnsi="DM Sans" w:cs="DM Sans"/>
                <w:b w:val="0"/>
                <w:i w:val="0"/>
                <w:color w:val="050C2A"/>
                <w:sz w:val="20"/>
                <w:u w:val="none"/>
              </w:rPr>
              <w:t>Professional Correspondence</w:t>
            </w:r>
          </w:p>
        </w:tc>
        <w:tc>
          <w:tcPr>
            <w:tcW w:type="dxa" w:w="6177"/>
            <w:shd w:fill="F5F5F5" w:val="clear"/>
            <w:vAlign w:val="center"/>
          </w:tcPr>
          <w:p>
            <w:pPr>
              <w:spacing w:before="30" w:after="30"/>
            </w:pPr>
            <w:r>
              <w:rPr>
                <w:rFonts w:ascii="DM Sans" w:hAnsi="DM Sans" w:cs="DM Sans"/>
                <w:b w:val="0"/>
                <w:i w:val="0"/>
                <w:color w:val="050C2A"/>
                <w:sz w:val="20"/>
                <w:u w:val="none"/>
              </w:rPr>
              <w:t>Activity 5.08 (logistics email) continues the professional correspondence thread established in Week 2. It is short but structurally meaningful: students are coordinating a real meeting with a real professional, and tone, clarity, and completeness matter in ways they don't in casual communication.</w:t>
            </w:r>
          </w:p>
        </w:tc>
      </w:tr>
      <w:tr>
        <w:tc>
          <w:tcPr>
            <w:tcW w:type="dxa" w:w="1620"/>
            <w:vAlign w:val="center"/>
          </w:tcPr>
          <w:p>
            <w:pPr>
              <w:spacing w:before="30" w:after="30"/>
            </w:pPr>
            <w:r>
              <w:rPr>
                <w:rFonts w:ascii="DM Sans" w:hAnsi="DM Sans" w:cs="DM Sans"/>
                <w:b/>
                <w:i w:val="0"/>
                <w:color w:val="050C2A"/>
                <w:sz w:val="20"/>
                <w:u w:val="none"/>
              </w:rPr>
              <w:t>Professionalism</w:t>
            </w:r>
          </w:p>
        </w:tc>
        <w:tc>
          <w:tcPr>
            <w:tcW w:type="dxa" w:w="1563"/>
            <w:vAlign w:val="center"/>
          </w:tcPr>
          <w:p>
            <w:pPr>
              <w:spacing w:before="30" w:after="30"/>
            </w:pPr>
            <w:r>
              <w:rPr>
                <w:rFonts w:ascii="DM Sans" w:hAnsi="DM Sans" w:cs="DM Sans"/>
                <w:b w:val="0"/>
                <w:i w:val="0"/>
                <w:color w:val="050C2A"/>
                <w:sz w:val="20"/>
                <w:u w:val="none"/>
              </w:rPr>
              <w:t>Feedback Reception</w:t>
            </w:r>
          </w:p>
        </w:tc>
        <w:tc>
          <w:tcPr>
            <w:tcW w:type="dxa" w:w="6177"/>
            <w:vAlign w:val="center"/>
          </w:tcPr>
          <w:p>
            <w:pPr>
              <w:spacing w:before="30" w:after="30"/>
            </w:pPr>
            <w:r>
              <w:rPr>
                <w:rFonts w:ascii="DM Sans" w:hAnsi="DM Sans" w:cs="DM Sans"/>
                <w:b w:val="0"/>
                <w:i w:val="0"/>
                <w:color w:val="050C2A"/>
                <w:sz w:val="20"/>
                <w:u w:val="none"/>
              </w:rPr>
              <w:t>Module 5.05 and the Direction Check together create the first real test of feedback reception in the course. The employer may validate the team's approach, redirect it substantially, or raise concerns the team didn't anticipate. The post-meeting debrief (5.10) and plan revision (5.13) make feedback reception observable — a team that received feedback well will have concrete, specific adjustments in their revised plan.</w:t>
            </w:r>
          </w:p>
        </w:tc>
      </w:tr>
      <w:tr>
        <w:tc>
          <w:tcPr>
            <w:tcW w:type="dxa" w:w="1620"/>
            <w:shd w:fill="F5F5F5" w:val="clear"/>
            <w:vAlign w:val="center"/>
          </w:tcPr>
          <w:p>
            <w:pPr>
              <w:spacing w:before="30" w:after="30"/>
            </w:pPr>
            <w:r>
              <w:rPr>
                <w:rFonts w:ascii="DM Sans" w:hAnsi="DM Sans" w:cs="DM Sans"/>
                <w:b/>
                <w:i w:val="0"/>
                <w:color w:val="050C2A"/>
                <w:sz w:val="20"/>
                <w:u w:val="none"/>
              </w:rPr>
              <w:t>Career &amp; Self-Development</w:t>
            </w:r>
          </w:p>
        </w:tc>
        <w:tc>
          <w:tcPr>
            <w:tcW w:type="dxa" w:w="1563"/>
            <w:shd w:fill="F5F5F5" w:val="clear"/>
            <w:vAlign w:val="center"/>
          </w:tcPr>
          <w:p>
            <w:pPr>
              <w:spacing w:before="30" w:after="30"/>
            </w:pPr>
            <w:r>
              <w:rPr>
                <w:rFonts w:ascii="DM Sans" w:hAnsi="DM Sans" w:cs="DM Sans"/>
                <w:b w:val="0"/>
                <w:i w:val="0"/>
                <w:color w:val="050C2A"/>
                <w:sz w:val="20"/>
                <w:u w:val="none"/>
              </w:rPr>
              <w:t>Reflection</w:t>
            </w:r>
          </w:p>
        </w:tc>
        <w:tc>
          <w:tcPr>
            <w:tcW w:type="dxa" w:w="6177"/>
            <w:shd w:fill="F5F5F5" w:val="clear"/>
            <w:vAlign w:val="center"/>
          </w:tcPr>
          <w:p>
            <w:pPr>
              <w:spacing w:before="30" w:after="30"/>
            </w:pPr>
            <w:r>
              <w:rPr>
                <w:rFonts w:ascii="DM Sans" w:hAnsi="DM Sans" w:cs="DM Sans"/>
                <w:b w:val="0"/>
                <w:i w:val="0"/>
                <w:color w:val="050C2A"/>
                <w:sz w:val="20"/>
                <w:u w:val="none"/>
              </w:rPr>
              <w:t>The Direction Check (5.09) is one of the richest experiential moments of the Discovery phase — the first time students present their own work to a professional stakeholder and receive real feedback. The experience of presenting, receiving direction, and processing feedback is precisely the kind of moment that reflective writing draws on later in the course.</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Direction Check Summary → Communication (Written Clarity) + Professionalism (Feedback Reception)</w:t>
      </w:r>
    </w:p>
    <w:p>
      <w:pPr>
        <w:spacing w:before="0" w:after="120" w:line="276" w:lineRule="auto"/>
      </w:pPr>
      <w:r>
        <w:rPr>
          <w:rFonts w:ascii="DM Sans" w:hAnsi="DM Sans" w:cs="DM Sans"/>
          <w:b w:val="0"/>
          <w:i w:val="0"/>
          <w:color w:val="050C2A"/>
          <w:sz w:val="20"/>
          <w:u w:val="none"/>
        </w:rPr>
        <w:t>Checkpoint; completion-based. Team submission. Not graded on a rubric — assessed on whether the summary documents specific feedback received, identifies concrete adjustments or confirms the approach, and captures next steps. This checkpoint exists because the Direction Check is a verbal interaction: what the employer said, what the team heard, and what they decided to do about it can diverge significantly if not written down promptly. Pivots documented in the Summary are not failures — they are evidence of responsiveness, which is a professional competency in its own right.</w:t>
      </w:r>
    </w:p>
    <w:p>
      <w:pPr>
        <w:spacing w:before="0" w:after="120" w:line="276" w:lineRule="auto"/>
      </w:pPr>
      <w:r>
        <w:rPr>
          <w:rFonts w:ascii="DM Sans" w:hAnsi="DM Sans" w:cs="DM Sans"/>
          <w:b w:val="0"/>
          <w:i w:val="0"/>
          <w:color w:val="050C2A"/>
          <w:sz w:val="20"/>
          <w:u w:val="none"/>
        </w:rPr>
        <w:t>The Summary has one page and three components: feedback received (what the employer said, as specifically as possible), plan adjustments (what changes, and why), and confirmed approach (what stays the same, and why). The distinction between the debrief (5.10) and the Summary (5.11) is intentional: the debrief is a team conversation about what was heard, the Summary is the formal written record of what was decided. Both have standalone value and cannot be collapsed without losing the thinking that happens in between.</w:t>
      </w:r>
    </w:p>
    <w:p>
      <w:pPr>
        <w:spacing w:before="0" w:after="120" w:line="276" w:lineRule="auto"/>
      </w:pPr>
      <w:r>
        <w:rPr>
          <w:rFonts w:ascii="DM Sans" w:hAnsi="DM Sans" w:cs="DM Sans"/>
          <w:b/>
          <w:i w:val="0"/>
          <w:color w:val="050C2A"/>
          <w:sz w:val="20"/>
          <w:u w:val="none"/>
        </w:rPr>
        <w:t>AI guidance specific to this deliverable:</w:t>
      </w:r>
      <w:r>
        <w:rPr>
          <w:rFonts w:ascii="DM Sans" w:hAnsi="DM Sans" w:cs="DM Sans"/>
          <w:b w:val="0"/>
          <w:i w:val="0"/>
          <w:color w:val="050C2A"/>
          <w:sz w:val="20"/>
          <w:u w:val="none"/>
        </w:rPr>
        <w:t xml:space="preserve"> AI can help organize and clarify notes into the Summary format after the team has captured what was actually said. AI cannot generate the substance of what the employer communicated. A Summary that reads as though it was produced before the meeting happened — generic, unspecific, lacking any reference to what Sarah Chen actually said — has not met the completion criteria, regardless of how it was produced. AI disclosure is required on submission.</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Using AI transcription or summarization tools during or immediately after the Direction Check meeting is permitted — this is the same practice established in Week 3 at the kickoff, and it reflects how professionals routinely use AI in client-facing contexts. Using AI to help organize and structure talking points before the meeting is appropriate: the findings themselves come from the team's own work in Week 4, and AI can help make the presentation of those findings clear and logically sequenced. Using AI to orient to unfamiliar formats, domain concepts, or skill gaps — whatever independent learning each student identifies as needed — is the primary use case for activity 5.15 and is explicitly encouraged. Using AI to help draft the Direction Check Summary after the team has captured what was actually said supports the writing task without substituting for the listening that precedes it.</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The Direction Check Summary must reflect the actual conversation with the employer. AI cannot generate what the employer said; it can only help the team organize and clarify notes they have already taken. A Summary produced primarily from AI rather than from meeting notes fails the completion criteria for a straightforward reason: it cannot document something AI was not present for. No new prompt strategy is introduced this week — the domain orientation strategy introduced in Week 4 continues to apply to the independent learning activity (5.15).</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the Direction Check Summary submission, regardless of the extent of AI use. If AI was not used, a one-sentence statement is sufficient.</w:t>
      </w:r>
    </w:p>
    <w:p>
      <w:pPr>
        <w:spacing w:before="280" w:after="100"/>
      </w:pPr>
      <w:r>
        <w:rPr>
          <w:rFonts w:ascii="DM Sans" w:hAnsi="DM Sans" w:cs="DM Sans"/>
          <w:b/>
          <w:i w:val="0"/>
          <w:color w:val="050C2A"/>
          <w:sz w:val="28"/>
          <w:u w:val="none"/>
        </w:rPr>
        <w:t>Open Questions / Flags</w:t>
      </w:r>
    </w:p>
    <w:p>
      <w:pPr>
        <w:spacing w:before="0" w:after="120" w:line="276" w:lineRule="auto"/>
      </w:pPr>
      <w:r>
        <w:rPr>
          <w:rFonts w:ascii="DM Sans" w:hAnsi="DM Sans" w:cs="DM Sans"/>
          <w:b/>
          <w:i w:val="0"/>
          <w:color w:val="050C2A"/>
          <w:sz w:val="20"/>
          <w:u w:val="none"/>
        </w:rPr>
        <w:t>1. Employer touchpoint timing and course flexibility guidance.</w:t>
      </w:r>
      <w:r>
        <w:rPr>
          <w:rFonts w:ascii="DM Sans" w:hAnsi="DM Sans" w:cs="DM Sans"/>
          <w:b w:val="0"/>
          <w:i w:val="0"/>
          <w:color w:val="050C2A"/>
          <w:sz w:val="20"/>
          <w:u w:val="none"/>
        </w:rPr>
        <w:t xml:space="preserve"> The week is designed with the Direction Check as the anchor event, but the course cannot fully control when standing employer meetings occur — scheduling constraints, employer availability, and institutional calendars will all create variation. This is a structural reality across all employer touchpoint weeks, not just Week 5. Students need explicit guidance early in the course (likely Week 1 or the course syllabus) that weeks should be treated flexibly: when a meeting falls late in a week, the post-meeting work carries into the following week; when students have lighter weeks, they should use that time to get ahead on upcoming tasks. Without this framing established upfront, students who encounter a late Direction Check will experience the week as broken rather than as a normal feature of real-world project work. Affects: Week 1 course orientation content, syllabus language, facilitator materials for all employer touchpoint weeks.</w:t>
      </w:r>
    </w:p>
    <w:p>
      <w:pPr>
        <w:spacing w:before="0" w:after="120" w:line="276" w:lineRule="auto"/>
      </w:pPr>
      <w:r>
        <w:rPr>
          <w:rFonts w:ascii="DM Sans" w:hAnsi="DM Sans" w:cs="DM Sans"/>
          <w:b/>
          <w:i w:val="0"/>
          <w:color w:val="050C2A"/>
          <w:sz w:val="20"/>
          <w:u w:val="none"/>
        </w:rPr>
        <w:t>2. Employer pre-read of the Context Analysis &amp; Project Plan.</w:t>
      </w:r>
      <w:r>
        <w:rPr>
          <w:rFonts w:ascii="DM Sans" w:hAnsi="DM Sans" w:cs="DM Sans"/>
          <w:b w:val="0"/>
          <w:i w:val="0"/>
          <w:color w:val="050C2A"/>
          <w:sz w:val="20"/>
          <w:u w:val="none"/>
        </w:rPr>
        <w:t xml:space="preserve"> The Direction Check is most productive when the employer has reviewed the Week 4 submission before the meeting. Contingency guidance for students when the employer arrives unprepared is addressed in module 5.04. The underlying handoff question — how the document reaches the employer and when — remains unresolved from Week 4. Affects: employer onboarding expectations, platform or LMS configuration.</w:t>
      </w:r>
    </w:p>
    <w:p>
      <w:pPr>
        <w:spacing w:before="0" w:after="120" w:line="276" w:lineRule="auto"/>
      </w:pPr>
      <w:r>
        <w:rPr>
          <w:rFonts w:ascii="DM Sans" w:hAnsi="DM Sans" w:cs="DM Sans"/>
          <w:b/>
          <w:i w:val="0"/>
          <w:color w:val="050C2A"/>
          <w:sz w:val="20"/>
          <w:u w:val="none"/>
        </w:rPr>
        <w:t>3. Graded feedback turnaround time.</w:t>
      </w:r>
      <w:r>
        <w:rPr>
          <w:rFonts w:ascii="DM Sans" w:hAnsi="DM Sans" w:cs="DM Sans"/>
          <w:b w:val="0"/>
          <w:i w:val="0"/>
          <w:color w:val="050C2A"/>
          <w:sz w:val="20"/>
          <w:u w:val="none"/>
        </w:rPr>
        <w:t xml:space="preserve"> Activity 5.06 asks students to review graded feedback on their Context Analysis &amp; Project Plan as part of Direction Check prep — the "if available" qualifier acknowledges that feedback may not yet be returned when students need it. The realistic turnaround time for graded submissions needs to be established and communicated clearly: if the standard is 5–7 days and the Direction Check happens in the first half of Week 5, feedback will likely be available; if the meeting falls early and grading is slow, students may prep for the Direction Check without it. This affects both student expectations and the design of 5.06 — if feedback is reliably unavailable by the Direction Check, the activity should be reframed accordingly. Affects: grading timeline expectations, faculty/facilitator guidelines, student-facing course policies.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