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0"/>
      </w:pPr>
      <w:r>
        <w:rPr>
          <w:rFonts w:ascii="DM Sans" w:hAnsi="DM Sans" w:cs="DM Sans"/>
          <w:b/>
          <w:i w:val="0"/>
          <w:color w:val="FF7C0A"/>
          <w:sz w:val="34"/>
          <w:u w:val="none"/>
        </w:rPr>
        <w:t>Week 6 — Working Through Ambiguity</w:t>
      </w:r>
    </w:p>
    <w:p>
      <w:pPr>
        <w:spacing w:before="0" w:after="120" w:line="276" w:lineRule="auto"/>
      </w:pPr>
      <w:r>
        <w:rPr>
          <w:rFonts w:ascii="DM Sans" w:hAnsi="DM Sans" w:cs="DM Sans"/>
          <w:b/>
          <w:i w:val="0"/>
          <w:color w:val="050C2A"/>
          <w:sz w:val="20"/>
          <w:u w:val="none"/>
        </w:rPr>
        <w:t>RIIPEN CAREER CATALYST</w:t>
      </w:r>
      <w:r>
        <w:rPr>
          <w:rFonts w:ascii="DM Sans" w:hAnsi="DM Sans" w:cs="DM Sans"/>
          <w:b w:val="0"/>
          <w:i w:val="0"/>
          <w:color w:val="050C2A"/>
          <w:sz w:val="20"/>
          <w:u w:val="none"/>
        </w:rPr>
        <w:t xml:space="preserve"> | Weekly Design Document</w:t>
      </w:r>
    </w:p>
    <w:p>
      <w:pPr>
        <w:pBdr>
          <w:bottom w:val="single" w:sz="6" w:space="1" w:color="ACACAC"/>
        </w:pBdr>
        <w:spacing w:before="120" w:after="120"/>
      </w:pPr>
    </w:p>
    <w:p>
      <w:pPr>
        <w:spacing w:before="280" w:after="100"/>
      </w:pPr>
      <w:r>
        <w:rPr>
          <w:rFonts w:ascii="DM Sans" w:hAnsi="DM Sans" w:cs="DM Sans"/>
          <w:b/>
          <w:i w:val="0"/>
          <w:color w:val="050C2A"/>
          <w:sz w:val="28"/>
          <w:u w:val="none"/>
        </w:rPr>
        <w:t>At a Glance</w:t>
      </w:r>
    </w:p>
    <w:tbl>
      <w:tblPr>
        <w:jc w:val="center"/>
        <w:tblLook w:firstColumn="1" w:firstRow="1" w:lastColumn="0" w:lastRow="0" w:noHBand="0" w:noVBand="1" w:val="04A0"/>
        <w:tblW w:type="dxa" w:w="9360"/>
        <w:tblLayout w:type="fixed"/>
        <w:tblBorders>
          <w:top w:val="single" w:sz="4" w:space="0" w:color="ACACAC"/>
          <w:left w:val="single" w:sz="4" w:space="0" w:color="ACACAC"/>
          <w:bottom w:val="single" w:sz="4" w:space="0" w:color="ACACAC"/>
          <w:right w:val="single" w:sz="4" w:space="0" w:color="ACACAC"/>
          <w:insideH w:val="single" w:sz="4" w:space="0" w:color="ACACAC"/>
          <w:insideV w:val="single" w:sz="4" w:space="0" w:color="ACACAC"/>
        </w:tblBorders>
      </w:tblPr>
      <w:tblGrid>
        <w:gridCol w:w="4680"/>
        <w:gridCol w:w="4680"/>
      </w:tblGrid>
      <w:tr>
        <w:tc>
          <w:tcPr>
            <w:tcW w:type="dxa" w:w="3356"/>
            <w:shd w:fill="FF7C0A" w:val="clear"/>
            <w:vAlign w:val="center"/>
          </w:tcPr>
          <w:p>
            <w:pPr>
              <w:jc w:val="left"/>
              <w:spacing w:before="40" w:after="40"/>
            </w:pPr>
            <w:r>
              <w:rPr>
                <w:rFonts w:ascii="DM Sans" w:hAnsi="DM Sans" w:cs="DM Sans"/>
                <w:b/>
                <w:i w:val="0"/>
                <w:color w:val="FFFFFF"/>
                <w:sz w:val="20"/>
                <w:u w:val="none"/>
              </w:rPr>
            </w:r>
          </w:p>
        </w:tc>
        <w:tc>
          <w:tcPr>
            <w:tcW w:type="dxa" w:w="6004"/>
            <w:shd w:fill="FF7C0A" w:val="clear"/>
            <w:vAlign w:val="center"/>
          </w:tcPr>
          <w:p>
            <w:pPr>
              <w:jc w:val="left"/>
              <w:spacing w:before="40" w:after="40"/>
            </w:pPr>
            <w:r>
              <w:rPr>
                <w:rFonts w:ascii="DM Sans" w:hAnsi="DM Sans" w:cs="DM Sans"/>
                <w:b/>
                <w:i w:val="0"/>
                <w:color w:val="FFFFFF"/>
                <w:sz w:val="20"/>
                <w:u w:val="none"/>
              </w:rPr>
            </w:r>
          </w:p>
        </w:tc>
      </w:tr>
      <w:tr>
        <w:tc>
          <w:tcPr>
            <w:tcW w:type="dxa" w:w="3356"/>
            <w:vAlign w:val="center"/>
          </w:tcPr>
          <w:p>
            <w:pPr>
              <w:spacing w:before="30" w:after="30"/>
            </w:pPr>
            <w:r>
              <w:rPr>
                <w:rFonts w:ascii="DM Sans" w:hAnsi="DM Sans" w:cs="DM Sans"/>
                <w:b/>
                <w:i w:val="0"/>
                <w:color w:val="050C2A"/>
                <w:sz w:val="20"/>
                <w:u w:val="none"/>
              </w:rPr>
              <w:t>Phase</w:t>
            </w:r>
          </w:p>
        </w:tc>
        <w:tc>
          <w:tcPr>
            <w:tcW w:type="dxa" w:w="6004"/>
            <w:vAlign w:val="center"/>
          </w:tcPr>
          <w:p>
            <w:pPr>
              <w:spacing w:before="30" w:after="30"/>
            </w:pPr>
            <w:r>
              <w:rPr>
                <w:rFonts w:ascii="DM Sans" w:hAnsi="DM Sans" w:cs="DM Sans"/>
                <w:b w:val="0"/>
                <w:i w:val="0"/>
                <w:color w:val="050C2A"/>
                <w:sz w:val="20"/>
                <w:u w:val="none"/>
              </w:rPr>
              <w:t>Discovery</w:t>
            </w:r>
          </w:p>
        </w:tc>
      </w:tr>
      <w:tr>
        <w:tc>
          <w:tcPr>
            <w:tcW w:type="dxa" w:w="3356"/>
            <w:shd w:fill="F5F5F5" w:val="clear"/>
            <w:vAlign w:val="center"/>
          </w:tcPr>
          <w:p>
            <w:pPr>
              <w:spacing w:before="30" w:after="30"/>
            </w:pPr>
            <w:r>
              <w:rPr>
                <w:rFonts w:ascii="DM Sans" w:hAnsi="DM Sans" w:cs="DM Sans"/>
                <w:b/>
                <w:i w:val="0"/>
                <w:color w:val="050C2A"/>
                <w:sz w:val="20"/>
                <w:u w:val="none"/>
              </w:rPr>
              <w:t>Module Title</w:t>
            </w:r>
          </w:p>
        </w:tc>
        <w:tc>
          <w:tcPr>
            <w:tcW w:type="dxa" w:w="6004"/>
            <w:shd w:fill="F5F5F5" w:val="clear"/>
            <w:vAlign w:val="center"/>
          </w:tcPr>
          <w:p>
            <w:pPr>
              <w:spacing w:before="30" w:after="30"/>
            </w:pPr>
            <w:r>
              <w:rPr>
                <w:rFonts w:ascii="DM Sans" w:hAnsi="DM Sans" w:cs="DM Sans"/>
                <w:b w:val="0"/>
                <w:i w:val="0"/>
                <w:color w:val="050C2A"/>
                <w:sz w:val="20"/>
                <w:u w:val="none"/>
              </w:rPr>
              <w:t>Working Through Ambiguity</w:t>
            </w:r>
          </w:p>
        </w:tc>
      </w:tr>
      <w:tr>
        <w:tc>
          <w:tcPr>
            <w:tcW w:type="dxa" w:w="3356"/>
            <w:vAlign w:val="center"/>
          </w:tcPr>
          <w:p>
            <w:pPr>
              <w:spacing w:before="30" w:after="30"/>
            </w:pPr>
            <w:r>
              <w:rPr>
                <w:rFonts w:ascii="DM Sans" w:hAnsi="DM Sans" w:cs="DM Sans"/>
                <w:b/>
                <w:i w:val="0"/>
                <w:color w:val="050C2A"/>
                <w:sz w:val="20"/>
                <w:u w:val="none"/>
              </w:rPr>
              <w:t>Primary Function</w:t>
            </w:r>
          </w:p>
        </w:tc>
        <w:tc>
          <w:tcPr>
            <w:tcW w:type="dxa" w:w="6004"/>
            <w:vAlign w:val="center"/>
          </w:tcPr>
          <w:p>
            <w:pPr>
              <w:spacing w:before="30" w:after="30"/>
            </w:pPr>
            <w:r>
              <w:rPr>
                <w:rFonts w:ascii="DM Sans" w:hAnsi="DM Sans" w:cs="DM Sans"/>
                <w:b w:val="0"/>
                <w:i w:val="0"/>
                <w:color w:val="050C2A"/>
                <w:sz w:val="20"/>
                <w:u w:val="none"/>
              </w:rPr>
              <w:t>Conceptual framework + reflection scaffolding + project production</w:t>
            </w:r>
          </w:p>
        </w:tc>
      </w:tr>
      <w:tr>
        <w:tc>
          <w:tcPr>
            <w:tcW w:type="dxa" w:w="3356"/>
            <w:shd w:fill="F5F5F5" w:val="clear"/>
            <w:vAlign w:val="center"/>
          </w:tcPr>
          <w:p>
            <w:pPr>
              <w:spacing w:before="30" w:after="30"/>
            </w:pPr>
            <w:r>
              <w:rPr>
                <w:rFonts w:ascii="DM Sans" w:hAnsi="DM Sans" w:cs="DM Sans"/>
                <w:b/>
                <w:i w:val="0"/>
                <w:color w:val="050C2A"/>
                <w:sz w:val="20"/>
                <w:u w:val="none"/>
              </w:rPr>
              <w:t>Total Student Time</w:t>
            </w:r>
          </w:p>
        </w:tc>
        <w:tc>
          <w:tcPr>
            <w:tcW w:type="dxa" w:w="6004"/>
            <w:shd w:fill="F5F5F5" w:val="clear"/>
            <w:vAlign w:val="center"/>
          </w:tcPr>
          <w:p>
            <w:pPr>
              <w:spacing w:before="30" w:after="30"/>
            </w:pPr>
            <w:r>
              <w:rPr>
                <w:rFonts w:ascii="DM Sans" w:hAnsi="DM Sans" w:cs="DM Sans"/>
                <w:b w:val="0"/>
                <w:i w:val="0"/>
                <w:color w:val="050C2A"/>
                <w:sz w:val="20"/>
                <w:u w:val="none"/>
              </w:rPr>
              <w:t>545 min (~9 hrs 5 min)</w:t>
            </w:r>
          </w:p>
        </w:tc>
      </w:tr>
      <w:tr>
        <w:tc>
          <w:tcPr>
            <w:tcW w:type="dxa" w:w="3356"/>
            <w:vAlign w:val="center"/>
          </w:tcPr>
          <w:p>
            <w:pPr>
              <w:spacing w:before="30" w:after="30"/>
            </w:pPr>
            <w:r>
              <w:rPr>
                <w:rFonts w:ascii="DM Sans" w:hAnsi="DM Sans" w:cs="DM Sans"/>
                <w:b/>
                <w:i w:val="0"/>
                <w:color w:val="050C2A"/>
                <w:sz w:val="20"/>
                <w:u w:val="none"/>
              </w:rPr>
              <w:t>Deliverable This Week</w:t>
            </w:r>
          </w:p>
        </w:tc>
        <w:tc>
          <w:tcPr>
            <w:tcW w:type="dxa" w:w="6004"/>
            <w:vAlign w:val="center"/>
          </w:tcPr>
          <w:p>
            <w:pPr>
              <w:spacing w:before="30" w:after="30"/>
            </w:pPr>
            <w:r>
              <w:rPr>
                <w:rFonts w:ascii="DM Sans" w:hAnsi="DM Sans" w:cs="DM Sans"/>
                <w:b w:val="0"/>
                <w:i w:val="0"/>
                <w:color w:val="050C2A"/>
                <w:sz w:val="20"/>
                <w:u w:val="none"/>
              </w:rPr>
              <w:t>Reflection #2 (Graded — rubric-based, ~5% of final grade, individual submission)</w:t>
            </w:r>
          </w:p>
        </w:tc>
      </w:tr>
    </w:tbl>
    <w:p>
      <w:pPr>
        <w:spacing w:before="0" w:after="120"/>
      </w:pPr>
    </w:p>
    <w:p>
      <w:pPr>
        <w:spacing w:before="280" w:after="100"/>
      </w:pPr>
      <w:r>
        <w:rPr>
          <w:rFonts w:ascii="DM Sans" w:hAnsi="DM Sans" w:cs="DM Sans"/>
          <w:b/>
          <w:i w:val="0"/>
          <w:color w:val="050C2A"/>
          <w:sz w:val="28"/>
          <w:u w:val="none"/>
        </w:rPr>
        <w:t>Learning Objectives</w:t>
      </w:r>
    </w:p>
    <w:p>
      <w:pPr>
        <w:spacing w:before="0" w:after="120" w:line="276" w:lineRule="auto"/>
      </w:pPr>
      <w:r>
        <w:rPr>
          <w:rFonts w:ascii="DM Sans" w:hAnsi="DM Sans" w:cs="DM Sans"/>
          <w:b w:val="0"/>
          <w:i w:val="0"/>
          <w:color w:val="050C2A"/>
          <w:sz w:val="20"/>
          <w:u w:val="none"/>
        </w:rPr>
        <w:t>By the end of Week 6, students will be able to:</w:t>
      </w:r>
    </w:p>
    <w:tbl>
      <w:tblPr>
        <w:jc w:val="center"/>
        <w:tblLook w:firstColumn="1" w:firstRow="1" w:lastColumn="0" w:lastRow="0" w:noHBand="0" w:noVBand="1" w:val="04A0"/>
        <w:tblW w:type="dxa" w:w="9360"/>
        <w:tblLayout w:type="fixed"/>
        <w:tblBorders>
          <w:top w:val="single" w:sz="4" w:space="0" w:color="ACACAC"/>
          <w:left w:val="single" w:sz="4" w:space="0" w:color="ACACAC"/>
          <w:bottom w:val="single" w:sz="4" w:space="0" w:color="ACACAC"/>
          <w:right w:val="single" w:sz="4" w:space="0" w:color="ACACAC"/>
          <w:insideH w:val="single" w:sz="4" w:space="0" w:color="ACACAC"/>
          <w:insideV w:val="single" w:sz="4" w:space="0" w:color="ACACAC"/>
        </w:tblBorders>
      </w:tblPr>
      <w:tblGrid>
        <w:gridCol w:w="3120"/>
        <w:gridCol w:w="3120"/>
        <w:gridCol w:w="3120"/>
      </w:tblGrid>
      <w:tr>
        <w:tc>
          <w:tcPr>
            <w:tcW w:type="dxa" w:w="876"/>
            <w:shd w:fill="FF7C0A" w:val="clear"/>
            <w:vAlign w:val="center"/>
          </w:tcPr>
          <w:p>
            <w:pPr>
              <w:jc w:val="left"/>
              <w:spacing w:before="40" w:after="40"/>
            </w:pPr>
            <w:r>
              <w:rPr>
                <w:rFonts w:ascii="DM Sans" w:hAnsi="DM Sans" w:cs="DM Sans"/>
                <w:b/>
                <w:i w:val="0"/>
                <w:color w:val="FFFFFF"/>
                <w:sz w:val="20"/>
                <w:u w:val="none"/>
              </w:rPr>
              <w:t>#</w:t>
            </w:r>
          </w:p>
        </w:tc>
        <w:tc>
          <w:tcPr>
            <w:tcW w:type="dxa" w:w="5156"/>
            <w:shd w:fill="FF7C0A" w:val="clear"/>
            <w:vAlign w:val="center"/>
          </w:tcPr>
          <w:p>
            <w:pPr>
              <w:jc w:val="left"/>
              <w:spacing w:before="40" w:after="40"/>
            </w:pPr>
            <w:r>
              <w:rPr>
                <w:rFonts w:ascii="DM Sans" w:hAnsi="DM Sans" w:cs="DM Sans"/>
                <w:b/>
                <w:i w:val="0"/>
                <w:color w:val="FFFFFF"/>
                <w:sz w:val="20"/>
                <w:u w:val="none"/>
              </w:rPr>
              <w:t>Objective</w:t>
            </w:r>
          </w:p>
        </w:tc>
        <w:tc>
          <w:tcPr>
            <w:tcW w:type="dxa" w:w="3328"/>
            <w:shd w:fill="FF7C0A" w:val="clear"/>
            <w:vAlign w:val="center"/>
          </w:tcPr>
          <w:p>
            <w:pPr>
              <w:jc w:val="left"/>
              <w:spacing w:before="40" w:after="40"/>
            </w:pPr>
            <w:r>
              <w:rPr>
                <w:rFonts w:ascii="DM Sans" w:hAnsi="DM Sans" w:cs="DM Sans"/>
                <w:b/>
                <w:i w:val="0"/>
                <w:color w:val="FFFFFF"/>
                <w:sz w:val="20"/>
                <w:u w:val="none"/>
              </w:rPr>
              <w:t>Competency</w:t>
            </w:r>
          </w:p>
        </w:tc>
      </w:tr>
      <w:tr>
        <w:tc>
          <w:tcPr>
            <w:tcW w:type="dxa" w:w="876"/>
            <w:vAlign w:val="center"/>
          </w:tcPr>
          <w:p>
            <w:pPr>
              <w:spacing w:before="30" w:after="30"/>
            </w:pPr>
            <w:r>
              <w:rPr>
                <w:rFonts w:ascii="DM Sans" w:hAnsi="DM Sans" w:cs="DM Sans"/>
                <w:b/>
                <w:i w:val="0"/>
                <w:color w:val="050C2A"/>
                <w:sz w:val="20"/>
                <w:u w:val="none"/>
              </w:rPr>
              <w:t>1</w:t>
            </w:r>
          </w:p>
        </w:tc>
        <w:tc>
          <w:tcPr>
            <w:tcW w:type="dxa" w:w="5156"/>
            <w:vAlign w:val="center"/>
          </w:tcPr>
          <w:p>
            <w:pPr>
              <w:spacing w:before="30" w:after="30"/>
            </w:pPr>
            <w:r>
              <w:rPr>
                <w:rFonts w:ascii="DM Sans" w:hAnsi="DM Sans" w:cs="DM Sans"/>
                <w:b w:val="0"/>
                <w:i w:val="0"/>
                <w:color w:val="050C2A"/>
                <w:sz w:val="20"/>
                <w:u w:val="none"/>
              </w:rPr>
              <w:t>Apply a practical decision framework for making progress when information is incomplete, recognizing when enough exists to proceed versus when additional research is needed.</w:t>
            </w:r>
          </w:p>
        </w:tc>
        <w:tc>
          <w:tcPr>
            <w:tcW w:type="dxa" w:w="3328"/>
            <w:vAlign w:val="center"/>
          </w:tcPr>
          <w:p>
            <w:pPr>
              <w:spacing w:before="30" w:after="30"/>
            </w:pPr>
            <w:r>
              <w:rPr>
                <w:rFonts w:ascii="DM Sans" w:hAnsi="DM Sans" w:cs="DM Sans"/>
                <w:b w:val="0"/>
                <w:i w:val="0"/>
                <w:color w:val="050C2A"/>
                <w:sz w:val="20"/>
                <w:u w:val="none"/>
              </w:rPr>
              <w:t>Critical Thinking → Prioritization</w:t>
            </w:r>
          </w:p>
        </w:tc>
      </w:tr>
      <w:tr>
        <w:tc>
          <w:tcPr>
            <w:tcW w:type="dxa" w:w="876"/>
            <w:shd w:fill="F5F5F5" w:val="clear"/>
            <w:vAlign w:val="center"/>
          </w:tcPr>
          <w:p>
            <w:pPr>
              <w:spacing w:before="30" w:after="30"/>
            </w:pPr>
            <w:r>
              <w:rPr>
                <w:rFonts w:ascii="DM Sans" w:hAnsi="DM Sans" w:cs="DM Sans"/>
                <w:b/>
                <w:i w:val="0"/>
                <w:color w:val="050C2A"/>
                <w:sz w:val="20"/>
                <w:u w:val="none"/>
              </w:rPr>
              <w:t>2</w:t>
            </w:r>
          </w:p>
        </w:tc>
        <w:tc>
          <w:tcPr>
            <w:tcW w:type="dxa" w:w="5156"/>
            <w:shd w:fill="F5F5F5" w:val="clear"/>
            <w:vAlign w:val="center"/>
          </w:tcPr>
          <w:p>
            <w:pPr>
              <w:spacing w:before="30" w:after="30"/>
            </w:pPr>
            <w:r>
              <w:rPr>
                <w:rFonts w:ascii="DM Sans" w:hAnsi="DM Sans" w:cs="DM Sans"/>
                <w:b w:val="0"/>
                <w:i w:val="0"/>
                <w:color w:val="050C2A"/>
                <w:sz w:val="20"/>
                <w:u w:val="none"/>
              </w:rPr>
              <w:t>Navigate a disagreement with a teammate or an unexpected employer direction using a professional approach that maintains relationships while surfacing the substantive issue.</w:t>
            </w:r>
          </w:p>
        </w:tc>
        <w:tc>
          <w:tcPr>
            <w:tcW w:type="dxa" w:w="3328"/>
            <w:shd w:fill="F5F5F5" w:val="clear"/>
            <w:vAlign w:val="center"/>
          </w:tcPr>
          <w:p>
            <w:pPr>
              <w:spacing w:before="30" w:after="30"/>
            </w:pPr>
            <w:r>
              <w:rPr>
                <w:rFonts w:ascii="DM Sans" w:hAnsi="DM Sans" w:cs="DM Sans"/>
                <w:b w:val="0"/>
                <w:i w:val="0"/>
                <w:color w:val="050C2A"/>
                <w:sz w:val="20"/>
                <w:u w:val="none"/>
              </w:rPr>
              <w:t>Teamwork → Constructive Feedback; Professionalism → Feedback Reception</w:t>
            </w:r>
          </w:p>
        </w:tc>
      </w:tr>
      <w:tr>
        <w:tc>
          <w:tcPr>
            <w:tcW w:type="dxa" w:w="876"/>
            <w:vAlign w:val="center"/>
          </w:tcPr>
          <w:p>
            <w:pPr>
              <w:spacing w:before="30" w:after="30"/>
            </w:pPr>
            <w:r>
              <w:rPr>
                <w:rFonts w:ascii="DM Sans" w:hAnsi="DM Sans" w:cs="DM Sans"/>
                <w:b/>
                <w:i w:val="0"/>
                <w:color w:val="050C2A"/>
                <w:sz w:val="20"/>
                <w:u w:val="none"/>
              </w:rPr>
              <w:t>3</w:t>
            </w:r>
          </w:p>
        </w:tc>
        <w:tc>
          <w:tcPr>
            <w:tcW w:type="dxa" w:w="5156"/>
            <w:vAlign w:val="center"/>
          </w:tcPr>
          <w:p>
            <w:pPr>
              <w:spacing w:before="30" w:after="30"/>
            </w:pPr>
            <w:r>
              <w:rPr>
                <w:rFonts w:ascii="DM Sans" w:hAnsi="DM Sans" w:cs="DM Sans"/>
                <w:b w:val="0"/>
                <w:i w:val="0"/>
                <w:color w:val="050C2A"/>
                <w:sz w:val="20"/>
                <w:u w:val="none"/>
              </w:rPr>
              <w:t>Organize research notes into a structured outline and use that outline as the basis for drafting, applying a deliberate process that separates synthesis from production.</w:t>
            </w:r>
          </w:p>
        </w:tc>
        <w:tc>
          <w:tcPr>
            <w:tcW w:type="dxa" w:w="3328"/>
            <w:vAlign w:val="center"/>
          </w:tcPr>
          <w:p>
            <w:pPr>
              <w:spacing w:before="30" w:after="30"/>
            </w:pPr>
            <w:r>
              <w:rPr>
                <w:rFonts w:ascii="DM Sans" w:hAnsi="DM Sans" w:cs="DM Sans"/>
                <w:b w:val="0"/>
                <w:i w:val="0"/>
                <w:color w:val="050C2A"/>
                <w:sz w:val="20"/>
                <w:u w:val="none"/>
              </w:rPr>
              <w:t>Critical Thinking → Research &amp; Analysis; Communication → Written Clarity</w:t>
            </w:r>
          </w:p>
        </w:tc>
      </w:tr>
      <w:tr>
        <w:tc>
          <w:tcPr>
            <w:tcW w:type="dxa" w:w="876"/>
            <w:shd w:fill="F5F5F5" w:val="clear"/>
            <w:vAlign w:val="center"/>
          </w:tcPr>
          <w:p>
            <w:pPr>
              <w:spacing w:before="30" w:after="30"/>
            </w:pPr>
            <w:r>
              <w:rPr>
                <w:rFonts w:ascii="DM Sans" w:hAnsi="DM Sans" w:cs="DM Sans"/>
                <w:b/>
                <w:i w:val="0"/>
                <w:color w:val="050C2A"/>
                <w:sz w:val="20"/>
                <w:u w:val="none"/>
              </w:rPr>
              <w:t>4</w:t>
            </w:r>
          </w:p>
        </w:tc>
        <w:tc>
          <w:tcPr>
            <w:tcW w:type="dxa" w:w="5156"/>
            <w:shd w:fill="F5F5F5" w:val="clear"/>
            <w:vAlign w:val="center"/>
          </w:tcPr>
          <w:p>
            <w:pPr>
              <w:spacing w:before="30" w:after="30"/>
            </w:pPr>
            <w:r>
              <w:rPr>
                <w:rFonts w:ascii="DM Sans" w:hAnsi="DM Sans" w:cs="DM Sans"/>
                <w:b w:val="0"/>
                <w:i w:val="0"/>
                <w:color w:val="050C2A"/>
                <w:sz w:val="20"/>
                <w:u w:val="none"/>
              </w:rPr>
              <w:t>Compose a DEAL reflection that examines a specific experience from the Discovery phase, demonstrating increased depth in the Examine stage.</w:t>
            </w:r>
          </w:p>
        </w:tc>
        <w:tc>
          <w:tcPr>
            <w:tcW w:type="dxa" w:w="3328"/>
            <w:shd w:fill="F5F5F5" w:val="clear"/>
            <w:vAlign w:val="center"/>
          </w:tcPr>
          <w:p>
            <w:pPr>
              <w:spacing w:before="30" w:after="30"/>
            </w:pPr>
            <w:r>
              <w:rPr>
                <w:rFonts w:ascii="DM Sans" w:hAnsi="DM Sans" w:cs="DM Sans"/>
                <w:b w:val="0"/>
                <w:i w:val="0"/>
                <w:color w:val="050C2A"/>
                <w:sz w:val="20"/>
                <w:u w:val="none"/>
              </w:rPr>
              <w:t>Career &amp; Self-Development → Reflection</w:t>
            </w:r>
          </w:p>
        </w:tc>
      </w:tr>
    </w:tbl>
    <w:p>
      <w:pPr>
        <w:spacing w:before="0" w:after="120"/>
      </w:pPr>
    </w:p>
    <w:p>
      <w:pPr>
        <w:spacing w:before="280" w:after="100"/>
      </w:pPr>
      <w:r>
        <w:rPr>
          <w:rFonts w:ascii="DM Sans" w:hAnsi="DM Sans" w:cs="DM Sans"/>
          <w:b/>
          <w:i w:val="0"/>
          <w:color w:val="050C2A"/>
          <w:sz w:val="28"/>
          <w:u w:val="none"/>
        </w:rPr>
        <w:t>Weekly Activity Breakdown</w:t>
      </w:r>
    </w:p>
    <w:p>
      <w:pPr>
        <w:spacing w:before="0" w:after="120" w:line="276" w:lineRule="auto"/>
      </w:pPr>
      <w:r>
        <w:rPr>
          <w:rFonts w:ascii="DM Sans" w:hAnsi="DM Sans" w:cs="DM Sans"/>
          <w:b w:val="0"/>
          <w:i w:val="0"/>
          <w:color w:val="050C2A"/>
          <w:sz w:val="20"/>
          <w:u w:val="none"/>
        </w:rPr>
        <w:t>Week 6 marks the transition from planning to production. Students have completed the Direction Check, revised their project plan, and divided deliverable sections — now they have to actually write. The module content is sequenced as just-in-time instruction: three segments address the conditions students are about to encounter in production (working without certainty, moving from notes to draft, handling disagreement). DEAL was introduced in Week 1 and students have one reflection attempt behind them from Week 3, so Reflection #2 here is a second application of a familiar framework rather than a first encounter — it is sequenced at the end of the week so students draw from the fullest possible pool of experience before sitting down to write. The production block is deliberately front-loaded and sized generously because Week 7 will require significant time on Work-in-Progress preparation, leaving less time for independent drafting; students should take full advantage of the production space this week while it is available.</w:t>
      </w:r>
    </w:p>
    <w:tbl>
      <w:tblPr>
        <w:jc w:val="center"/>
        <w:tblLook w:firstColumn="1" w:firstRow="1" w:lastColumn="0" w:lastRow="0" w:noHBand="0" w:noVBand="1" w:val="04A0"/>
        <w:tblW w:type="dxa" w:w="9360"/>
        <w:tblLayout w:type="fixed"/>
        <w:tblBorders>
          <w:top w:val="single" w:sz="4" w:space="0" w:color="ACACAC"/>
          <w:left w:val="single" w:sz="4" w:space="0" w:color="ACACAC"/>
          <w:bottom w:val="single" w:sz="4" w:space="0" w:color="ACACAC"/>
          <w:right w:val="single" w:sz="4" w:space="0" w:color="ACACAC"/>
          <w:insideH w:val="single" w:sz="4" w:space="0" w:color="ACACAC"/>
          <w:insideV w:val="single" w:sz="4" w:space="0" w:color="ACACAC"/>
        </w:tblBorders>
      </w:tblPr>
      <w:tblGrid>
        <w:gridCol w:w="1560"/>
        <w:gridCol w:w="1560"/>
        <w:gridCol w:w="1560"/>
        <w:gridCol w:w="1560"/>
        <w:gridCol w:w="1560"/>
        <w:gridCol w:w="1560"/>
      </w:tblGrid>
      <w:tr>
        <w:tc>
          <w:tcPr>
            <w:tcW w:type="dxa" w:w="371"/>
            <w:shd w:fill="FF7C0A" w:val="clear"/>
            <w:vAlign w:val="center"/>
          </w:tcPr>
          <w:p>
            <w:pPr>
              <w:jc w:val="left"/>
              <w:spacing w:before="40" w:after="40"/>
            </w:pPr>
            <w:r>
              <w:rPr>
                <w:rFonts w:ascii="DM Sans" w:hAnsi="DM Sans" w:cs="DM Sans"/>
                <w:b/>
                <w:i w:val="0"/>
                <w:color w:val="FFFFFF"/>
                <w:sz w:val="20"/>
                <w:u w:val="none"/>
              </w:rPr>
              <w:t>#</w:t>
            </w:r>
          </w:p>
        </w:tc>
        <w:tc>
          <w:tcPr>
            <w:tcW w:type="dxa" w:w="928"/>
            <w:shd w:fill="FF7C0A" w:val="clear"/>
            <w:vAlign w:val="center"/>
          </w:tcPr>
          <w:p>
            <w:pPr>
              <w:jc w:val="left"/>
              <w:spacing w:before="40" w:after="40"/>
            </w:pPr>
            <w:r>
              <w:rPr>
                <w:rFonts w:ascii="DM Sans" w:hAnsi="DM Sans" w:cs="DM Sans"/>
                <w:b/>
                <w:i w:val="0"/>
                <w:color w:val="FFFFFF"/>
                <w:sz w:val="20"/>
                <w:u w:val="none"/>
              </w:rPr>
              <w:t>Category</w:t>
            </w:r>
          </w:p>
        </w:tc>
        <w:tc>
          <w:tcPr>
            <w:tcW w:type="dxa" w:w="1818"/>
            <w:shd w:fill="FF7C0A" w:val="clear"/>
            <w:vAlign w:val="center"/>
          </w:tcPr>
          <w:p>
            <w:pPr>
              <w:jc w:val="left"/>
              <w:spacing w:before="40" w:after="40"/>
            </w:pPr>
            <w:r>
              <w:rPr>
                <w:rFonts w:ascii="DM Sans" w:hAnsi="DM Sans" w:cs="DM Sans"/>
                <w:b/>
                <w:i w:val="0"/>
                <w:color w:val="FFFFFF"/>
                <w:sz w:val="20"/>
                <w:u w:val="none"/>
              </w:rPr>
              <w:t>Activity</w:t>
            </w:r>
          </w:p>
        </w:tc>
        <w:tc>
          <w:tcPr>
            <w:tcW w:type="dxa" w:w="491"/>
            <w:shd w:fill="FF7C0A" w:val="clear"/>
            <w:vAlign w:val="center"/>
          </w:tcPr>
          <w:p>
            <w:pPr>
              <w:jc w:val="left"/>
              <w:spacing w:before="40" w:after="40"/>
            </w:pPr>
            <w:r>
              <w:rPr>
                <w:rFonts w:ascii="DM Sans" w:hAnsi="DM Sans" w:cs="DM Sans"/>
                <w:b/>
                <w:i w:val="0"/>
                <w:color w:val="FFFFFF"/>
                <w:sz w:val="20"/>
                <w:u w:val="none"/>
              </w:rPr>
              <w:t>Format</w:t>
            </w:r>
          </w:p>
        </w:tc>
        <w:tc>
          <w:tcPr>
            <w:tcW w:type="dxa" w:w="946"/>
            <w:shd w:fill="FF7C0A" w:val="clear"/>
            <w:vAlign w:val="center"/>
          </w:tcPr>
          <w:p>
            <w:pPr>
              <w:jc w:val="left"/>
              <w:spacing w:before="40" w:after="40"/>
            </w:pPr>
            <w:r>
              <w:rPr>
                <w:rFonts w:ascii="DM Sans" w:hAnsi="DM Sans" w:cs="DM Sans"/>
                <w:b/>
                <w:i w:val="0"/>
                <w:color w:val="FFFFFF"/>
                <w:sz w:val="20"/>
                <w:u w:val="none"/>
              </w:rPr>
              <w:t>Min</w:t>
            </w:r>
          </w:p>
        </w:tc>
        <w:tc>
          <w:tcPr>
            <w:tcW w:type="dxa" w:w="4806"/>
            <w:shd w:fill="FF7C0A" w:val="clear"/>
            <w:vAlign w:val="center"/>
          </w:tcPr>
          <w:p>
            <w:pPr>
              <w:jc w:val="left"/>
              <w:spacing w:before="40" w:after="40"/>
            </w:pPr>
            <w:r>
              <w:rPr>
                <w:rFonts w:ascii="DM Sans" w:hAnsi="DM Sans" w:cs="DM Sans"/>
                <w:b/>
                <w:i w:val="0"/>
                <w:color w:val="FFFFFF"/>
                <w:sz w:val="20"/>
                <w:u w:val="none"/>
              </w:rPr>
              <w:t>Note</w:t>
            </w:r>
          </w:p>
        </w:tc>
      </w:tr>
      <w:tr>
        <w:tc>
          <w:tcPr>
            <w:tcW w:type="dxa" w:w="371"/>
            <w:vAlign w:val="center"/>
          </w:tcPr>
          <w:p>
            <w:pPr>
              <w:spacing w:before="30" w:after="30"/>
            </w:pPr>
            <w:r>
              <w:rPr>
                <w:rFonts w:ascii="DM Sans" w:hAnsi="DM Sans" w:cs="DM Sans"/>
                <w:b w:val="0"/>
                <w:i w:val="0"/>
                <w:color w:val="050C2A"/>
                <w:sz w:val="20"/>
                <w:u w:val="none"/>
              </w:rPr>
              <w:t>6.01</w:t>
            </w:r>
          </w:p>
        </w:tc>
        <w:tc>
          <w:tcPr>
            <w:tcW w:type="dxa" w:w="928"/>
            <w:vAlign w:val="center"/>
          </w:tcPr>
          <w:p>
            <w:pPr>
              <w:spacing w:before="30" w:after="30"/>
            </w:pPr>
            <w:r>
              <w:rPr>
                <w:rFonts w:ascii="DM Sans" w:hAnsi="DM Sans" w:cs="DM Sans"/>
                <w:b w:val="0"/>
                <w:i w:val="0"/>
                <w:color w:val="050C2A"/>
                <w:sz w:val="20"/>
                <w:u w:val="none"/>
              </w:rPr>
              <w:t>Course Orientation</w:t>
            </w:r>
          </w:p>
        </w:tc>
        <w:tc>
          <w:tcPr>
            <w:tcW w:type="dxa" w:w="1818"/>
            <w:vAlign w:val="center"/>
          </w:tcPr>
          <w:p>
            <w:pPr>
              <w:spacing w:before="30" w:after="30"/>
            </w:pPr>
            <w:r>
              <w:rPr>
                <w:rFonts w:ascii="DM Sans" w:hAnsi="DM Sans" w:cs="DM Sans"/>
                <w:b w:val="0"/>
                <w:i w:val="0"/>
                <w:color w:val="050C2A"/>
                <w:sz w:val="20"/>
                <w:u w:val="none"/>
              </w:rPr>
              <w:t>Week 6 Overview — objectives, what's happening this week, suggested order of completion</w:t>
            </w:r>
          </w:p>
        </w:tc>
        <w:tc>
          <w:tcPr>
            <w:tcW w:type="dxa" w:w="491"/>
            <w:vAlign w:val="center"/>
          </w:tcPr>
          <w:p>
            <w:pPr>
              <w:spacing w:before="30" w:after="30"/>
            </w:pPr>
            <w:r>
              <w:rPr>
                <w:rFonts w:ascii="DM Sans" w:hAnsi="DM Sans" w:cs="DM Sans"/>
                <w:b w:val="0"/>
                <w:i w:val="0"/>
                <w:color w:val="050C2A"/>
                <w:sz w:val="20"/>
                <w:u w:val="none"/>
              </w:rPr>
              <w:t>Module</w:t>
            </w:r>
          </w:p>
        </w:tc>
        <w:tc>
          <w:tcPr>
            <w:tcW w:type="dxa" w:w="946"/>
            <w:vAlign w:val="center"/>
          </w:tcPr>
          <w:p>
            <w:pPr>
              <w:spacing w:before="30" w:after="30"/>
            </w:pPr>
            <w:r>
              <w:rPr>
                <w:rFonts w:ascii="DM Sans" w:hAnsi="DM Sans" w:cs="DM Sans"/>
                <w:b w:val="0"/>
                <w:i w:val="0"/>
                <w:color w:val="050C2A"/>
                <w:sz w:val="20"/>
                <w:u w:val="none"/>
              </w:rPr>
              <w:t>5</w:t>
            </w:r>
          </w:p>
        </w:tc>
        <w:tc>
          <w:tcPr>
            <w:tcW w:type="dxa" w:w="4806"/>
            <w:vAlign w:val="center"/>
          </w:tcPr>
          <w:p>
            <w:pPr>
              <w:spacing w:before="30" w:after="30"/>
            </w:pPr>
            <w:r>
              <w:rPr>
                <w:rFonts w:ascii="DM Sans" w:hAnsi="DM Sans" w:cs="DM Sans"/>
                <w:b w:val="0"/>
                <w:i w:val="0"/>
                <w:color w:val="050C2A"/>
                <w:sz w:val="20"/>
                <w:u w:val="none"/>
              </w:rPr>
              <w:t>Names Reflection #1 as the anchor deliverable; orients students to the conceptual + production structure of the week</w:t>
            </w:r>
          </w:p>
        </w:tc>
      </w:tr>
      <w:tr>
        <w:tc>
          <w:tcPr>
            <w:tcW w:type="dxa" w:w="371"/>
            <w:shd w:fill="F5F5F5" w:val="clear"/>
            <w:vAlign w:val="center"/>
          </w:tcPr>
          <w:p>
            <w:pPr>
              <w:spacing w:before="30" w:after="30"/>
            </w:pPr>
            <w:r>
              <w:rPr>
                <w:rFonts w:ascii="DM Sans" w:hAnsi="DM Sans" w:cs="DM Sans"/>
                <w:b w:val="0"/>
                <w:i w:val="0"/>
                <w:color w:val="050C2A"/>
                <w:sz w:val="20"/>
                <w:u w:val="none"/>
              </w:rPr>
              <w:t>6.02</w:t>
            </w:r>
          </w:p>
        </w:tc>
        <w:tc>
          <w:tcPr>
            <w:tcW w:type="dxa" w:w="928"/>
            <w:shd w:fill="F5F5F5" w:val="clear"/>
            <w:vAlign w:val="center"/>
          </w:tcPr>
          <w:p>
            <w:pPr>
              <w:spacing w:before="30" w:after="30"/>
            </w:pPr>
            <w:r>
              <w:rPr>
                <w:rFonts w:ascii="DM Sans" w:hAnsi="DM Sans" w:cs="DM Sans"/>
                <w:b w:val="0"/>
                <w:i w:val="0"/>
                <w:color w:val="050C2A"/>
                <w:sz w:val="20"/>
                <w:u w:val="none"/>
              </w:rPr>
              <w:t>Professional Fundamentals</w:t>
            </w:r>
          </w:p>
        </w:tc>
        <w:tc>
          <w:tcPr>
            <w:tcW w:type="dxa" w:w="1818"/>
            <w:shd w:fill="F5F5F5" w:val="clear"/>
            <w:vAlign w:val="center"/>
          </w:tcPr>
          <w:p>
            <w:pPr>
              <w:spacing w:before="30" w:after="30"/>
            </w:pPr>
            <w:r>
              <w:rPr>
                <w:rFonts w:ascii="DM Sans" w:hAnsi="DM Sans" w:cs="DM Sans"/>
                <w:b w:val="0"/>
                <w:i w:val="0"/>
                <w:color w:val="050C2A"/>
                <w:sz w:val="20"/>
                <w:u w:val="none"/>
              </w:rPr>
              <w:t>Module: Making Progress Under Uncertainty</w:t>
            </w:r>
          </w:p>
        </w:tc>
        <w:tc>
          <w:tcPr>
            <w:tcW w:type="dxa" w:w="491"/>
            <w:shd w:fill="F5F5F5" w:val="clear"/>
            <w:vAlign w:val="center"/>
          </w:tcPr>
          <w:p>
            <w:pPr>
              <w:spacing w:before="30" w:after="30"/>
            </w:pPr>
            <w:r>
              <w:rPr>
                <w:rFonts w:ascii="DM Sans" w:hAnsi="DM Sans" w:cs="DM Sans"/>
                <w:b w:val="0"/>
                <w:i w:val="0"/>
                <w:color w:val="050C2A"/>
                <w:sz w:val="20"/>
                <w:u w:val="none"/>
              </w:rPr>
              <w:t>Module</w:t>
            </w:r>
          </w:p>
        </w:tc>
        <w:tc>
          <w:tcPr>
            <w:tcW w:type="dxa" w:w="946"/>
            <w:shd w:fill="F5F5F5" w:val="clear"/>
            <w:vAlign w:val="center"/>
          </w:tcPr>
          <w:p>
            <w:pPr>
              <w:spacing w:before="30" w:after="30"/>
            </w:pPr>
            <w:r>
              <w:rPr>
                <w:rFonts w:ascii="DM Sans" w:hAnsi="DM Sans" w:cs="DM Sans"/>
                <w:b w:val="0"/>
                <w:i w:val="0"/>
                <w:color w:val="050C2A"/>
                <w:sz w:val="20"/>
                <w:u w:val="none"/>
              </w:rPr>
              <w:t>20</w:t>
            </w:r>
          </w:p>
        </w:tc>
        <w:tc>
          <w:tcPr>
            <w:tcW w:type="dxa" w:w="4806"/>
            <w:shd w:fill="F5F5F5" w:val="clear"/>
            <w:vAlign w:val="center"/>
          </w:tcPr>
          <w:p>
            <w:pPr>
              <w:spacing w:before="30" w:after="30"/>
            </w:pPr>
            <w:r>
              <w:rPr>
                <w:rFonts w:ascii="DM Sans" w:hAnsi="DM Sans" w:cs="DM Sans"/>
                <w:b w:val="0"/>
                <w:i w:val="0"/>
                <w:color w:val="050C2A"/>
                <w:sz w:val="20"/>
                <w:u w:val="none"/>
              </w:rPr>
              <w:t>How to draft with incomplete information, when to keep researching vs. start writing, how to flag a blocker without stalling the team</w:t>
            </w:r>
          </w:p>
        </w:tc>
      </w:tr>
      <w:tr>
        <w:tc>
          <w:tcPr>
            <w:tcW w:type="dxa" w:w="371"/>
            <w:vAlign w:val="center"/>
          </w:tcPr>
          <w:p>
            <w:pPr>
              <w:spacing w:before="30" w:after="30"/>
            </w:pPr>
            <w:r>
              <w:rPr>
                <w:rFonts w:ascii="DM Sans" w:hAnsi="DM Sans" w:cs="DM Sans"/>
                <w:b w:val="0"/>
                <w:i w:val="0"/>
                <w:color w:val="050C2A"/>
                <w:sz w:val="20"/>
                <w:u w:val="none"/>
              </w:rPr>
              <w:t>6.03</w:t>
            </w:r>
          </w:p>
        </w:tc>
        <w:tc>
          <w:tcPr>
            <w:tcW w:type="dxa" w:w="928"/>
            <w:vAlign w:val="center"/>
          </w:tcPr>
          <w:p>
            <w:pPr>
              <w:spacing w:before="30" w:after="30"/>
            </w:pPr>
            <w:r>
              <w:rPr>
                <w:rFonts w:ascii="DM Sans" w:hAnsi="DM Sans" w:cs="DM Sans"/>
                <w:b w:val="0"/>
                <w:i w:val="0"/>
                <w:color w:val="050C2A"/>
                <w:sz w:val="20"/>
                <w:u w:val="none"/>
              </w:rPr>
              <w:t>Professional Fundamentals</w:t>
            </w:r>
          </w:p>
        </w:tc>
        <w:tc>
          <w:tcPr>
            <w:tcW w:type="dxa" w:w="1818"/>
            <w:vAlign w:val="center"/>
          </w:tcPr>
          <w:p>
            <w:pPr>
              <w:spacing w:before="30" w:after="30"/>
            </w:pPr>
            <w:r>
              <w:rPr>
                <w:rFonts w:ascii="DM Sans" w:hAnsi="DM Sans" w:cs="DM Sans"/>
                <w:b w:val="0"/>
                <w:i w:val="0"/>
                <w:color w:val="050C2A"/>
                <w:sz w:val="20"/>
                <w:u w:val="none"/>
              </w:rPr>
              <w:t>Module: From Research to Draft — Organizing Notes, Building Outlines, and Moving into Production</w:t>
            </w:r>
          </w:p>
        </w:tc>
        <w:tc>
          <w:tcPr>
            <w:tcW w:type="dxa" w:w="491"/>
            <w:vAlign w:val="center"/>
          </w:tcPr>
          <w:p>
            <w:pPr>
              <w:spacing w:before="30" w:after="30"/>
            </w:pPr>
            <w:r>
              <w:rPr>
                <w:rFonts w:ascii="DM Sans" w:hAnsi="DM Sans" w:cs="DM Sans"/>
                <w:b w:val="0"/>
                <w:i w:val="0"/>
                <w:color w:val="050C2A"/>
                <w:sz w:val="20"/>
                <w:u w:val="none"/>
              </w:rPr>
              <w:t>Module</w:t>
            </w:r>
          </w:p>
        </w:tc>
        <w:tc>
          <w:tcPr>
            <w:tcW w:type="dxa" w:w="946"/>
            <w:vAlign w:val="center"/>
          </w:tcPr>
          <w:p>
            <w:pPr>
              <w:spacing w:before="30" w:after="30"/>
            </w:pPr>
            <w:r>
              <w:rPr>
                <w:rFonts w:ascii="DM Sans" w:hAnsi="DM Sans" w:cs="DM Sans"/>
                <w:b w:val="0"/>
                <w:i w:val="0"/>
                <w:color w:val="050C2A"/>
                <w:sz w:val="20"/>
                <w:u w:val="none"/>
              </w:rPr>
              <w:t>20</w:t>
            </w:r>
          </w:p>
        </w:tc>
        <w:tc>
          <w:tcPr>
            <w:tcW w:type="dxa" w:w="4806"/>
            <w:vAlign w:val="center"/>
          </w:tcPr>
          <w:p>
            <w:pPr>
              <w:spacing w:before="30" w:after="30"/>
            </w:pPr>
            <w:r>
              <w:rPr>
                <w:rFonts w:ascii="DM Sans" w:hAnsi="DM Sans" w:cs="DM Sans"/>
                <w:b w:val="0"/>
                <w:i w:val="0"/>
                <w:color w:val="050C2A"/>
                <w:sz w:val="20"/>
                <w:u w:val="none"/>
              </w:rPr>
              <w:t>How to cluster and synthesize raw research notes into an organized outline; how to evaluate whether an outline is ready to draft from; how to move from outline to prose without freezing; AI use cases for this process including organizing notes, stress-testing outline structure, and identifying gaps before drafting begins</w:t>
            </w:r>
          </w:p>
        </w:tc>
      </w:tr>
      <w:tr>
        <w:tc>
          <w:tcPr>
            <w:tcW w:type="dxa" w:w="371"/>
            <w:shd w:fill="F5F5F5" w:val="clear"/>
            <w:vAlign w:val="center"/>
          </w:tcPr>
          <w:p>
            <w:pPr>
              <w:spacing w:before="30" w:after="30"/>
            </w:pPr>
            <w:r>
              <w:rPr>
                <w:rFonts w:ascii="DM Sans" w:hAnsi="DM Sans" w:cs="DM Sans"/>
                <w:b w:val="0"/>
                <w:i w:val="0"/>
                <w:color w:val="050C2A"/>
                <w:sz w:val="20"/>
                <w:u w:val="none"/>
              </w:rPr>
              <w:t>6.04</w:t>
            </w:r>
          </w:p>
        </w:tc>
        <w:tc>
          <w:tcPr>
            <w:tcW w:type="dxa" w:w="928"/>
            <w:shd w:fill="F5F5F5" w:val="clear"/>
            <w:vAlign w:val="center"/>
          </w:tcPr>
          <w:p>
            <w:pPr>
              <w:spacing w:before="30" w:after="30"/>
            </w:pPr>
            <w:r>
              <w:rPr>
                <w:rFonts w:ascii="DM Sans" w:hAnsi="DM Sans" w:cs="DM Sans"/>
                <w:b w:val="0"/>
                <w:i w:val="0"/>
                <w:color w:val="050C2A"/>
                <w:sz w:val="20"/>
                <w:u w:val="none"/>
              </w:rPr>
              <w:t>Professional Fundamentals</w:t>
            </w:r>
          </w:p>
        </w:tc>
        <w:tc>
          <w:tcPr>
            <w:tcW w:type="dxa" w:w="1818"/>
            <w:shd w:fill="F5F5F5" w:val="clear"/>
            <w:vAlign w:val="center"/>
          </w:tcPr>
          <w:p>
            <w:pPr>
              <w:spacing w:before="30" w:after="30"/>
            </w:pPr>
            <w:r>
              <w:rPr>
                <w:rFonts w:ascii="DM Sans" w:hAnsi="DM Sans" w:cs="DM Sans"/>
                <w:b w:val="0"/>
                <w:i w:val="0"/>
                <w:color w:val="050C2A"/>
                <w:sz w:val="20"/>
                <w:u w:val="none"/>
              </w:rPr>
              <w:t>Module: Navigating Disagreement with Teammates and Clients</w:t>
            </w:r>
          </w:p>
        </w:tc>
        <w:tc>
          <w:tcPr>
            <w:tcW w:type="dxa" w:w="491"/>
            <w:shd w:fill="F5F5F5" w:val="clear"/>
            <w:vAlign w:val="center"/>
          </w:tcPr>
          <w:p>
            <w:pPr>
              <w:spacing w:before="30" w:after="30"/>
            </w:pPr>
            <w:r>
              <w:rPr>
                <w:rFonts w:ascii="DM Sans" w:hAnsi="DM Sans" w:cs="DM Sans"/>
                <w:b w:val="0"/>
                <w:i w:val="0"/>
                <w:color w:val="050C2A"/>
                <w:sz w:val="20"/>
                <w:u w:val="none"/>
              </w:rPr>
              <w:t>Module</w:t>
            </w:r>
          </w:p>
        </w:tc>
        <w:tc>
          <w:tcPr>
            <w:tcW w:type="dxa" w:w="946"/>
            <w:shd w:fill="F5F5F5" w:val="clear"/>
            <w:vAlign w:val="center"/>
          </w:tcPr>
          <w:p>
            <w:pPr>
              <w:spacing w:before="30" w:after="30"/>
            </w:pPr>
            <w:r>
              <w:rPr>
                <w:rFonts w:ascii="DM Sans" w:hAnsi="DM Sans" w:cs="DM Sans"/>
                <w:b w:val="0"/>
                <w:i w:val="0"/>
                <w:color w:val="050C2A"/>
                <w:sz w:val="20"/>
                <w:u w:val="none"/>
              </w:rPr>
              <w:t>20</w:t>
            </w:r>
          </w:p>
        </w:tc>
        <w:tc>
          <w:tcPr>
            <w:tcW w:type="dxa" w:w="4806"/>
            <w:shd w:fill="F5F5F5" w:val="clear"/>
            <w:vAlign w:val="center"/>
          </w:tcPr>
          <w:p>
            <w:pPr>
              <w:spacing w:before="30" w:after="30"/>
            </w:pPr>
            <w:r>
              <w:rPr>
                <w:rFonts w:ascii="DM Sans" w:hAnsi="DM Sans" w:cs="DM Sans"/>
                <w:b w:val="0"/>
                <w:i w:val="0"/>
                <w:color w:val="050C2A"/>
                <w:sz w:val="20"/>
                <w:u w:val="none"/>
              </w:rPr>
              <w:t>Disagreeing productively during production; when to defer to employer direction vs. push back gracefully; connects to Direction Check feedback students just received</w:t>
            </w:r>
          </w:p>
        </w:tc>
      </w:tr>
      <w:tr>
        <w:tc>
          <w:tcPr>
            <w:tcW w:type="dxa" w:w="371"/>
            <w:vAlign w:val="center"/>
          </w:tcPr>
          <w:p>
            <w:pPr>
              <w:spacing w:before="30" w:after="30"/>
            </w:pPr>
            <w:r>
              <w:rPr>
                <w:rFonts w:ascii="DM Sans" w:hAnsi="DM Sans" w:cs="DM Sans"/>
                <w:b w:val="0"/>
                <w:i w:val="0"/>
                <w:color w:val="050C2A"/>
                <w:sz w:val="20"/>
                <w:u w:val="none"/>
              </w:rPr>
              <w:t>6.05</w:t>
            </w:r>
          </w:p>
        </w:tc>
        <w:tc>
          <w:tcPr>
            <w:tcW w:type="dxa" w:w="928"/>
            <w:vAlign w:val="center"/>
          </w:tcPr>
          <w:p>
            <w:pPr>
              <w:spacing w:before="30" w:after="30"/>
            </w:pPr>
            <w:r>
              <w:rPr>
                <w:rFonts w:ascii="DM Sans" w:hAnsi="DM Sans" w:cs="DM Sans"/>
                <w:b w:val="0"/>
                <w:i w:val="0"/>
                <w:color w:val="050C2A"/>
                <w:sz w:val="20"/>
                <w:u w:val="none"/>
              </w:rPr>
              <w:t>Professional Fundamentals</w:t>
            </w:r>
          </w:p>
        </w:tc>
        <w:tc>
          <w:tcPr>
            <w:tcW w:type="dxa" w:w="1818"/>
            <w:vAlign w:val="center"/>
          </w:tcPr>
          <w:p>
            <w:pPr>
              <w:spacing w:before="30" w:after="30"/>
            </w:pPr>
            <w:r>
              <w:rPr>
                <w:rFonts w:ascii="DM Sans" w:hAnsi="DM Sans" w:cs="DM Sans"/>
                <w:b w:val="0"/>
                <w:i w:val="0"/>
                <w:color w:val="050C2A"/>
                <w:sz w:val="20"/>
                <w:u w:val="none"/>
              </w:rPr>
              <w:t>Module: Formatting Professional Documents</w:t>
            </w:r>
          </w:p>
        </w:tc>
        <w:tc>
          <w:tcPr>
            <w:tcW w:type="dxa" w:w="491"/>
            <w:vAlign w:val="center"/>
          </w:tcPr>
          <w:p>
            <w:pPr>
              <w:spacing w:before="30" w:after="30"/>
            </w:pPr>
            <w:r>
              <w:rPr>
                <w:rFonts w:ascii="DM Sans" w:hAnsi="DM Sans" w:cs="DM Sans"/>
                <w:b w:val="0"/>
                <w:i w:val="0"/>
                <w:color w:val="050C2A"/>
                <w:sz w:val="20"/>
                <w:u w:val="none"/>
              </w:rPr>
              <w:t>Module</w:t>
            </w:r>
          </w:p>
        </w:tc>
        <w:tc>
          <w:tcPr>
            <w:tcW w:type="dxa" w:w="946"/>
            <w:vAlign w:val="center"/>
          </w:tcPr>
          <w:p>
            <w:pPr>
              <w:spacing w:before="30" w:after="30"/>
            </w:pPr>
            <w:r>
              <w:rPr>
                <w:rFonts w:ascii="DM Sans" w:hAnsi="DM Sans" w:cs="DM Sans"/>
                <w:b w:val="0"/>
                <w:i w:val="0"/>
                <w:color w:val="050C2A"/>
                <w:sz w:val="20"/>
                <w:u w:val="none"/>
              </w:rPr>
              <w:t>15</w:t>
            </w:r>
          </w:p>
        </w:tc>
        <w:tc>
          <w:tcPr>
            <w:tcW w:type="dxa" w:w="4806"/>
            <w:vAlign w:val="center"/>
          </w:tcPr>
          <w:p>
            <w:pPr>
              <w:spacing w:before="30" w:after="30"/>
            </w:pPr>
            <w:r>
              <w:rPr>
                <w:rFonts w:ascii="DM Sans" w:hAnsi="DM Sans" w:cs="DM Sans"/>
                <w:b w:val="0"/>
                <w:i w:val="0"/>
                <w:color w:val="050C2A"/>
                <w:sz w:val="20"/>
                <w:u w:val="none"/>
              </w:rPr>
              <w:t>Practical standards for professional document presentation: visual hierarchy, formatting consistency across team-authored sections, headings and white space, consistent terminology and style, basic visual elements (tables, charts, callouts); taught at the start of the first substantive production week so students build good habits from the beginning rather than retroactively fixing formatting in Week 11; the internal review gate (introduced Week 9) will catch formatting issues, but this module prevents the worst habits from forming; connects to the Deliverable Quality dimension on the Final Deliverables rubric (30% of grade) and the Communication dimension (15%)</w:t>
            </w:r>
          </w:p>
        </w:tc>
      </w:tr>
      <w:tr>
        <w:tc>
          <w:tcPr>
            <w:tcW w:type="dxa" w:w="371"/>
            <w:shd w:fill="F5F5F5" w:val="clear"/>
            <w:vAlign w:val="center"/>
          </w:tcPr>
          <w:p>
            <w:pPr>
              <w:spacing w:before="30" w:after="30"/>
            </w:pPr>
            <w:r>
              <w:rPr>
                <w:rFonts w:ascii="DM Sans" w:hAnsi="DM Sans" w:cs="DM Sans"/>
                <w:b w:val="0"/>
                <w:i w:val="0"/>
                <w:color w:val="050C2A"/>
                <w:sz w:val="20"/>
                <w:u w:val="none"/>
              </w:rPr>
              <w:t>6.06</w:t>
            </w:r>
          </w:p>
        </w:tc>
        <w:tc>
          <w:tcPr>
            <w:tcW w:type="dxa" w:w="928"/>
            <w:shd w:fill="F5F5F5" w:val="clear"/>
            <w:vAlign w:val="center"/>
          </w:tcPr>
          <w:p>
            <w:pPr>
              <w:spacing w:before="30" w:after="30"/>
            </w:pPr>
            <w:r>
              <w:rPr>
                <w:rFonts w:ascii="DM Sans" w:hAnsi="DM Sans" w:cs="DM Sans"/>
                <w:b w:val="0"/>
                <w:i w:val="0"/>
                <w:color w:val="050C2A"/>
                <w:sz w:val="20"/>
                <w:u w:val="none"/>
              </w:rPr>
              <w:t>Project Work</w:t>
            </w:r>
          </w:p>
        </w:tc>
        <w:tc>
          <w:tcPr>
            <w:tcW w:type="dxa" w:w="1818"/>
            <w:shd w:fill="F5F5F5" w:val="clear"/>
            <w:vAlign w:val="center"/>
          </w:tcPr>
          <w:p>
            <w:pPr>
              <w:spacing w:before="30" w:after="30"/>
            </w:pPr>
            <w:r>
              <w:rPr>
                <w:rFonts w:ascii="DM Sans" w:hAnsi="DM Sans" w:cs="DM Sans"/>
                <w:b w:val="0"/>
                <w:i w:val="0"/>
                <w:color w:val="050C2A"/>
                <w:sz w:val="20"/>
                <w:u w:val="none"/>
              </w:rPr>
              <w:t>Independent research to fill project knowledge gaps</w:t>
            </w:r>
          </w:p>
        </w:tc>
        <w:tc>
          <w:tcPr>
            <w:tcW w:type="dxa" w:w="491"/>
            <w:shd w:fill="F5F5F5" w:val="clear"/>
            <w:vAlign w:val="center"/>
          </w:tcPr>
          <w:p>
            <w:pPr>
              <w:spacing w:before="30" w:after="30"/>
            </w:pPr>
            <w:r>
              <w:rPr>
                <w:rFonts w:ascii="DM Sans" w:hAnsi="DM Sans" w:cs="DM Sans"/>
                <w:b w:val="0"/>
                <w:i w:val="0"/>
                <w:color w:val="050C2A"/>
                <w:sz w:val="20"/>
                <w:u w:val="none"/>
              </w:rPr>
              <w:t>Project</w:t>
            </w:r>
          </w:p>
        </w:tc>
        <w:tc>
          <w:tcPr>
            <w:tcW w:type="dxa" w:w="946"/>
            <w:shd w:fill="F5F5F5" w:val="clear"/>
            <w:vAlign w:val="center"/>
          </w:tcPr>
          <w:p>
            <w:pPr>
              <w:spacing w:before="30" w:after="30"/>
            </w:pPr>
            <w:r>
              <w:rPr>
                <w:rFonts w:ascii="DM Sans" w:hAnsi="DM Sans" w:cs="DM Sans"/>
                <w:b w:val="0"/>
                <w:i w:val="0"/>
                <w:color w:val="050C2A"/>
                <w:sz w:val="20"/>
                <w:u w:val="none"/>
              </w:rPr>
              <w:t>60</w:t>
            </w:r>
          </w:p>
        </w:tc>
        <w:tc>
          <w:tcPr>
            <w:tcW w:type="dxa" w:w="4806"/>
            <w:shd w:fill="F5F5F5" w:val="clear"/>
            <w:vAlign w:val="center"/>
          </w:tcPr>
          <w:p>
            <w:pPr>
              <w:spacing w:before="30" w:after="30"/>
            </w:pPr>
            <w:r>
              <w:rPr>
                <w:rFonts w:ascii="DM Sans" w:hAnsi="DM Sans" w:cs="DM Sans"/>
                <w:b w:val="0"/>
                <w:i w:val="0"/>
                <w:color w:val="050C2A"/>
                <w:sz w:val="20"/>
                <w:u w:val="none"/>
              </w:rPr>
              <w:t>Self-directed research to address gaps surfaced during deliverable structure work in Week 5</w:t>
            </w:r>
          </w:p>
        </w:tc>
      </w:tr>
      <w:tr>
        <w:tc>
          <w:tcPr>
            <w:tcW w:type="dxa" w:w="371"/>
            <w:vAlign w:val="center"/>
          </w:tcPr>
          <w:p>
            <w:pPr>
              <w:spacing w:before="30" w:after="30"/>
            </w:pPr>
            <w:r>
              <w:rPr>
                <w:rFonts w:ascii="DM Sans" w:hAnsi="DM Sans" w:cs="DM Sans"/>
                <w:b w:val="0"/>
                <w:i w:val="0"/>
                <w:color w:val="050C2A"/>
                <w:sz w:val="20"/>
                <w:u w:val="none"/>
              </w:rPr>
              <w:t>6.07</w:t>
            </w:r>
          </w:p>
        </w:tc>
        <w:tc>
          <w:tcPr>
            <w:tcW w:type="dxa" w:w="928"/>
            <w:vAlign w:val="center"/>
          </w:tcPr>
          <w:p>
            <w:pPr>
              <w:spacing w:before="30" w:after="30"/>
            </w:pPr>
            <w:r>
              <w:rPr>
                <w:rFonts w:ascii="DM Sans" w:hAnsi="DM Sans" w:cs="DM Sans"/>
                <w:b w:val="0"/>
                <w:i w:val="0"/>
                <w:color w:val="050C2A"/>
                <w:sz w:val="20"/>
                <w:u w:val="none"/>
              </w:rPr>
              <w:t>Project Work</w:t>
            </w:r>
          </w:p>
        </w:tc>
        <w:tc>
          <w:tcPr>
            <w:tcW w:type="dxa" w:w="1818"/>
            <w:vAlign w:val="center"/>
          </w:tcPr>
          <w:p>
            <w:pPr>
              <w:spacing w:before="30" w:after="30"/>
            </w:pPr>
            <w:r>
              <w:rPr>
                <w:rFonts w:ascii="DM Sans" w:hAnsi="DM Sans" w:cs="DM Sans"/>
                <w:b w:val="0"/>
                <w:i w:val="0"/>
                <w:color w:val="050C2A"/>
                <w:sz w:val="20"/>
                <w:u w:val="none"/>
              </w:rPr>
              <w:t>Project work — research, drafting, outlining, and section development</w:t>
            </w:r>
          </w:p>
        </w:tc>
        <w:tc>
          <w:tcPr>
            <w:tcW w:type="dxa" w:w="491"/>
            <w:vAlign w:val="center"/>
          </w:tcPr>
          <w:p>
            <w:pPr>
              <w:spacing w:before="30" w:after="30"/>
            </w:pPr>
            <w:r>
              <w:rPr>
                <w:rFonts w:ascii="DM Sans" w:hAnsi="DM Sans" w:cs="DM Sans"/>
                <w:b w:val="0"/>
                <w:i w:val="0"/>
                <w:color w:val="050C2A"/>
                <w:sz w:val="20"/>
                <w:u w:val="none"/>
              </w:rPr>
              <w:t>Project</w:t>
            </w:r>
          </w:p>
        </w:tc>
        <w:tc>
          <w:tcPr>
            <w:tcW w:type="dxa" w:w="946"/>
            <w:vAlign w:val="center"/>
          </w:tcPr>
          <w:p>
            <w:pPr>
              <w:spacing w:before="30" w:after="30"/>
            </w:pPr>
            <w:r>
              <w:rPr>
                <w:rFonts w:ascii="DM Sans" w:hAnsi="DM Sans" w:cs="DM Sans"/>
                <w:b w:val="0"/>
                <w:i w:val="0"/>
                <w:color w:val="050C2A"/>
                <w:sz w:val="20"/>
                <w:u w:val="none"/>
              </w:rPr>
              <w:t>210</w:t>
            </w:r>
          </w:p>
        </w:tc>
        <w:tc>
          <w:tcPr>
            <w:tcW w:type="dxa" w:w="4806"/>
            <w:vAlign w:val="center"/>
          </w:tcPr>
          <w:p>
            <w:pPr>
              <w:spacing w:before="30" w:after="30"/>
            </w:pPr>
            <w:r>
              <w:rPr>
                <w:rFonts w:ascii="DM Sans" w:hAnsi="DM Sans" w:cs="DM Sans"/>
                <w:b w:val="0"/>
                <w:i w:val="0"/>
                <w:color w:val="050C2A"/>
                <w:sz w:val="20"/>
                <w:u w:val="none"/>
              </w:rPr>
              <w:t>First substantive production week; students work on their assigned deliverable sections; may include continued research, outlining, note-taking, and drafting depending on project type and individual assignment; front-loaded to take advantage of available time before Week 7 WIP presentation prep</w:t>
            </w:r>
          </w:p>
        </w:tc>
      </w:tr>
      <w:tr>
        <w:tc>
          <w:tcPr>
            <w:tcW w:type="dxa" w:w="371"/>
            <w:shd w:fill="F5F5F5" w:val="clear"/>
            <w:vAlign w:val="center"/>
          </w:tcPr>
          <w:p>
            <w:pPr>
              <w:spacing w:before="30" w:after="30"/>
            </w:pPr>
            <w:r>
              <w:rPr>
                <w:rFonts w:ascii="DM Sans" w:hAnsi="DM Sans" w:cs="DM Sans"/>
                <w:b w:val="0"/>
                <w:i w:val="0"/>
                <w:color w:val="050C2A"/>
                <w:sz w:val="20"/>
                <w:u w:val="none"/>
              </w:rPr>
              <w:t>6.08</w:t>
            </w:r>
          </w:p>
        </w:tc>
        <w:tc>
          <w:tcPr>
            <w:tcW w:type="dxa" w:w="928"/>
            <w:shd w:fill="F5F5F5" w:val="clear"/>
            <w:vAlign w:val="center"/>
          </w:tcPr>
          <w:p>
            <w:pPr>
              <w:spacing w:before="30" w:after="30"/>
            </w:pPr>
            <w:r>
              <w:rPr>
                <w:rFonts w:ascii="DM Sans" w:hAnsi="DM Sans" w:cs="DM Sans"/>
                <w:b w:val="0"/>
                <w:i w:val="0"/>
                <w:color w:val="050C2A"/>
                <w:sz w:val="20"/>
                <w:u w:val="none"/>
              </w:rPr>
              <w:t>Project Work</w:t>
            </w:r>
          </w:p>
        </w:tc>
        <w:tc>
          <w:tcPr>
            <w:tcW w:type="dxa" w:w="1818"/>
            <w:shd w:fill="F5F5F5" w:val="clear"/>
            <w:vAlign w:val="center"/>
          </w:tcPr>
          <w:p>
            <w:pPr>
              <w:spacing w:before="30" w:after="30"/>
            </w:pPr>
            <w:r>
              <w:rPr>
                <w:rFonts w:ascii="DM Sans" w:hAnsi="DM Sans" w:cs="DM Sans"/>
                <w:b w:val="0"/>
                <w:i w:val="0"/>
                <w:color w:val="050C2A"/>
                <w:sz w:val="20"/>
                <w:u w:val="none"/>
              </w:rPr>
              <w:t>Team sync — drafting check-in, surface blockers, align on progress</w:t>
            </w:r>
          </w:p>
        </w:tc>
        <w:tc>
          <w:tcPr>
            <w:tcW w:type="dxa" w:w="491"/>
            <w:shd w:fill="F5F5F5" w:val="clear"/>
            <w:vAlign w:val="center"/>
          </w:tcPr>
          <w:p>
            <w:pPr>
              <w:spacing w:before="30" w:after="30"/>
            </w:pPr>
            <w:r>
              <w:rPr>
                <w:rFonts w:ascii="DM Sans" w:hAnsi="DM Sans" w:cs="DM Sans"/>
                <w:b w:val="0"/>
                <w:i w:val="0"/>
                <w:color w:val="050C2A"/>
                <w:sz w:val="20"/>
                <w:u w:val="none"/>
              </w:rPr>
              <w:t>Project</w:t>
            </w:r>
          </w:p>
        </w:tc>
        <w:tc>
          <w:tcPr>
            <w:tcW w:type="dxa" w:w="946"/>
            <w:shd w:fill="F5F5F5" w:val="clear"/>
            <w:vAlign w:val="center"/>
          </w:tcPr>
          <w:p>
            <w:pPr>
              <w:spacing w:before="30" w:after="30"/>
            </w:pPr>
            <w:r>
              <w:rPr>
                <w:rFonts w:ascii="DM Sans" w:hAnsi="DM Sans" w:cs="DM Sans"/>
                <w:b w:val="0"/>
                <w:i w:val="0"/>
                <w:color w:val="050C2A"/>
                <w:sz w:val="20"/>
                <w:u w:val="none"/>
              </w:rPr>
              <w:t>60</w:t>
            </w:r>
          </w:p>
        </w:tc>
        <w:tc>
          <w:tcPr>
            <w:tcW w:type="dxa" w:w="4806"/>
            <w:shd w:fill="F5F5F5" w:val="clear"/>
            <w:vAlign w:val="center"/>
          </w:tcPr>
          <w:p>
            <w:pPr>
              <w:spacing w:before="30" w:after="30"/>
            </w:pPr>
            <w:r>
              <w:rPr>
                <w:rFonts w:ascii="DM Sans" w:hAnsi="DM Sans" w:cs="DM Sans"/>
                <w:b w:val="0"/>
                <w:i w:val="0"/>
                <w:color w:val="050C2A"/>
                <w:sz w:val="20"/>
                <w:u w:val="none"/>
              </w:rPr>
              <w:t>Internal sync; no employer touchpoint this week; longer than a check-in to accommodate first production week coordination</w:t>
            </w:r>
          </w:p>
        </w:tc>
      </w:tr>
      <w:tr>
        <w:tc>
          <w:tcPr>
            <w:tcW w:type="dxa" w:w="371"/>
            <w:vAlign w:val="center"/>
          </w:tcPr>
          <w:p>
            <w:pPr>
              <w:spacing w:before="30" w:after="30"/>
            </w:pPr>
            <w:r>
              <w:rPr>
                <w:rFonts w:ascii="DM Sans" w:hAnsi="DM Sans" w:cs="DM Sans"/>
                <w:b w:val="0"/>
                <w:i w:val="0"/>
                <w:color w:val="050C2A"/>
                <w:sz w:val="20"/>
                <w:u w:val="none"/>
              </w:rPr>
              <w:t>6.09</w:t>
            </w:r>
          </w:p>
        </w:tc>
        <w:tc>
          <w:tcPr>
            <w:tcW w:type="dxa" w:w="928"/>
            <w:vAlign w:val="center"/>
          </w:tcPr>
          <w:p>
            <w:pPr>
              <w:spacing w:before="30" w:after="30"/>
            </w:pPr>
            <w:r>
              <w:rPr>
                <w:rFonts w:ascii="DM Sans" w:hAnsi="DM Sans" w:cs="DM Sans"/>
                <w:b w:val="0"/>
                <w:i w:val="0"/>
                <w:color w:val="050C2A"/>
                <w:sz w:val="20"/>
                <w:u w:val="none"/>
              </w:rPr>
              <w:t>Project Work</w:t>
            </w:r>
          </w:p>
        </w:tc>
        <w:tc>
          <w:tcPr>
            <w:tcW w:type="dxa" w:w="1818"/>
            <w:vAlign w:val="center"/>
          </w:tcPr>
          <w:p>
            <w:pPr>
              <w:spacing w:before="30" w:after="30"/>
            </w:pPr>
            <w:r>
              <w:rPr>
                <w:rFonts w:ascii="DM Sans" w:hAnsi="DM Sans" w:cs="DM Sans"/>
                <w:b w:val="0"/>
                <w:i w:val="0"/>
                <w:color w:val="050C2A"/>
                <w:sz w:val="20"/>
                <w:u w:val="none"/>
              </w:rPr>
              <w:t>Async team communication across the week</w:t>
            </w:r>
          </w:p>
        </w:tc>
        <w:tc>
          <w:tcPr>
            <w:tcW w:type="dxa" w:w="491"/>
            <w:vAlign w:val="center"/>
          </w:tcPr>
          <w:p>
            <w:pPr>
              <w:spacing w:before="30" w:after="30"/>
            </w:pPr>
            <w:r>
              <w:rPr>
                <w:rFonts w:ascii="DM Sans" w:hAnsi="DM Sans" w:cs="DM Sans"/>
                <w:b w:val="0"/>
                <w:i w:val="0"/>
                <w:color w:val="050C2A"/>
                <w:sz w:val="20"/>
                <w:u w:val="none"/>
              </w:rPr>
              <w:t>Project</w:t>
            </w:r>
          </w:p>
        </w:tc>
        <w:tc>
          <w:tcPr>
            <w:tcW w:type="dxa" w:w="946"/>
            <w:vAlign w:val="center"/>
          </w:tcPr>
          <w:p>
            <w:pPr>
              <w:spacing w:before="30" w:after="30"/>
            </w:pPr>
            <w:r>
              <w:rPr>
                <w:rFonts w:ascii="DM Sans" w:hAnsi="DM Sans" w:cs="DM Sans"/>
                <w:b w:val="0"/>
                <w:i w:val="0"/>
                <w:color w:val="050C2A"/>
                <w:sz w:val="20"/>
                <w:u w:val="none"/>
              </w:rPr>
              <w:t>45</w:t>
            </w:r>
          </w:p>
        </w:tc>
        <w:tc>
          <w:tcPr>
            <w:tcW w:type="dxa" w:w="4806"/>
            <w:vAlign w:val="center"/>
          </w:tcPr>
          <w:p>
            <w:pPr>
              <w:spacing w:before="30" w:after="30"/>
            </w:pPr>
            <w:r>
              <w:rPr>
                <w:rFonts w:ascii="DM Sans" w:hAnsi="DM Sans" w:cs="DM Sans"/>
                <w:b w:val="0"/>
                <w:i w:val="0"/>
                <w:color w:val="050C2A"/>
                <w:sz w:val="20"/>
                <w:u w:val="none"/>
              </w:rPr>
              <w:t>Coordination, logistics, check-ins outside structured activities; contribution record relevant to Peer Evaluation #1 in Week 8</w:t>
            </w:r>
          </w:p>
        </w:tc>
      </w:tr>
      <w:tr>
        <w:tc>
          <w:tcPr>
            <w:tcW w:type="dxa" w:w="371"/>
            <w:shd w:fill="F5F5F5" w:val="clear"/>
            <w:vAlign w:val="center"/>
          </w:tcPr>
          <w:p>
            <w:pPr>
              <w:spacing w:before="30" w:after="30"/>
            </w:pPr>
            <w:r>
              <w:rPr>
                <w:rFonts w:ascii="DM Sans" w:hAnsi="DM Sans" w:cs="DM Sans"/>
                <w:b w:val="0"/>
                <w:i w:val="0"/>
                <w:color w:val="050C2A"/>
                <w:sz w:val="20"/>
                <w:u w:val="none"/>
              </w:rPr>
              <w:t>6.10</w:t>
            </w:r>
          </w:p>
        </w:tc>
        <w:tc>
          <w:tcPr>
            <w:tcW w:type="dxa" w:w="928"/>
            <w:shd w:fill="F5F5F5" w:val="clear"/>
            <w:vAlign w:val="center"/>
          </w:tcPr>
          <w:p>
            <w:pPr>
              <w:spacing w:before="30" w:after="30"/>
            </w:pPr>
            <w:r>
              <w:rPr>
                <w:rFonts w:ascii="DM Sans" w:hAnsi="DM Sans" w:cs="DM Sans"/>
                <w:b w:val="0"/>
                <w:i w:val="0"/>
                <w:color w:val="050C2A"/>
                <w:sz w:val="20"/>
                <w:u w:val="none"/>
              </w:rPr>
              <w:t>Reflection &amp; Assessment</w:t>
            </w:r>
          </w:p>
        </w:tc>
        <w:tc>
          <w:tcPr>
            <w:tcW w:type="dxa" w:w="1818"/>
            <w:shd w:fill="F5F5F5" w:val="clear"/>
            <w:vAlign w:val="center"/>
          </w:tcPr>
          <w:p>
            <w:pPr>
              <w:spacing w:before="30" w:after="30"/>
            </w:pPr>
            <w:r>
              <w:rPr>
                <w:rFonts w:ascii="DM Sans" w:hAnsi="DM Sans" w:cs="DM Sans"/>
                <w:b w:val="0"/>
                <w:i w:val="0"/>
                <w:color w:val="050C2A"/>
                <w:sz w:val="20"/>
                <w:u w:val="none"/>
              </w:rPr>
              <w:t>Reflection #2 — draft and submit (DEAL model)</w:t>
            </w:r>
          </w:p>
        </w:tc>
        <w:tc>
          <w:tcPr>
            <w:tcW w:type="dxa" w:w="491"/>
            <w:shd w:fill="F5F5F5" w:val="clear"/>
            <w:vAlign w:val="center"/>
          </w:tcPr>
          <w:p>
            <w:pPr>
              <w:spacing w:before="30" w:after="30"/>
            </w:pPr>
            <w:r>
              <w:rPr>
                <w:rFonts w:ascii="DM Sans" w:hAnsi="DM Sans" w:cs="DM Sans"/>
                <w:b w:val="0"/>
                <w:i w:val="0"/>
                <w:color w:val="050C2A"/>
                <w:sz w:val="20"/>
                <w:u w:val="none"/>
              </w:rPr>
              <w:t>Project</w:t>
            </w:r>
          </w:p>
        </w:tc>
        <w:tc>
          <w:tcPr>
            <w:tcW w:type="dxa" w:w="946"/>
            <w:shd w:fill="F5F5F5" w:val="clear"/>
            <w:vAlign w:val="center"/>
          </w:tcPr>
          <w:p>
            <w:pPr>
              <w:spacing w:before="30" w:after="30"/>
            </w:pPr>
            <w:r>
              <w:rPr>
                <w:rFonts w:ascii="DM Sans" w:hAnsi="DM Sans" w:cs="DM Sans"/>
                <w:b w:val="0"/>
                <w:i w:val="0"/>
                <w:color w:val="050C2A"/>
                <w:sz w:val="20"/>
                <w:u w:val="none"/>
              </w:rPr>
              <w:t>90</w:t>
            </w:r>
          </w:p>
        </w:tc>
        <w:tc>
          <w:tcPr>
            <w:tcW w:type="dxa" w:w="4806"/>
            <w:shd w:fill="F5F5F5" w:val="clear"/>
            <w:vAlign w:val="center"/>
          </w:tcPr>
          <w:p>
            <w:pPr>
              <w:spacing w:before="30" w:after="30"/>
            </w:pPr>
            <w:r>
              <w:rPr>
                <w:rFonts w:ascii="DM Sans" w:hAnsi="DM Sans" w:cs="DM Sans"/>
                <w:b w:val="0"/>
                <w:i w:val="0"/>
                <w:color w:val="050C2A"/>
                <w:sz w:val="20"/>
                <w:u w:val="none"/>
              </w:rPr>
              <w:t>Graded individual submission (~5% of final grade); students draw from Discovery phase experience (Weeks 4–6); second DEAL reflection — framework no longer new, expectation shifts to depth and honesty of examination; AI-as-Socratic-partner pro tip embedded in assignment; AI disclosure required; submitted via Riipen; 90 min standardized across all reflections</w:t>
            </w:r>
          </w:p>
        </w:tc>
      </w:tr>
      <w:tr>
        <w:tc>
          <w:tcPr>
            <w:tcW w:type="dxa" w:w="371"/>
            <w:vAlign w:val="center"/>
          </w:tcPr>
          <w:p>
            <w:pPr>
              <w:spacing w:before="30" w:after="30"/>
            </w:pPr>
          </w:p>
        </w:tc>
        <w:tc>
          <w:tcPr>
            <w:tcW w:type="dxa" w:w="928"/>
            <w:vAlign w:val="center"/>
          </w:tcPr>
          <w:p>
            <w:pPr>
              <w:spacing w:before="30" w:after="30"/>
            </w:pPr>
          </w:p>
        </w:tc>
        <w:tc>
          <w:tcPr>
            <w:tcW w:type="dxa" w:w="1818"/>
            <w:vAlign w:val="center"/>
          </w:tcPr>
          <w:p>
            <w:pPr>
              <w:spacing w:before="30" w:after="30"/>
            </w:pPr>
            <w:r>
              <w:rPr>
                <w:rFonts w:ascii="DM Sans" w:hAnsi="DM Sans" w:cs="DM Sans"/>
                <w:b/>
                <w:i w:val="0"/>
                <w:color w:val="050C2A"/>
                <w:sz w:val="20"/>
                <w:u w:val="none"/>
              </w:rPr>
              <w:t>TOTAL</w:t>
            </w:r>
          </w:p>
        </w:tc>
        <w:tc>
          <w:tcPr>
            <w:tcW w:type="dxa" w:w="491"/>
            <w:vAlign w:val="center"/>
          </w:tcPr>
          <w:p>
            <w:pPr>
              <w:spacing w:before="30" w:after="30"/>
            </w:pPr>
          </w:p>
        </w:tc>
        <w:tc>
          <w:tcPr>
            <w:tcW w:type="dxa" w:w="946"/>
            <w:vAlign w:val="center"/>
          </w:tcPr>
          <w:p>
            <w:pPr>
              <w:spacing w:before="30" w:after="30"/>
            </w:pPr>
            <w:r>
              <w:rPr>
                <w:rFonts w:ascii="DM Sans" w:hAnsi="DM Sans" w:cs="DM Sans"/>
                <w:b/>
                <w:i w:val="0"/>
                <w:color w:val="050C2A"/>
                <w:sz w:val="20"/>
                <w:u w:val="none"/>
              </w:rPr>
              <w:t>545 min (~9 hrs 5 min)</w:t>
            </w:r>
          </w:p>
        </w:tc>
        <w:tc>
          <w:tcPr>
            <w:tcW w:type="dxa" w:w="4806"/>
            <w:vAlign w:val="center"/>
          </w:tcPr>
          <w:p>
            <w:pPr>
              <w:spacing w:before="30" w:after="30"/>
            </w:pPr>
          </w:p>
        </w:tc>
      </w:tr>
    </w:tbl>
    <w:p>
      <w:pPr>
        <w:spacing w:before="0" w:after="120"/>
      </w:pPr>
    </w:p>
    <w:p>
      <w:pPr>
        <w:spacing w:before="280" w:after="100"/>
      </w:pPr>
      <w:r>
        <w:rPr>
          <w:rFonts w:ascii="DM Sans" w:hAnsi="DM Sans" w:cs="DM Sans"/>
          <w:b/>
          <w:i w:val="0"/>
          <w:color w:val="050C2A"/>
          <w:sz w:val="28"/>
          <w:u w:val="none"/>
        </w:rPr>
        <w:t>Competency Alignment</w:t>
      </w:r>
    </w:p>
    <w:tbl>
      <w:tblPr>
        <w:jc w:val="center"/>
        <w:tblLook w:firstColumn="1" w:firstRow="1" w:lastColumn="0" w:lastRow="0" w:noHBand="0" w:noVBand="1" w:val="04A0"/>
        <w:tblW w:type="dxa" w:w="9360"/>
        <w:tblLayout w:type="fixed"/>
        <w:tblBorders>
          <w:top w:val="single" w:sz="4" w:space="0" w:color="ACACAC"/>
          <w:left w:val="single" w:sz="4" w:space="0" w:color="ACACAC"/>
          <w:bottom w:val="single" w:sz="4" w:space="0" w:color="ACACAC"/>
          <w:right w:val="single" w:sz="4" w:space="0" w:color="ACACAC"/>
          <w:insideH w:val="single" w:sz="4" w:space="0" w:color="ACACAC"/>
          <w:insideV w:val="single" w:sz="4" w:space="0" w:color="ACACAC"/>
        </w:tblBorders>
      </w:tblPr>
      <w:tblGrid>
        <w:gridCol w:w="3120"/>
        <w:gridCol w:w="3120"/>
        <w:gridCol w:w="3120"/>
      </w:tblGrid>
      <w:tr>
        <w:tc>
          <w:tcPr>
            <w:tcW w:type="dxa" w:w="1551"/>
            <w:shd w:fill="FF7C0A" w:val="clear"/>
            <w:vAlign w:val="center"/>
          </w:tcPr>
          <w:p>
            <w:pPr>
              <w:jc w:val="left"/>
              <w:spacing w:before="40" w:after="40"/>
            </w:pPr>
            <w:r>
              <w:rPr>
                <w:rFonts w:ascii="DM Sans" w:hAnsi="DM Sans" w:cs="DM Sans"/>
                <w:b/>
                <w:i w:val="0"/>
                <w:color w:val="FFFFFF"/>
                <w:sz w:val="20"/>
                <w:u w:val="none"/>
              </w:rPr>
              <w:t>Competency Area</w:t>
            </w:r>
          </w:p>
        </w:tc>
        <w:tc>
          <w:tcPr>
            <w:tcW w:type="dxa" w:w="1411"/>
            <w:shd w:fill="FF7C0A" w:val="clear"/>
            <w:vAlign w:val="center"/>
          </w:tcPr>
          <w:p>
            <w:pPr>
              <w:jc w:val="left"/>
              <w:spacing w:before="40" w:after="40"/>
            </w:pPr>
            <w:r>
              <w:rPr>
                <w:rFonts w:ascii="DM Sans" w:hAnsi="DM Sans" w:cs="DM Sans"/>
                <w:b/>
                <w:i w:val="0"/>
                <w:color w:val="FFFFFF"/>
                <w:sz w:val="20"/>
                <w:u w:val="none"/>
              </w:rPr>
              <w:t>Subskill</w:t>
            </w:r>
          </w:p>
        </w:tc>
        <w:tc>
          <w:tcPr>
            <w:tcW w:type="dxa" w:w="6398"/>
            <w:shd w:fill="FF7C0A" w:val="clear"/>
            <w:vAlign w:val="center"/>
          </w:tcPr>
          <w:p>
            <w:pPr>
              <w:jc w:val="left"/>
              <w:spacing w:before="40" w:after="40"/>
            </w:pPr>
            <w:r>
              <w:rPr>
                <w:rFonts w:ascii="DM Sans" w:hAnsi="DM Sans" w:cs="DM Sans"/>
                <w:b/>
                <w:i w:val="0"/>
                <w:color w:val="FFFFFF"/>
                <w:sz w:val="20"/>
                <w:u w:val="none"/>
              </w:rPr>
              <w:t>How This Week Builds It</w:t>
            </w:r>
          </w:p>
        </w:tc>
      </w:tr>
      <w:tr>
        <w:tc>
          <w:tcPr>
            <w:tcW w:type="dxa" w:w="1551"/>
            <w:vAlign w:val="center"/>
          </w:tcPr>
          <w:p>
            <w:pPr>
              <w:spacing w:before="30" w:after="30"/>
            </w:pPr>
            <w:r>
              <w:rPr>
                <w:rFonts w:ascii="DM Sans" w:hAnsi="DM Sans" w:cs="DM Sans"/>
                <w:b/>
                <w:i w:val="0"/>
                <w:color w:val="050C2A"/>
                <w:sz w:val="20"/>
                <w:u w:val="none"/>
              </w:rPr>
              <w:t>Critical Thinking</w:t>
            </w:r>
          </w:p>
        </w:tc>
        <w:tc>
          <w:tcPr>
            <w:tcW w:type="dxa" w:w="1411"/>
            <w:vAlign w:val="center"/>
          </w:tcPr>
          <w:p>
            <w:pPr>
              <w:spacing w:before="30" w:after="30"/>
            </w:pPr>
            <w:r>
              <w:rPr>
                <w:rFonts w:ascii="DM Sans" w:hAnsi="DM Sans" w:cs="DM Sans"/>
                <w:b w:val="0"/>
                <w:i w:val="0"/>
                <w:color w:val="050C2A"/>
                <w:sz w:val="20"/>
                <w:u w:val="none"/>
              </w:rPr>
              <w:t>Problem Framing</w:t>
            </w:r>
          </w:p>
        </w:tc>
        <w:tc>
          <w:tcPr>
            <w:tcW w:type="dxa" w:w="6398"/>
            <w:vAlign w:val="center"/>
          </w:tcPr>
          <w:p>
            <w:pPr>
              <w:spacing w:before="30" w:after="30"/>
            </w:pPr>
            <w:r>
              <w:rPr>
                <w:rFonts w:ascii="DM Sans" w:hAnsi="DM Sans" w:cs="DM Sans"/>
                <w:b w:val="0"/>
                <w:i w:val="0"/>
                <w:color w:val="050C2A"/>
                <w:sz w:val="20"/>
                <w:u w:val="none"/>
              </w:rPr>
              <w:t>Module 6.02 addresses a specific manifestation of problem framing that is live for students this week: the inability to clearly frame a problem is often the reason production stalls. The module teaches students to distinguish types of ambiguity (missing information vs. unclear expectations vs. conflicting priorities) — a framing skill that applies directly to their production work in 6.06.</w:t>
            </w:r>
          </w:p>
        </w:tc>
      </w:tr>
      <w:tr>
        <w:tc>
          <w:tcPr>
            <w:tcW w:type="dxa" w:w="1551"/>
            <w:shd w:fill="F5F5F5" w:val="clear"/>
            <w:vAlign w:val="center"/>
          </w:tcPr>
          <w:p>
            <w:pPr>
              <w:spacing w:before="30" w:after="30"/>
            </w:pPr>
            <w:r>
              <w:rPr>
                <w:rFonts w:ascii="DM Sans" w:hAnsi="DM Sans" w:cs="DM Sans"/>
                <w:b/>
                <w:i w:val="0"/>
                <w:color w:val="050C2A"/>
                <w:sz w:val="20"/>
                <w:u w:val="none"/>
              </w:rPr>
              <w:t>Critical Thinking</w:t>
            </w:r>
          </w:p>
        </w:tc>
        <w:tc>
          <w:tcPr>
            <w:tcW w:type="dxa" w:w="1411"/>
            <w:shd w:fill="F5F5F5" w:val="clear"/>
            <w:vAlign w:val="center"/>
          </w:tcPr>
          <w:p>
            <w:pPr>
              <w:spacing w:before="30" w:after="30"/>
            </w:pPr>
            <w:r>
              <w:rPr>
                <w:rFonts w:ascii="DM Sans" w:hAnsi="DM Sans" w:cs="DM Sans"/>
                <w:b w:val="0"/>
                <w:i w:val="0"/>
                <w:color w:val="050C2A"/>
                <w:sz w:val="20"/>
                <w:u w:val="none"/>
              </w:rPr>
              <w:t>Research and Analysis</w:t>
            </w:r>
          </w:p>
        </w:tc>
        <w:tc>
          <w:tcPr>
            <w:tcW w:type="dxa" w:w="6398"/>
            <w:shd w:fill="F5F5F5" w:val="clear"/>
            <w:vAlign w:val="center"/>
          </w:tcPr>
          <w:p>
            <w:pPr>
              <w:spacing w:before="30" w:after="30"/>
            </w:pPr>
            <w:r>
              <w:rPr>
                <w:rFonts w:ascii="DM Sans" w:hAnsi="DM Sans" w:cs="DM Sans"/>
                <w:b w:val="0"/>
                <w:i w:val="0"/>
                <w:color w:val="050C2A"/>
                <w:sz w:val="20"/>
                <w:u w:val="none"/>
              </w:rPr>
              <w:t>Activities 6.06 and 6.07 represent the first time students are producing independent research and drafting aimed at the final deliverable. Module 6.03 addresses the intermediate cognitive step that is most likely to cause students to stall: moving from a set of research notes to an organized outline, and from an outline to prose. The module explicitly teaches this as a separable process — synthesis first, production second — rather than treating drafting as a single undifferentiated task.</w:t>
            </w:r>
          </w:p>
        </w:tc>
      </w:tr>
      <w:tr>
        <w:tc>
          <w:tcPr>
            <w:tcW w:type="dxa" w:w="1551"/>
            <w:vAlign w:val="center"/>
          </w:tcPr>
          <w:p>
            <w:pPr>
              <w:spacing w:before="30" w:after="30"/>
            </w:pPr>
            <w:r>
              <w:rPr>
                <w:rFonts w:ascii="DM Sans" w:hAnsi="DM Sans" w:cs="DM Sans"/>
                <w:b/>
                <w:i w:val="0"/>
                <w:color w:val="050C2A"/>
                <w:sz w:val="20"/>
                <w:u w:val="none"/>
              </w:rPr>
              <w:t>Critical Thinking</w:t>
            </w:r>
          </w:p>
        </w:tc>
        <w:tc>
          <w:tcPr>
            <w:tcW w:type="dxa" w:w="1411"/>
            <w:vAlign w:val="center"/>
          </w:tcPr>
          <w:p>
            <w:pPr>
              <w:spacing w:before="30" w:after="30"/>
            </w:pPr>
            <w:r>
              <w:rPr>
                <w:rFonts w:ascii="DM Sans" w:hAnsi="DM Sans" w:cs="DM Sans"/>
                <w:b w:val="0"/>
                <w:i w:val="0"/>
                <w:color w:val="050C2A"/>
                <w:sz w:val="20"/>
                <w:u w:val="none"/>
              </w:rPr>
              <w:t>Prioritization</w:t>
            </w:r>
          </w:p>
        </w:tc>
        <w:tc>
          <w:tcPr>
            <w:tcW w:type="dxa" w:w="6398"/>
            <w:vAlign w:val="center"/>
          </w:tcPr>
          <w:p>
            <w:pPr>
              <w:spacing w:before="30" w:after="30"/>
            </w:pPr>
            <w:r>
              <w:rPr>
                <w:rFonts w:ascii="DM Sans" w:hAnsi="DM Sans" w:cs="DM Sans"/>
                <w:b w:val="0"/>
                <w:i w:val="0"/>
                <w:color w:val="050C2A"/>
                <w:sz w:val="20"/>
                <w:u w:val="none"/>
              </w:rPr>
              <w:t>Module 6.02 teaches a concrete framework for prioritization under uncertainty: when do you have enough to proceed vs. when must you stop and gather more? This is a practical decision-making skill, not an abstract one, and it applies immediately to the production work that follows the module.</w:t>
            </w:r>
          </w:p>
        </w:tc>
      </w:tr>
      <w:tr>
        <w:tc>
          <w:tcPr>
            <w:tcW w:type="dxa" w:w="1551"/>
            <w:shd w:fill="F5F5F5" w:val="clear"/>
            <w:vAlign w:val="center"/>
          </w:tcPr>
          <w:p>
            <w:pPr>
              <w:spacing w:before="30" w:after="30"/>
            </w:pPr>
            <w:r>
              <w:rPr>
                <w:rFonts w:ascii="DM Sans" w:hAnsi="DM Sans" w:cs="DM Sans"/>
                <w:b/>
                <w:i w:val="0"/>
                <w:color w:val="050C2A"/>
                <w:sz w:val="20"/>
                <w:u w:val="none"/>
              </w:rPr>
              <w:t>Teamwork</w:t>
            </w:r>
          </w:p>
        </w:tc>
        <w:tc>
          <w:tcPr>
            <w:tcW w:type="dxa" w:w="1411"/>
            <w:shd w:fill="F5F5F5" w:val="clear"/>
            <w:vAlign w:val="center"/>
          </w:tcPr>
          <w:p>
            <w:pPr>
              <w:spacing w:before="30" w:after="30"/>
            </w:pPr>
            <w:r>
              <w:rPr>
                <w:rFonts w:ascii="DM Sans" w:hAnsi="DM Sans" w:cs="DM Sans"/>
                <w:b w:val="0"/>
                <w:i w:val="0"/>
                <w:color w:val="050C2A"/>
                <w:sz w:val="20"/>
                <w:u w:val="none"/>
              </w:rPr>
              <w:t>Constructive Feedback</w:t>
            </w:r>
          </w:p>
        </w:tc>
        <w:tc>
          <w:tcPr>
            <w:tcW w:type="dxa" w:w="6398"/>
            <w:shd w:fill="F5F5F5" w:val="clear"/>
            <w:vAlign w:val="center"/>
          </w:tcPr>
          <w:p>
            <w:pPr>
              <w:spacing w:before="30" w:after="30"/>
            </w:pPr>
            <w:r>
              <w:rPr>
                <w:rFonts w:ascii="DM Sans" w:hAnsi="DM Sans" w:cs="DM Sans"/>
                <w:b w:val="0"/>
                <w:i w:val="0"/>
                <w:color w:val="050C2A"/>
                <w:sz w:val="20"/>
                <w:u w:val="none"/>
              </w:rPr>
              <w:t>Module 6.04 introduces the production-phase dimension of constructive feedback — not the structured peer critique of finished work, but the in-the-moment navigation of disagreement when someone thinks a teammate's section is going in the wrong direction. This is a qualitatively different skill from the general collaboration norms established in Week 2.</w:t>
            </w:r>
          </w:p>
        </w:tc>
      </w:tr>
      <w:tr>
        <w:tc>
          <w:tcPr>
            <w:tcW w:type="dxa" w:w="1551"/>
            <w:vAlign w:val="center"/>
          </w:tcPr>
          <w:p>
            <w:pPr>
              <w:spacing w:before="30" w:after="30"/>
            </w:pPr>
            <w:r>
              <w:rPr>
                <w:rFonts w:ascii="DM Sans" w:hAnsi="DM Sans" w:cs="DM Sans"/>
                <w:b/>
                <w:i w:val="0"/>
                <w:color w:val="050C2A"/>
                <w:sz w:val="20"/>
                <w:u w:val="none"/>
              </w:rPr>
              <w:t>Professionalism</w:t>
            </w:r>
          </w:p>
        </w:tc>
        <w:tc>
          <w:tcPr>
            <w:tcW w:type="dxa" w:w="1411"/>
            <w:vAlign w:val="center"/>
          </w:tcPr>
          <w:p>
            <w:pPr>
              <w:spacing w:before="30" w:after="30"/>
            </w:pPr>
            <w:r>
              <w:rPr>
                <w:rFonts w:ascii="DM Sans" w:hAnsi="DM Sans" w:cs="DM Sans"/>
                <w:b w:val="0"/>
                <w:i w:val="0"/>
                <w:color w:val="050C2A"/>
                <w:sz w:val="20"/>
                <w:u w:val="none"/>
              </w:rPr>
              <w:t>Feedback Reception</w:t>
            </w:r>
          </w:p>
        </w:tc>
        <w:tc>
          <w:tcPr>
            <w:tcW w:type="dxa" w:w="6398"/>
            <w:vAlign w:val="center"/>
          </w:tcPr>
          <w:p>
            <w:pPr>
              <w:spacing w:before="30" w:after="30"/>
            </w:pPr>
            <w:r>
              <w:rPr>
                <w:rFonts w:ascii="DM Sans" w:hAnsi="DM Sans" w:cs="DM Sans"/>
                <w:b w:val="0"/>
                <w:i w:val="0"/>
                <w:color w:val="050C2A"/>
                <w:sz w:val="20"/>
                <w:u w:val="none"/>
              </w:rPr>
              <w:t>Module 6.04 also addresses the client-facing dimension: what to do when the team disagrees with employer direction received in the Direction Check. The distinction between deferring and pushing back gracefully is a professional judgment skill with an immediate application site in this week's project work.</w:t>
            </w:r>
          </w:p>
        </w:tc>
      </w:tr>
      <w:tr>
        <w:tc>
          <w:tcPr>
            <w:tcW w:type="dxa" w:w="1551"/>
            <w:shd w:fill="F5F5F5" w:val="clear"/>
            <w:vAlign w:val="center"/>
          </w:tcPr>
          <w:p>
            <w:pPr>
              <w:spacing w:before="30" w:after="30"/>
            </w:pPr>
            <w:r>
              <w:rPr>
                <w:rFonts w:ascii="DM Sans" w:hAnsi="DM Sans" w:cs="DM Sans"/>
                <w:b/>
                <w:i w:val="0"/>
                <w:color w:val="050C2A"/>
                <w:sz w:val="20"/>
                <w:u w:val="none"/>
              </w:rPr>
              <w:t>Critical Thinking</w:t>
            </w:r>
          </w:p>
        </w:tc>
        <w:tc>
          <w:tcPr>
            <w:tcW w:type="dxa" w:w="1411"/>
            <w:shd w:fill="F5F5F5" w:val="clear"/>
            <w:vAlign w:val="center"/>
          </w:tcPr>
          <w:p>
            <w:pPr>
              <w:spacing w:before="30" w:after="30"/>
            </w:pPr>
            <w:r>
              <w:rPr>
                <w:rFonts w:ascii="DM Sans" w:hAnsi="DM Sans" w:cs="DM Sans"/>
                <w:b w:val="0"/>
                <w:i w:val="0"/>
                <w:color w:val="050C2A"/>
                <w:sz w:val="20"/>
                <w:u w:val="none"/>
              </w:rPr>
              <w:t>Evidence-Based Reasoning</w:t>
            </w:r>
          </w:p>
        </w:tc>
        <w:tc>
          <w:tcPr>
            <w:tcW w:type="dxa" w:w="6398"/>
            <w:shd w:fill="F5F5F5" w:val="clear"/>
            <w:vAlign w:val="center"/>
          </w:tcPr>
          <w:p>
            <w:pPr>
              <w:spacing w:before="30" w:after="30"/>
            </w:pPr>
            <w:r>
              <w:rPr>
                <w:rFonts w:ascii="DM Sans" w:hAnsi="DM Sans" w:cs="DM Sans"/>
                <w:b w:val="0"/>
                <w:i w:val="0"/>
                <w:color w:val="050C2A"/>
                <w:sz w:val="20"/>
                <w:u w:val="none"/>
              </w:rPr>
              <w:t>Module 6.05 (Formatting Professional Documents) introduces standards for how professional documents present information visually — headings, tables, charts, callouts — which complements the analytical content taught in Weeks 4–5 by addressing how evidence is displayed, not just argued.</w:t>
            </w:r>
          </w:p>
        </w:tc>
      </w:tr>
      <w:tr>
        <w:tc>
          <w:tcPr>
            <w:tcW w:type="dxa" w:w="1551"/>
            <w:vAlign w:val="center"/>
          </w:tcPr>
          <w:p>
            <w:pPr>
              <w:spacing w:before="30" w:after="30"/>
            </w:pPr>
            <w:r>
              <w:rPr>
                <w:rFonts w:ascii="DM Sans" w:hAnsi="DM Sans" w:cs="DM Sans"/>
                <w:b/>
                <w:i w:val="0"/>
                <w:color w:val="050C2A"/>
                <w:sz w:val="20"/>
                <w:u w:val="none"/>
              </w:rPr>
              <w:t>Career &amp; Self-Development</w:t>
            </w:r>
          </w:p>
        </w:tc>
        <w:tc>
          <w:tcPr>
            <w:tcW w:type="dxa" w:w="1411"/>
            <w:vAlign w:val="center"/>
          </w:tcPr>
          <w:p>
            <w:pPr>
              <w:spacing w:before="30" w:after="30"/>
            </w:pPr>
            <w:r>
              <w:rPr>
                <w:rFonts w:ascii="DM Sans" w:hAnsi="DM Sans" w:cs="DM Sans"/>
                <w:b w:val="0"/>
                <w:i w:val="0"/>
                <w:color w:val="050C2A"/>
                <w:sz w:val="20"/>
                <w:u w:val="none"/>
              </w:rPr>
              <w:t>Reflection</w:t>
            </w:r>
          </w:p>
        </w:tc>
        <w:tc>
          <w:tcPr>
            <w:tcW w:type="dxa" w:w="6398"/>
            <w:vAlign w:val="center"/>
          </w:tcPr>
          <w:p>
            <w:pPr>
              <w:spacing w:before="30" w:after="30"/>
            </w:pPr>
            <w:r>
              <w:rPr>
                <w:rFonts w:ascii="DM Sans" w:hAnsi="DM Sans" w:cs="DM Sans"/>
                <w:b w:val="0"/>
                <w:i w:val="0"/>
                <w:color w:val="050C2A"/>
                <w:sz w:val="20"/>
                <w:u w:val="none"/>
              </w:rPr>
              <w:t>Reflection #2 (6.10) is the second DEAL reflection in the course — students were introduced to the framework in Week 1 and completed a first attempt in Week 3. The focus here shifts from framework familiarity to depth and honesty of examination. Students draw from their Discovery phase experience (Weeks 4–6), giving them a specific and recent pool of material; the reflection is sequenced at the end of the week to maximize that recency.</w:t>
            </w:r>
          </w:p>
        </w:tc>
      </w:tr>
      <w:tr>
        <w:tc>
          <w:tcPr>
            <w:tcW w:type="dxa" w:w="1551"/>
            <w:shd w:fill="F5F5F5" w:val="clear"/>
            <w:vAlign w:val="center"/>
          </w:tcPr>
          <w:p>
            <w:pPr>
              <w:spacing w:before="30" w:after="30"/>
            </w:pPr>
            <w:r>
              <w:rPr>
                <w:rFonts w:ascii="DM Sans" w:hAnsi="DM Sans" w:cs="DM Sans"/>
                <w:b/>
                <w:i w:val="0"/>
                <w:color w:val="050C2A"/>
                <w:sz w:val="20"/>
                <w:u w:val="none"/>
              </w:rPr>
              <w:t>Career &amp; Self-Development</w:t>
            </w:r>
          </w:p>
        </w:tc>
        <w:tc>
          <w:tcPr>
            <w:tcW w:type="dxa" w:w="1411"/>
            <w:shd w:fill="F5F5F5" w:val="clear"/>
            <w:vAlign w:val="center"/>
          </w:tcPr>
          <w:p>
            <w:pPr>
              <w:spacing w:before="30" w:after="30"/>
            </w:pPr>
            <w:r>
              <w:rPr>
                <w:rFonts w:ascii="DM Sans" w:hAnsi="DM Sans" w:cs="DM Sans"/>
                <w:b w:val="0"/>
                <w:i w:val="0"/>
                <w:color w:val="050C2A"/>
                <w:sz w:val="20"/>
                <w:u w:val="none"/>
              </w:rPr>
              <w:t>Self-Awareness</w:t>
            </w:r>
          </w:p>
        </w:tc>
        <w:tc>
          <w:tcPr>
            <w:tcW w:type="dxa" w:w="6398"/>
            <w:shd w:fill="F5F5F5" w:val="clear"/>
            <w:vAlign w:val="center"/>
          </w:tcPr>
          <w:p>
            <w:pPr>
              <w:spacing w:before="30" w:after="30"/>
            </w:pPr>
            <w:r>
              <w:rPr>
                <w:rFonts w:ascii="DM Sans" w:hAnsi="DM Sans" w:cs="DM Sans"/>
                <w:b w:val="0"/>
                <w:i w:val="0"/>
                <w:color w:val="050C2A"/>
                <w:sz w:val="20"/>
                <w:u w:val="none"/>
              </w:rPr>
              <w:t>Reflection #2 is the second formal assessment of self-awareness in the course. With the framework no longer new, students can invest more cognitive effort in the quality of what they examine rather than how to use the model. The prompt is designed to reward specificity and resist generic or performative responses.</w:t>
            </w:r>
          </w:p>
        </w:tc>
      </w:tr>
      <w:tr>
        <w:tc>
          <w:tcPr>
            <w:tcW w:type="dxa" w:w="1551"/>
            <w:vAlign w:val="center"/>
          </w:tcPr>
          <w:p>
            <w:pPr>
              <w:spacing w:before="30" w:after="30"/>
            </w:pPr>
            <w:r>
              <w:rPr>
                <w:rFonts w:ascii="DM Sans" w:hAnsi="DM Sans" w:cs="DM Sans"/>
                <w:b/>
                <w:i w:val="0"/>
                <w:color w:val="050C2A"/>
                <w:sz w:val="20"/>
                <w:u w:val="none"/>
              </w:rPr>
              <w:t>Communication</w:t>
            </w:r>
          </w:p>
        </w:tc>
        <w:tc>
          <w:tcPr>
            <w:tcW w:type="dxa" w:w="1411"/>
            <w:vAlign w:val="center"/>
          </w:tcPr>
          <w:p>
            <w:pPr>
              <w:spacing w:before="30" w:after="30"/>
            </w:pPr>
            <w:r>
              <w:rPr>
                <w:rFonts w:ascii="DM Sans" w:hAnsi="DM Sans" w:cs="DM Sans"/>
                <w:b w:val="0"/>
                <w:i w:val="0"/>
                <w:color w:val="050C2A"/>
                <w:sz w:val="20"/>
                <w:u w:val="none"/>
              </w:rPr>
              <w:t>Written Clarity</w:t>
            </w:r>
          </w:p>
        </w:tc>
        <w:tc>
          <w:tcPr>
            <w:tcW w:type="dxa" w:w="6398"/>
            <w:vAlign w:val="center"/>
          </w:tcPr>
          <w:p>
            <w:pPr>
              <w:spacing w:before="30" w:after="30"/>
            </w:pPr>
            <w:r>
              <w:rPr>
                <w:rFonts w:ascii="DM Sans" w:hAnsi="DM Sans" w:cs="DM Sans"/>
                <w:b w:val="0"/>
                <w:i w:val="0"/>
                <w:color w:val="050C2A"/>
                <w:sz w:val="20"/>
                <w:u w:val="none"/>
              </w:rPr>
              <w:t>Activity 6.07 is the first substantive written production aimed at a final deliverable. Unlike the Direction Check Summary (which was documentary) or the Context Analysis (which was structured analytical work), project deliverable drafting is open-ended prose production — a genuinely different writing challenge.</w:t>
            </w:r>
          </w:p>
        </w:tc>
      </w:tr>
    </w:tbl>
    <w:p>
      <w:pPr>
        <w:spacing w:before="0" w:after="120"/>
      </w:pPr>
    </w:p>
    <w:p>
      <w:pPr>
        <w:spacing w:before="280" w:after="100"/>
      </w:pPr>
      <w:r>
        <w:rPr>
          <w:rFonts w:ascii="DM Sans" w:hAnsi="DM Sans" w:cs="DM Sans"/>
          <w:b/>
          <w:i w:val="0"/>
          <w:color w:val="050C2A"/>
          <w:sz w:val="28"/>
          <w:u w:val="none"/>
        </w:rPr>
        <w:t>Deliverable Connection</w:t>
      </w:r>
    </w:p>
    <w:p>
      <w:pPr>
        <w:spacing w:before="0" w:after="120" w:line="276" w:lineRule="auto"/>
      </w:pPr>
      <w:r>
        <w:rPr>
          <w:rFonts w:ascii="DM Sans" w:hAnsi="DM Sans" w:cs="DM Sans"/>
          <w:b/>
          <w:i w:val="0"/>
          <w:color w:val="050C2A"/>
          <w:sz w:val="20"/>
          <w:u w:val="none"/>
        </w:rPr>
        <w:t>Reflection #2 → Career &amp; Self-Development (Reflection, Self-Awareness)</w:t>
      </w:r>
    </w:p>
    <w:p>
      <w:pPr>
        <w:spacing w:before="0" w:after="120" w:line="276" w:lineRule="auto"/>
      </w:pPr>
      <w:r>
        <w:rPr>
          <w:rFonts w:ascii="DM Sans" w:hAnsi="DM Sans" w:cs="DM Sans"/>
          <w:b w:val="0"/>
          <w:i w:val="0"/>
          <w:color w:val="050C2A"/>
          <w:sz w:val="20"/>
          <w:u w:val="none"/>
        </w:rPr>
        <w:t>Graded; rubric-based. Individual submission. Contributes ~5% of the final grade as part of the Reflection Portfolio (25% total, five reflections). Students draw from their Discovery phase experience — the research process, the Direction Check, the transition into production, team dynamics under pressure, or any moment of ambiguity or learning that emerged in Weeks 4–6 — and examine it using the DEAL model across three stages: Describe (what happened, factually and specifically), Examine (what assumptions were operating, what patterns emerge, what the experience reveals), and Articulate Learning (what transferable insight can be extracted that connects to professional practice beyond this project).</w:t>
      </w:r>
    </w:p>
    <w:p>
      <w:pPr>
        <w:spacing w:before="0" w:after="120" w:line="276" w:lineRule="auto"/>
      </w:pPr>
      <w:r>
        <w:rPr>
          <w:rFonts w:ascii="DM Sans" w:hAnsi="DM Sans" w:cs="DM Sans"/>
          <w:b w:val="0"/>
          <w:i w:val="0"/>
          <w:color w:val="050C2A"/>
          <w:sz w:val="20"/>
          <w:u w:val="none"/>
        </w:rPr>
        <w:t>This is the second DEAL reflection in the course; the first was in Week 3 following the kickoff. The framework is familiar — the expectation here is not that students demonstrate they can use DEAL, but that they use it with more depth and honesty than they did in Week 3. The rubric dimensions are Accurate Description, Critical Examination, Honest Self-Assessment, and Articulation of Learning. Growth across the five reflections in the portfolio is itself evidence of learning.</w:t>
      </w:r>
    </w:p>
    <w:p>
      <w:pPr>
        <w:spacing w:before="0" w:after="120" w:line="276" w:lineRule="auto"/>
      </w:pPr>
      <w:r>
        <w:rPr>
          <w:rFonts w:ascii="DM Sans" w:hAnsi="DM Sans" w:cs="DM Sans"/>
          <w:b w:val="0"/>
          <w:i w:val="0"/>
          <w:color w:val="050C2A"/>
          <w:sz w:val="20"/>
          <w:u w:val="none"/>
        </w:rPr>
        <w:t>The reflection is sequenced at the end of Week 6 so students have the fullest possible view of the Discovery phase before sitting down to write. The Direction Check and the first week of production are both live in memory, giving students rich, specific material to draw from rather than reaching back to earlier, more distant experiences.</w:t>
      </w:r>
    </w:p>
    <w:p>
      <w:pPr>
        <w:spacing w:before="0" w:after="120" w:line="276" w:lineRule="auto"/>
      </w:pPr>
      <w:r>
        <w:rPr>
          <w:rFonts w:ascii="DM Sans" w:hAnsi="DM Sans" w:cs="DM Sans"/>
          <w:b w:val="0"/>
          <w:i w:val="0"/>
          <w:color w:val="050C2A"/>
          <w:sz w:val="20"/>
          <w:u w:val="none"/>
        </w:rPr>
        <w:t>AI disclosure is required on submission via the Riipen platform. The core boundary is that AI cannot supply the experience, the examination, or the articulated learning — a reflection that could apply to any student in any project has not met the standard regardless of what tools were used to produce it.</w:t>
      </w:r>
    </w:p>
    <w:p>
      <w:pPr>
        <w:spacing w:before="280" w:after="100"/>
      </w:pPr>
      <w:r>
        <w:rPr>
          <w:rFonts w:ascii="DM Sans" w:hAnsi="DM Sans" w:cs="DM Sans"/>
          <w:b/>
          <w:i w:val="0"/>
          <w:color w:val="050C2A"/>
          <w:sz w:val="28"/>
          <w:u w:val="none"/>
        </w:rPr>
        <w:t>AI in This Week</w:t>
      </w:r>
    </w:p>
    <w:p>
      <w:pPr>
        <w:spacing w:before="0" w:after="120" w:line="276" w:lineRule="auto"/>
      </w:pPr>
      <w:r>
        <w:rPr>
          <w:rFonts w:ascii="DM Sans" w:hAnsi="DM Sans" w:cs="DM Sans"/>
          <w:b/>
          <w:i w:val="0"/>
          <w:color w:val="050C2A"/>
          <w:sz w:val="20"/>
          <w:u w:val="none"/>
        </w:rPr>
        <w:t>Permitted and encouraged:</w:t>
      </w:r>
      <w:r>
        <w:rPr>
          <w:rFonts w:ascii="DM Sans" w:hAnsi="DM Sans" w:cs="DM Sans"/>
          <w:b w:val="0"/>
          <w:i w:val="0"/>
          <w:color w:val="050C2A"/>
          <w:sz w:val="20"/>
          <w:u w:val="none"/>
        </w:rPr>
        <w:t xml:space="preserve"> Using AI as a Socratic thinking partner during the reflection writing process is encouraged — the prompt strategy for this was introduced in Week 1 alongside the DEAL framework and applied in Week 3. Students may use AI to deepen their examination of an experience by asking it to identify assumptions they haven't named, push back on surface-level observations, or ask follow-up questions that help surface genuine learning. AI can also support the notes-to-outline-to-draft process introduced in Module 6.03: using AI to help cluster and organize raw research notes, stress-test an outline structure before committing to drafting, or identify gaps in a section plan before prose production begins. Using AI to fill knowledge gaps that surface during drafting and to check draft sections for logical coherence and clarity are also permitted.</w:t>
      </w:r>
    </w:p>
    <w:p>
      <w:pPr>
        <w:spacing w:before="0" w:after="120" w:line="276" w:lineRule="auto"/>
      </w:pPr>
      <w:r>
        <w:rPr>
          <w:rFonts w:ascii="DM Sans" w:hAnsi="DM Sans" w:cs="DM Sans"/>
          <w:b/>
          <w:i w:val="0"/>
          <w:color w:val="050C2A"/>
          <w:sz w:val="20"/>
          <w:u w:val="none"/>
        </w:rPr>
        <w:t>Off-limits this week:</w:t>
      </w:r>
      <w:r>
        <w:rPr>
          <w:rFonts w:ascii="DM Sans" w:hAnsi="DM Sans" w:cs="DM Sans"/>
          <w:b w:val="0"/>
          <w:i w:val="0"/>
          <w:color w:val="050C2A"/>
          <w:sz w:val="20"/>
          <w:u w:val="none"/>
        </w:rPr>
        <w:t xml:space="preserve"> The reflection (6.10) must reflect the student's own experience and genuine learning from the Discovery phase. AI cannot supply the experience being described, generate the examination, or produce the articulated learning statement. A reflection that reads as though it could apply to any student in any project — lacking the specific details of what actually happened and what the student actually felt or thought — has not met the standard regardless of whether AI was used. On the production side, AI-generated content that students cannot verify or defend should not be in deliverable drafts: the Work-in-Progress presentation in Week 7 is a live accountability mechanism.</w:t>
      </w:r>
    </w:p>
    <w:p>
      <w:pPr>
        <w:spacing w:before="0" w:after="120" w:line="276" w:lineRule="auto"/>
      </w:pPr>
      <w:r>
        <w:rPr>
          <w:rFonts w:ascii="DM Sans" w:hAnsi="DM Sans" w:cs="DM Sans"/>
          <w:b/>
          <w:i w:val="0"/>
          <w:color w:val="050C2A"/>
          <w:sz w:val="20"/>
          <w:u w:val="none"/>
        </w:rPr>
        <w:t>Disclosure required:</w:t>
      </w:r>
      <w:r>
        <w:rPr>
          <w:rFonts w:ascii="DM Sans" w:hAnsi="DM Sans" w:cs="DM Sans"/>
          <w:b w:val="0"/>
          <w:i w:val="0"/>
          <w:color w:val="050C2A"/>
          <w:sz w:val="20"/>
          <w:u w:val="none"/>
        </w:rPr>
        <w:t xml:space="preserve"> Yes — on Reflection #2 submission. If AI was not used, a one-sentence statement to that effect is sufficient.</w:t>
      </w:r>
    </w:p>
    <w:p>
      <w:pPr>
        <w:spacing w:before="0" w:after="120" w:line="276" w:lineRule="auto"/>
      </w:pPr>
      <w:r>
        <w:rPr>
          <w:rFonts w:ascii="DM Sans" w:hAnsi="DM Sans" w:cs="DM Sans"/>
          <w:b/>
          <w:i w:val="0"/>
          <w:color w:val="050C2A"/>
          <w:sz w:val="20"/>
          <w:u w:val="none"/>
        </w:rPr>
        <w:t>Prompt strategy introduced — From Research to Draft:</w:t>
      </w:r>
      <w:r>
        <w:rPr>
          <w:rFonts w:ascii="DM Sans" w:hAnsi="DM Sans" w:cs="DM Sans"/>
          <w:b w:val="0"/>
          <w:i w:val="0"/>
          <w:color w:val="050C2A"/>
          <w:sz w:val="20"/>
          <w:u w:val="none"/>
        </w:rPr>
        <w:t xml:space="preserve"> Module 6.03 introduces AI as a tool for moving from notes to outline to prose. Students use AI to organize and cluster raw notes rather than generate content, keeping the intellectual work their own while using AI to reduce the structural overhead of synthesis.</w:t>
      </w:r>
    </w:p>
    <w:p>
      <w:pPr>
        <w:ind w:left="720" w:hanging="360"/>
        <w:spacing w:before="0" w:after="60" w:line="276" w:lineRule="auto"/>
      </w:pPr>
      <w:r>
        <w:rPr>
          <w:rFonts w:ascii="DM Sans" w:hAnsi="DM Sans" w:cs="DM Sans"/>
          <w:b/>
          <w:i w:val="0"/>
          <w:color w:val="FF7C0A"/>
          <w:sz w:val="20"/>
          <w:u w:val="none"/>
        </w:rPr>
        <w:t xml:space="preserve">•  </w:t>
      </w:r>
      <w:r>
        <w:rPr>
          <w:rFonts w:ascii="DM Sans" w:hAnsi="DM Sans" w:cs="DM Sans"/>
          <w:b w:val="0"/>
          <w:i/>
          <w:color w:val="050C2A"/>
          <w:sz w:val="20"/>
          <w:u w:val="none"/>
        </w:rPr>
        <w:t>"Here are my raw research notes on [topic]: [notes]. Help me identify the three to five main themes or clusters across these notes. Don't summarize — just group them and label each cluster."</w:t>
      </w:r>
    </w:p>
    <w:p>
      <w:pPr>
        <w:ind w:left="720" w:hanging="360"/>
        <w:spacing w:before="0" w:after="60" w:line="276" w:lineRule="auto"/>
      </w:pPr>
      <w:r>
        <w:rPr>
          <w:rFonts w:ascii="DM Sans" w:hAnsi="DM Sans" w:cs="DM Sans"/>
          <w:b/>
          <w:i w:val="0"/>
          <w:color w:val="FF7C0A"/>
          <w:sz w:val="20"/>
          <w:u w:val="none"/>
        </w:rPr>
        <w:t xml:space="preserve">•  </w:t>
      </w:r>
      <w:r>
        <w:rPr>
          <w:rFonts w:ascii="DM Sans" w:hAnsi="DM Sans" w:cs="DM Sans"/>
          <w:b w:val="0"/>
          <w:i/>
          <w:color w:val="050C2A"/>
          <w:sz w:val="20"/>
          <w:u w:val="none"/>
        </w:rPr>
        <w:t>"Here is my outline for my assigned section: [outline]. What gaps do you see? What questions would a reader have after reading this section that the outline doesn't seem to answer?"</w:t>
      </w:r>
    </w:p>
    <w:p>
      <w:pPr>
        <w:ind w:left="720" w:hanging="360"/>
        <w:spacing w:before="0" w:after="60" w:line="276" w:lineRule="auto"/>
      </w:pPr>
      <w:r>
        <w:rPr>
          <w:rFonts w:ascii="DM Sans" w:hAnsi="DM Sans" w:cs="DM Sans"/>
          <w:b/>
          <w:i w:val="0"/>
          <w:color w:val="FF7C0A"/>
          <w:sz w:val="20"/>
          <w:u w:val="none"/>
        </w:rPr>
        <w:t xml:space="preserve">•  </w:t>
      </w:r>
      <w:r>
        <w:rPr>
          <w:rFonts w:ascii="DM Sans" w:hAnsi="DM Sans" w:cs="DM Sans"/>
          <w:b w:val="0"/>
          <w:i/>
          <w:color w:val="050C2A"/>
          <w:sz w:val="20"/>
          <w:u w:val="none"/>
        </w:rPr>
        <w:t>"I'm about to start drafting from this outline. Is there anything in the structure that seems out of order or that would be confusing to a reader?"</w:t>
      </w:r>
    </w:p>
    <w:sectPr w:rsidR="00FC693F" w:rsidRPr="0006063C" w:rsidSect="00034616">
      <w:headerReference w:type="default" r:id="rId9"/>
      <w:footerReference w:type="default" r:id="rId10"/>
      <w:pgSz w:w="12240" w:h="15840"/>
      <w:pgMar w:top="1440"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DM Sans" w:hAnsi="DM Sans" w:cs="DM Sans"/>
        <w:b/>
        <w:i w:val="0"/>
        <w:color w:val="FF7C0A"/>
        <w:sz w:val="16"/>
        <w:u w:val="none"/>
      </w:rPr>
      <w:t>Riipen</w:t>
    </w:r>
    <w:r>
      <w:rPr>
        <w:rFonts w:ascii="DM Sans" w:hAnsi="DM Sans" w:cs="DM Sans"/>
        <w:b w:val="0"/>
        <w:i w:val="0"/>
        <w:color w:val="ACACAC"/>
        <w:sz w:val="16"/>
        <w:u w:val="none"/>
      </w:rPr>
      <w:t xml:space="preserve">  |  </w:t>
    </w:r>
    <w:r>
      <w:rPr>
        <w:rFonts w:ascii="DM Sans" w:hAnsi="DM Sans" w:cs="DM Sans"/>
        <w:b w:val="0"/>
        <w:i w:val="0"/>
        <w:color w:val="ACACAC"/>
        <w:sz w:val="16"/>
        <w:u w:val="none"/>
      </w:rPr>
      <w:t>riipen.com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1097280" cy="574243"/>
          <wp:docPr id="1" name="Picture 1"/>
          <wp:cNvGraphicFramePr>
            <a:graphicFrameLocks noChangeAspect="1"/>
          </wp:cNvGraphicFramePr>
          <a:graphic>
            <a:graphicData uri="http://schemas.openxmlformats.org/drawingml/2006/picture">
              <pic:pic>
                <pic:nvPicPr>
                  <pic:cNvPr id="0" name="Riipen_Logo.jpg"/>
                  <pic:cNvPicPr/>
                </pic:nvPicPr>
                <pic:blipFill>
                  <a:blip r:embed="rId1"/>
                  <a:stretch>
                    <a:fillRect/>
                  </a:stretch>
                </pic:blipFill>
                <pic:spPr>
                  <a:xfrm>
                    <a:off x="0" y="0"/>
                    <a:ext cx="1097280" cy="574243"/>
                  </a:xfrm>
                  <a:prstGeom prst="rect"/>
                </pic:spPr>
              </pic:pic>
            </a:graphicData>
          </a:graphic>
        </wp:inline>
      </w:drawing>
    </w:r>
  </w:p>
  <w:p>
    <w:pPr>
      <w:jc w:val="right"/>
      <w:spacing w:before="0" w:after="120"/>
    </w:pPr>
    <w:r>
      <w:rPr>
        <w:rFonts w:ascii="DM Sans" w:hAnsi="DM Sans" w:cs="DM Sans"/>
        <w:b w:val="0"/>
        <w:i w:val="0"/>
        <w:color w:val="ACACAC"/>
        <w:sz w:val="18"/>
        <w:u w:val="none"/>
      </w:rPr>
      <w:t>1200-555 West Hastings Street Vancouver, BC, V6B 4N6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DM Sans" w:hAnsi="DM Sans" w:cs="DM Sans"/>
      <w:color w:val="050C2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