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7 — Building Professional Work Products</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254"/>
            <w:shd w:fill="FF7C0A" w:val="clear"/>
            <w:vAlign w:val="center"/>
          </w:tcPr>
          <w:p>
            <w:pPr>
              <w:jc w:val="left"/>
              <w:spacing w:before="40" w:after="40"/>
            </w:pPr>
            <w:r>
              <w:rPr>
                <w:rFonts w:ascii="DM Sans" w:hAnsi="DM Sans" w:cs="DM Sans"/>
                <w:b/>
                <w:i w:val="0"/>
                <w:color w:val="FFFFFF"/>
                <w:sz w:val="20"/>
                <w:u w:val="none"/>
              </w:rPr>
            </w:r>
          </w:p>
        </w:tc>
        <w:tc>
          <w:tcPr>
            <w:tcW w:type="dxa" w:w="6106"/>
            <w:shd w:fill="FF7C0A" w:val="clear"/>
            <w:vAlign w:val="center"/>
          </w:tcPr>
          <w:p>
            <w:pPr>
              <w:jc w:val="left"/>
              <w:spacing w:before="40" w:after="40"/>
            </w:pPr>
            <w:r>
              <w:rPr>
                <w:rFonts w:ascii="DM Sans" w:hAnsi="DM Sans" w:cs="DM Sans"/>
                <w:b/>
                <w:i w:val="0"/>
                <w:color w:val="FFFFFF"/>
                <w:sz w:val="20"/>
                <w:u w:val="none"/>
              </w:rPr>
            </w:r>
          </w:p>
        </w:tc>
      </w:tr>
      <w:tr>
        <w:tc>
          <w:tcPr>
            <w:tcW w:type="dxa" w:w="3254"/>
            <w:vAlign w:val="center"/>
          </w:tcPr>
          <w:p>
            <w:pPr>
              <w:spacing w:before="30" w:after="30"/>
            </w:pPr>
            <w:r>
              <w:rPr>
                <w:rFonts w:ascii="DM Sans" w:hAnsi="DM Sans" w:cs="DM Sans"/>
                <w:b/>
                <w:i w:val="0"/>
                <w:color w:val="050C2A"/>
                <w:sz w:val="20"/>
                <w:u w:val="none"/>
              </w:rPr>
              <w:t>Phase</w:t>
            </w:r>
          </w:p>
        </w:tc>
        <w:tc>
          <w:tcPr>
            <w:tcW w:type="dxa" w:w="6106"/>
            <w:vAlign w:val="center"/>
          </w:tcPr>
          <w:p>
            <w:pPr>
              <w:spacing w:before="30" w:after="30"/>
            </w:pPr>
            <w:r>
              <w:rPr>
                <w:rFonts w:ascii="DM Sans" w:hAnsi="DM Sans" w:cs="DM Sans"/>
                <w:b w:val="0"/>
                <w:i w:val="0"/>
                <w:color w:val="050C2A"/>
                <w:sz w:val="20"/>
                <w:u w:val="none"/>
              </w:rPr>
              <w:t>Development</w:t>
            </w:r>
          </w:p>
        </w:tc>
      </w:tr>
      <w:tr>
        <w:tc>
          <w:tcPr>
            <w:tcW w:type="dxa" w:w="3254"/>
            <w:shd w:fill="F5F5F5" w:val="clear"/>
            <w:vAlign w:val="center"/>
          </w:tcPr>
          <w:p>
            <w:pPr>
              <w:spacing w:before="30" w:after="30"/>
            </w:pPr>
            <w:r>
              <w:rPr>
                <w:rFonts w:ascii="DM Sans" w:hAnsi="DM Sans" w:cs="DM Sans"/>
                <w:b/>
                <w:i w:val="0"/>
                <w:color w:val="050C2A"/>
                <w:sz w:val="20"/>
                <w:u w:val="none"/>
              </w:rPr>
              <w:t>Module Title</w:t>
            </w:r>
          </w:p>
        </w:tc>
        <w:tc>
          <w:tcPr>
            <w:tcW w:type="dxa" w:w="6106"/>
            <w:shd w:fill="F5F5F5" w:val="clear"/>
            <w:vAlign w:val="center"/>
          </w:tcPr>
          <w:p>
            <w:pPr>
              <w:spacing w:before="30" w:after="30"/>
            </w:pPr>
            <w:r>
              <w:rPr>
                <w:rFonts w:ascii="DM Sans" w:hAnsi="DM Sans" w:cs="DM Sans"/>
                <w:b w:val="0"/>
                <w:i w:val="0"/>
                <w:color w:val="050C2A"/>
                <w:sz w:val="20"/>
                <w:u w:val="none"/>
              </w:rPr>
              <w:t>Building Professional Work Products</w:t>
            </w:r>
          </w:p>
        </w:tc>
      </w:tr>
      <w:tr>
        <w:tc>
          <w:tcPr>
            <w:tcW w:type="dxa" w:w="3254"/>
            <w:vAlign w:val="center"/>
          </w:tcPr>
          <w:p>
            <w:pPr>
              <w:spacing w:before="30" w:after="30"/>
            </w:pPr>
            <w:r>
              <w:rPr>
                <w:rFonts w:ascii="DM Sans" w:hAnsi="DM Sans" w:cs="DM Sans"/>
                <w:b/>
                <w:i w:val="0"/>
                <w:color w:val="050C2A"/>
                <w:sz w:val="20"/>
                <w:u w:val="none"/>
              </w:rPr>
              <w:t>Primary Function</w:t>
            </w:r>
          </w:p>
        </w:tc>
        <w:tc>
          <w:tcPr>
            <w:tcW w:type="dxa" w:w="6106"/>
            <w:vAlign w:val="center"/>
          </w:tcPr>
          <w:p>
            <w:pPr>
              <w:spacing w:before="30" w:after="30"/>
            </w:pPr>
            <w:r>
              <w:rPr>
                <w:rFonts w:ascii="DM Sans" w:hAnsi="DM Sans" w:cs="DM Sans"/>
                <w:b w:val="0"/>
                <w:i w:val="0"/>
                <w:color w:val="050C2A"/>
                <w:sz w:val="20"/>
                <w:u w:val="none"/>
              </w:rPr>
              <w:t>Production skill-building + feedback protocol + employer touchpoint + project production</w:t>
            </w:r>
          </w:p>
        </w:tc>
      </w:tr>
      <w:tr>
        <w:tc>
          <w:tcPr>
            <w:tcW w:type="dxa" w:w="3254"/>
            <w:shd w:fill="F5F5F5" w:val="clear"/>
            <w:vAlign w:val="center"/>
          </w:tcPr>
          <w:p>
            <w:pPr>
              <w:spacing w:before="30" w:after="30"/>
            </w:pPr>
            <w:r>
              <w:rPr>
                <w:rFonts w:ascii="DM Sans" w:hAnsi="DM Sans" w:cs="DM Sans"/>
                <w:b/>
                <w:i w:val="0"/>
                <w:color w:val="050C2A"/>
                <w:sz w:val="20"/>
                <w:u w:val="none"/>
              </w:rPr>
              <w:t>Total Student Time</w:t>
            </w:r>
          </w:p>
        </w:tc>
        <w:tc>
          <w:tcPr>
            <w:tcW w:type="dxa" w:w="6106"/>
            <w:shd w:fill="F5F5F5" w:val="clear"/>
            <w:vAlign w:val="center"/>
          </w:tcPr>
          <w:p>
            <w:pPr>
              <w:spacing w:before="30" w:after="30"/>
            </w:pPr>
            <w:r>
              <w:rPr>
                <w:rFonts w:ascii="DM Sans" w:hAnsi="DM Sans" w:cs="DM Sans"/>
                <w:b w:val="0"/>
                <w:i w:val="0"/>
                <w:color w:val="050C2A"/>
                <w:sz w:val="20"/>
                <w:u w:val="none"/>
              </w:rPr>
              <w:t>615 min (~10 hrs 15 min)</w:t>
            </w:r>
          </w:p>
        </w:tc>
      </w:tr>
      <w:tr>
        <w:tc>
          <w:tcPr>
            <w:tcW w:type="dxa" w:w="3254"/>
            <w:vAlign w:val="center"/>
          </w:tcPr>
          <w:p>
            <w:pPr>
              <w:spacing w:before="30" w:after="30"/>
            </w:pPr>
            <w:r>
              <w:rPr>
                <w:rFonts w:ascii="DM Sans" w:hAnsi="DM Sans" w:cs="DM Sans"/>
                <w:b/>
                <w:i w:val="0"/>
                <w:color w:val="050C2A"/>
                <w:sz w:val="20"/>
                <w:u w:val="none"/>
              </w:rPr>
              <w:t>Deliverable This Week</w:t>
            </w:r>
          </w:p>
        </w:tc>
        <w:tc>
          <w:tcPr>
            <w:tcW w:type="dxa" w:w="6106"/>
            <w:vAlign w:val="center"/>
          </w:tcPr>
          <w:p>
            <w:pPr>
              <w:spacing w:before="30" w:after="30"/>
            </w:pPr>
            <w:r>
              <w:rPr>
                <w:rFonts w:ascii="DM Sans" w:hAnsi="DM Sans" w:cs="DM Sans"/>
                <w:b w:val="0"/>
                <w:i w:val="0"/>
                <w:color w:val="050C2A"/>
                <w:sz w:val="20"/>
                <w:u w:val="none"/>
              </w:rPr>
              <w:t>Work-in-Progress Summary (Checkpoint — completion-based, team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7,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42"/>
            <w:shd w:fill="FF7C0A" w:val="clear"/>
            <w:vAlign w:val="center"/>
          </w:tcPr>
          <w:p>
            <w:pPr>
              <w:jc w:val="left"/>
              <w:spacing w:before="40" w:after="40"/>
            </w:pPr>
            <w:r>
              <w:rPr>
                <w:rFonts w:ascii="DM Sans" w:hAnsi="DM Sans" w:cs="DM Sans"/>
                <w:b/>
                <w:i w:val="0"/>
                <w:color w:val="FFFFFF"/>
                <w:sz w:val="20"/>
                <w:u w:val="none"/>
              </w:rPr>
              <w:t>#</w:t>
            </w:r>
          </w:p>
        </w:tc>
        <w:tc>
          <w:tcPr>
            <w:tcW w:type="dxa" w:w="5149"/>
            <w:shd w:fill="FF7C0A" w:val="clear"/>
            <w:vAlign w:val="center"/>
          </w:tcPr>
          <w:p>
            <w:pPr>
              <w:jc w:val="left"/>
              <w:spacing w:before="40" w:after="40"/>
            </w:pPr>
            <w:r>
              <w:rPr>
                <w:rFonts w:ascii="DM Sans" w:hAnsi="DM Sans" w:cs="DM Sans"/>
                <w:b/>
                <w:i w:val="0"/>
                <w:color w:val="FFFFFF"/>
                <w:sz w:val="20"/>
                <w:u w:val="none"/>
              </w:rPr>
              <w:t>Objective</w:t>
            </w:r>
          </w:p>
        </w:tc>
        <w:tc>
          <w:tcPr>
            <w:tcW w:type="dxa" w:w="3369"/>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42"/>
            <w:vAlign w:val="center"/>
          </w:tcPr>
          <w:p>
            <w:pPr>
              <w:spacing w:before="30" w:after="30"/>
            </w:pPr>
            <w:r>
              <w:rPr>
                <w:rFonts w:ascii="DM Sans" w:hAnsi="DM Sans" w:cs="DM Sans"/>
                <w:b/>
                <w:i w:val="0"/>
                <w:color w:val="050C2A"/>
                <w:sz w:val="20"/>
                <w:u w:val="none"/>
              </w:rPr>
              <w:t>1</w:t>
            </w:r>
          </w:p>
        </w:tc>
        <w:tc>
          <w:tcPr>
            <w:tcW w:type="dxa" w:w="5149"/>
            <w:vAlign w:val="center"/>
          </w:tcPr>
          <w:p>
            <w:pPr>
              <w:spacing w:before="30" w:after="30"/>
            </w:pPr>
            <w:r>
              <w:rPr>
                <w:rFonts w:ascii="DM Sans" w:hAnsi="DM Sans" w:cs="DM Sans"/>
                <w:b w:val="0"/>
                <w:i w:val="0"/>
                <w:color w:val="050C2A"/>
                <w:sz w:val="20"/>
                <w:u w:val="none"/>
              </w:rPr>
              <w:t>Apply a structured protocol for receiving feedback on their own work, including listening to understand, clarifying before reacting, and deferring evaluation until after the conversation.</w:t>
            </w:r>
          </w:p>
        </w:tc>
        <w:tc>
          <w:tcPr>
            <w:tcW w:type="dxa" w:w="3369"/>
            <w:vAlign w:val="center"/>
          </w:tcPr>
          <w:p>
            <w:pPr>
              <w:spacing w:before="30" w:after="30"/>
            </w:pPr>
            <w:r>
              <w:rPr>
                <w:rFonts w:ascii="DM Sans" w:hAnsi="DM Sans" w:cs="DM Sans"/>
                <w:b w:val="0"/>
                <w:i w:val="0"/>
                <w:color w:val="050C2A"/>
                <w:sz w:val="20"/>
                <w:u w:val="none"/>
              </w:rPr>
              <w:t>Professionalism → Feedback Reception</w:t>
            </w:r>
          </w:p>
        </w:tc>
      </w:tr>
      <w:tr>
        <w:tc>
          <w:tcPr>
            <w:tcW w:type="dxa" w:w="842"/>
            <w:shd w:fill="F5F5F5" w:val="clear"/>
            <w:vAlign w:val="center"/>
          </w:tcPr>
          <w:p>
            <w:pPr>
              <w:spacing w:before="30" w:after="30"/>
            </w:pPr>
            <w:r>
              <w:rPr>
                <w:rFonts w:ascii="DM Sans" w:hAnsi="DM Sans" w:cs="DM Sans"/>
                <w:b/>
                <w:i w:val="0"/>
                <w:color w:val="050C2A"/>
                <w:sz w:val="20"/>
                <w:u w:val="none"/>
              </w:rPr>
              <w:t>2</w:t>
            </w:r>
          </w:p>
        </w:tc>
        <w:tc>
          <w:tcPr>
            <w:tcW w:type="dxa" w:w="5149"/>
            <w:shd w:fill="F5F5F5" w:val="clear"/>
            <w:vAlign w:val="center"/>
          </w:tcPr>
          <w:p>
            <w:pPr>
              <w:spacing w:before="30" w:after="30"/>
            </w:pPr>
            <w:r>
              <w:rPr>
                <w:rFonts w:ascii="DM Sans" w:hAnsi="DM Sans" w:cs="DM Sans"/>
                <w:b w:val="0"/>
                <w:i w:val="0"/>
                <w:color w:val="050C2A"/>
                <w:sz w:val="20"/>
                <w:u w:val="none"/>
              </w:rPr>
              <w:t>Distinguish between the conventions of academic writing and professional client-facing deliverables and apply those conventions to their own draft work products.</w:t>
            </w:r>
          </w:p>
        </w:tc>
        <w:tc>
          <w:tcPr>
            <w:tcW w:type="dxa" w:w="3369"/>
            <w:shd w:fill="F5F5F5" w:val="clear"/>
            <w:vAlign w:val="center"/>
          </w:tcPr>
          <w:p>
            <w:pPr>
              <w:spacing w:before="30" w:after="30"/>
            </w:pPr>
            <w:r>
              <w:rPr>
                <w:rFonts w:ascii="DM Sans" w:hAnsi="DM Sans" w:cs="DM Sans"/>
                <w:b w:val="0"/>
                <w:i w:val="0"/>
                <w:color w:val="050C2A"/>
                <w:sz w:val="20"/>
                <w:u w:val="none"/>
              </w:rPr>
              <w:t>Communication → Written Clarity; Professionalism → Quality &amp; Attention to Detail</w:t>
            </w:r>
          </w:p>
        </w:tc>
      </w:tr>
      <w:tr>
        <w:tc>
          <w:tcPr>
            <w:tcW w:type="dxa" w:w="842"/>
            <w:vAlign w:val="center"/>
          </w:tcPr>
          <w:p>
            <w:pPr>
              <w:spacing w:before="30" w:after="30"/>
            </w:pPr>
            <w:r>
              <w:rPr>
                <w:rFonts w:ascii="DM Sans" w:hAnsi="DM Sans" w:cs="DM Sans"/>
                <w:b/>
                <w:i w:val="0"/>
                <w:color w:val="050C2A"/>
                <w:sz w:val="20"/>
                <w:u w:val="none"/>
              </w:rPr>
              <w:t>3</w:t>
            </w:r>
          </w:p>
        </w:tc>
        <w:tc>
          <w:tcPr>
            <w:tcW w:type="dxa" w:w="5149"/>
            <w:vAlign w:val="center"/>
          </w:tcPr>
          <w:p>
            <w:pPr>
              <w:spacing w:before="30" w:after="30"/>
            </w:pPr>
            <w:r>
              <w:rPr>
                <w:rFonts w:ascii="DM Sans" w:hAnsi="DM Sans" w:cs="DM Sans"/>
                <w:b w:val="0"/>
                <w:i w:val="0"/>
                <w:color w:val="050C2A"/>
                <w:sz w:val="20"/>
                <w:u w:val="none"/>
              </w:rPr>
              <w:t>Read a teammate's draft section and provide specific, actionable written feedback focused on clarity, argument structure, evidence quality, and tone.</w:t>
            </w:r>
          </w:p>
        </w:tc>
        <w:tc>
          <w:tcPr>
            <w:tcW w:type="dxa" w:w="3369"/>
            <w:vAlign w:val="center"/>
          </w:tcPr>
          <w:p>
            <w:pPr>
              <w:spacing w:before="30" w:after="30"/>
            </w:pPr>
            <w:r>
              <w:rPr>
                <w:rFonts w:ascii="DM Sans" w:hAnsi="DM Sans" w:cs="DM Sans"/>
                <w:b w:val="0"/>
                <w:i w:val="0"/>
                <w:color w:val="050C2A"/>
                <w:sz w:val="20"/>
                <w:u w:val="none"/>
              </w:rPr>
              <w:t>Teamwork → Constructive Feedback</w:t>
            </w:r>
          </w:p>
        </w:tc>
      </w:tr>
      <w:tr>
        <w:tc>
          <w:tcPr>
            <w:tcW w:type="dxa" w:w="842"/>
            <w:shd w:fill="F5F5F5" w:val="clear"/>
            <w:vAlign w:val="center"/>
          </w:tcPr>
          <w:p>
            <w:pPr>
              <w:spacing w:before="30" w:after="30"/>
            </w:pPr>
            <w:r>
              <w:rPr>
                <w:rFonts w:ascii="DM Sans" w:hAnsi="DM Sans" w:cs="DM Sans"/>
                <w:b/>
                <w:i w:val="0"/>
                <w:color w:val="050C2A"/>
                <w:sz w:val="20"/>
                <w:u w:val="none"/>
              </w:rPr>
              <w:t>4</w:t>
            </w:r>
          </w:p>
        </w:tc>
        <w:tc>
          <w:tcPr>
            <w:tcW w:type="dxa" w:w="5149"/>
            <w:shd w:fill="F5F5F5" w:val="clear"/>
            <w:vAlign w:val="center"/>
          </w:tcPr>
          <w:p>
            <w:pPr>
              <w:spacing w:before="30" w:after="30"/>
            </w:pPr>
            <w:r>
              <w:rPr>
                <w:rFonts w:ascii="DM Sans" w:hAnsi="DM Sans" w:cs="DM Sans"/>
                <w:b w:val="0"/>
                <w:i w:val="0"/>
                <w:color w:val="050C2A"/>
                <w:sz w:val="20"/>
                <w:u w:val="none"/>
              </w:rPr>
              <w:t>Make deliberate decisions about when to use tables, charts, or narrative to present data in a way that supports an argument rather than simply reports information.</w:t>
            </w:r>
          </w:p>
        </w:tc>
        <w:tc>
          <w:tcPr>
            <w:tcW w:type="dxa" w:w="3369"/>
            <w:shd w:fill="F5F5F5" w:val="clear"/>
            <w:vAlign w:val="center"/>
          </w:tcPr>
          <w:p>
            <w:pPr>
              <w:spacing w:before="30" w:after="30"/>
            </w:pPr>
            <w:r>
              <w:rPr>
                <w:rFonts w:ascii="DM Sans" w:hAnsi="DM Sans" w:cs="DM Sans"/>
                <w:b w:val="0"/>
                <w:i w:val="0"/>
                <w:color w:val="050C2A"/>
                <w:sz w:val="20"/>
                <w:u w:val="none"/>
              </w:rPr>
              <w:t>Communication → Written Clarity; Critical Thinking → Evidence-Based Reasoning</w:t>
            </w:r>
          </w:p>
        </w:tc>
      </w:tr>
      <w:tr>
        <w:tc>
          <w:tcPr>
            <w:tcW w:type="dxa" w:w="842"/>
            <w:vAlign w:val="center"/>
          </w:tcPr>
          <w:p>
            <w:pPr>
              <w:spacing w:before="30" w:after="30"/>
            </w:pPr>
            <w:r>
              <w:rPr>
                <w:rFonts w:ascii="DM Sans" w:hAnsi="DM Sans" w:cs="DM Sans"/>
                <w:b/>
                <w:i w:val="0"/>
                <w:color w:val="050C2A"/>
                <w:sz w:val="20"/>
                <w:u w:val="none"/>
              </w:rPr>
              <w:t>5</w:t>
            </w:r>
          </w:p>
        </w:tc>
        <w:tc>
          <w:tcPr>
            <w:tcW w:type="dxa" w:w="5149"/>
            <w:vAlign w:val="center"/>
          </w:tcPr>
          <w:p>
            <w:pPr>
              <w:spacing w:before="30" w:after="30"/>
            </w:pPr>
            <w:r>
              <w:rPr>
                <w:rFonts w:ascii="DM Sans" w:hAnsi="DM Sans" w:cs="DM Sans"/>
                <w:b w:val="0"/>
                <w:i w:val="0"/>
                <w:color w:val="050C2A"/>
                <w:sz w:val="20"/>
                <w:u w:val="none"/>
              </w:rPr>
              <w:t>Produce a concise written summary of project progress that honestly assesses current status, identifies specific challenges, and articulates targeted questions for the employer.</w:t>
            </w:r>
          </w:p>
        </w:tc>
        <w:tc>
          <w:tcPr>
            <w:tcW w:type="dxa" w:w="3369"/>
            <w:vAlign w:val="center"/>
          </w:tcPr>
          <w:p>
            <w:pPr>
              <w:spacing w:before="30" w:after="30"/>
            </w:pPr>
            <w:r>
              <w:rPr>
                <w:rFonts w:ascii="DM Sans" w:hAnsi="DM Sans" w:cs="DM Sans"/>
                <w:b w:val="0"/>
                <w:i w:val="0"/>
                <w:color w:val="050C2A"/>
                <w:sz w:val="20"/>
                <w:u w:val="none"/>
              </w:rPr>
              <w:t>Communication → Written Clarity</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7 marks the transition into the Development phase and is built around two priorities: equipping students with production skills for the client-facing work they are now building, and preparing them for Check-In #1, a questions-based employer meeting where students bring specific questions and decision points rather than presenting a formal progress report. The module content has been rebalanced from the original feedback-only design to serve both needs. Students get a compressed but complete feedback reception protocol (just-in-time for Check-In #1) alongside new production skill content — professional document conventions, peer draft review, and data/visual presentation — that they need as they enter the building phase. The "Why Feedback Feels Hard" framing is folded into the receiving protocol as a brief intro rather than a standalone section; students are about to experience real feedback from a real employer, and the lived experience will teach this lesson more effectively than a module. The WIP Summary assignment was not previewed in Week 6, so this week includes time for students to read the assignment description and completion criteria before drafting. The production block remains substantial despite the meeting load and expanded module because Week 7 is still a core production week — teams need to continue building their deliverables alongside the feedback cycle. This week also introduces the Weekly Progress Check-In as a standing prompt embedded in the async communication activity, continuing through Week 13.</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89"/>
            <w:shd w:fill="FF7C0A" w:val="clear"/>
            <w:vAlign w:val="center"/>
          </w:tcPr>
          <w:p>
            <w:pPr>
              <w:jc w:val="left"/>
              <w:spacing w:before="40" w:after="40"/>
            </w:pPr>
            <w:r>
              <w:rPr>
                <w:rFonts w:ascii="DM Sans" w:hAnsi="DM Sans" w:cs="DM Sans"/>
                <w:b/>
                <w:i w:val="0"/>
                <w:color w:val="FFFFFF"/>
                <w:sz w:val="20"/>
                <w:u w:val="none"/>
              </w:rPr>
              <w:t>#</w:t>
            </w:r>
          </w:p>
        </w:tc>
        <w:tc>
          <w:tcPr>
            <w:tcW w:type="dxa" w:w="974"/>
            <w:shd w:fill="FF7C0A" w:val="clear"/>
            <w:vAlign w:val="center"/>
          </w:tcPr>
          <w:p>
            <w:pPr>
              <w:jc w:val="left"/>
              <w:spacing w:before="40" w:after="40"/>
            </w:pPr>
            <w:r>
              <w:rPr>
                <w:rFonts w:ascii="DM Sans" w:hAnsi="DM Sans" w:cs="DM Sans"/>
                <w:b/>
                <w:i w:val="0"/>
                <w:color w:val="FFFFFF"/>
                <w:sz w:val="20"/>
                <w:u w:val="none"/>
              </w:rPr>
              <w:t>Category</w:t>
            </w:r>
          </w:p>
        </w:tc>
        <w:tc>
          <w:tcPr>
            <w:tcW w:type="dxa" w:w="2099"/>
            <w:shd w:fill="FF7C0A" w:val="clear"/>
            <w:vAlign w:val="center"/>
          </w:tcPr>
          <w:p>
            <w:pPr>
              <w:jc w:val="left"/>
              <w:spacing w:before="40" w:after="40"/>
            </w:pPr>
            <w:r>
              <w:rPr>
                <w:rFonts w:ascii="DM Sans" w:hAnsi="DM Sans" w:cs="DM Sans"/>
                <w:b/>
                <w:i w:val="0"/>
                <w:color w:val="FFFFFF"/>
                <w:sz w:val="20"/>
                <w:u w:val="none"/>
              </w:rPr>
              <w:t>Activity</w:t>
            </w:r>
          </w:p>
        </w:tc>
        <w:tc>
          <w:tcPr>
            <w:tcW w:type="dxa" w:w="515"/>
            <w:shd w:fill="FF7C0A" w:val="clear"/>
            <w:vAlign w:val="center"/>
          </w:tcPr>
          <w:p>
            <w:pPr>
              <w:jc w:val="left"/>
              <w:spacing w:before="40" w:after="40"/>
            </w:pPr>
            <w:r>
              <w:rPr>
                <w:rFonts w:ascii="DM Sans" w:hAnsi="DM Sans" w:cs="DM Sans"/>
                <w:b/>
                <w:i w:val="0"/>
                <w:color w:val="FFFFFF"/>
                <w:sz w:val="20"/>
                <w:u w:val="none"/>
              </w:rPr>
              <w:t>Format</w:t>
            </w:r>
          </w:p>
        </w:tc>
        <w:tc>
          <w:tcPr>
            <w:tcW w:type="dxa" w:w="1031"/>
            <w:shd w:fill="FF7C0A" w:val="clear"/>
            <w:vAlign w:val="center"/>
          </w:tcPr>
          <w:p>
            <w:pPr>
              <w:jc w:val="left"/>
              <w:spacing w:before="40" w:after="40"/>
            </w:pPr>
            <w:r>
              <w:rPr>
                <w:rFonts w:ascii="DM Sans" w:hAnsi="DM Sans" w:cs="DM Sans"/>
                <w:b/>
                <w:i w:val="0"/>
                <w:color w:val="FFFFFF"/>
                <w:sz w:val="20"/>
                <w:u w:val="none"/>
              </w:rPr>
              <w:t>Min</w:t>
            </w:r>
          </w:p>
        </w:tc>
        <w:tc>
          <w:tcPr>
            <w:tcW w:type="dxa" w:w="4352"/>
            <w:shd w:fill="FF7C0A" w:val="clear"/>
            <w:vAlign w:val="center"/>
          </w:tcPr>
          <w:p>
            <w:pPr>
              <w:jc w:val="left"/>
              <w:spacing w:before="40" w:after="40"/>
            </w:pPr>
            <w:r>
              <w:rPr>
                <w:rFonts w:ascii="DM Sans" w:hAnsi="DM Sans" w:cs="DM Sans"/>
                <w:b/>
                <w:i w:val="0"/>
                <w:color w:val="FFFFFF"/>
                <w:sz w:val="20"/>
                <w:u w:val="none"/>
              </w:rPr>
              <w:t>Note</w:t>
            </w:r>
          </w:p>
        </w:tc>
      </w:tr>
      <w:tr>
        <w:tc>
          <w:tcPr>
            <w:tcW w:type="dxa" w:w="389"/>
            <w:vAlign w:val="center"/>
          </w:tcPr>
          <w:p>
            <w:pPr>
              <w:spacing w:before="30" w:after="30"/>
            </w:pPr>
            <w:r>
              <w:rPr>
                <w:rFonts w:ascii="DM Sans" w:hAnsi="DM Sans" w:cs="DM Sans"/>
                <w:b w:val="0"/>
                <w:i w:val="0"/>
                <w:color w:val="050C2A"/>
                <w:sz w:val="20"/>
                <w:u w:val="none"/>
              </w:rPr>
              <w:t>7.01</w:t>
            </w:r>
          </w:p>
        </w:tc>
        <w:tc>
          <w:tcPr>
            <w:tcW w:type="dxa" w:w="974"/>
            <w:vAlign w:val="center"/>
          </w:tcPr>
          <w:p>
            <w:pPr>
              <w:spacing w:before="30" w:after="30"/>
            </w:pPr>
            <w:r>
              <w:rPr>
                <w:rFonts w:ascii="DM Sans" w:hAnsi="DM Sans" w:cs="DM Sans"/>
                <w:b w:val="0"/>
                <w:i w:val="0"/>
                <w:color w:val="050C2A"/>
                <w:sz w:val="20"/>
                <w:u w:val="none"/>
              </w:rPr>
              <w:t>Course Orientation</w:t>
            </w:r>
          </w:p>
        </w:tc>
        <w:tc>
          <w:tcPr>
            <w:tcW w:type="dxa" w:w="2099"/>
            <w:vAlign w:val="center"/>
          </w:tcPr>
          <w:p>
            <w:pPr>
              <w:spacing w:before="30" w:after="30"/>
            </w:pPr>
            <w:r>
              <w:rPr>
                <w:rFonts w:ascii="DM Sans" w:hAnsi="DM Sans" w:cs="DM Sans"/>
                <w:b w:val="0"/>
                <w:i w:val="0"/>
                <w:color w:val="050C2A"/>
                <w:sz w:val="20"/>
                <w:u w:val="none"/>
              </w:rPr>
              <w:t>Week 7 Overview — objectives, what's happening this week, suggested order of completion</w:t>
            </w:r>
          </w:p>
        </w:tc>
        <w:tc>
          <w:tcPr>
            <w:tcW w:type="dxa" w:w="515"/>
            <w:vAlign w:val="center"/>
          </w:tcPr>
          <w:p>
            <w:pPr>
              <w:spacing w:before="30" w:after="30"/>
            </w:pPr>
            <w:r>
              <w:rPr>
                <w:rFonts w:ascii="DM Sans" w:hAnsi="DM Sans" w:cs="DM Sans"/>
                <w:b w:val="0"/>
                <w:i w:val="0"/>
                <w:color w:val="050C2A"/>
                <w:sz w:val="20"/>
                <w:u w:val="none"/>
              </w:rPr>
              <w:t>Module</w:t>
            </w:r>
          </w:p>
        </w:tc>
        <w:tc>
          <w:tcPr>
            <w:tcW w:type="dxa" w:w="1031"/>
            <w:vAlign w:val="center"/>
          </w:tcPr>
          <w:p>
            <w:pPr>
              <w:spacing w:before="30" w:after="30"/>
            </w:pPr>
            <w:r>
              <w:rPr>
                <w:rFonts w:ascii="DM Sans" w:hAnsi="DM Sans" w:cs="DM Sans"/>
                <w:b w:val="0"/>
                <w:i w:val="0"/>
                <w:color w:val="050C2A"/>
                <w:sz w:val="20"/>
                <w:u w:val="none"/>
              </w:rPr>
              <w:t>5</w:t>
            </w:r>
          </w:p>
        </w:tc>
        <w:tc>
          <w:tcPr>
            <w:tcW w:type="dxa" w:w="4352"/>
            <w:vAlign w:val="center"/>
          </w:tcPr>
          <w:p>
            <w:pPr>
              <w:spacing w:before="30" w:after="30"/>
            </w:pPr>
            <w:r>
              <w:rPr>
                <w:rFonts w:ascii="DM Sans" w:hAnsi="DM Sans" w:cs="DM Sans"/>
                <w:b w:val="0"/>
                <w:i w:val="0"/>
                <w:color w:val="050C2A"/>
                <w:sz w:val="20"/>
                <w:u w:val="none"/>
              </w:rPr>
              <w:t>Names Check-In #1 as the anchor event; orients students to the production-centric module structure and feedback cycle; first week of Development phase; this is a questions-based employer meeting, not a formal presentation</w:t>
            </w:r>
          </w:p>
        </w:tc>
      </w:tr>
      <w:tr>
        <w:tc>
          <w:tcPr>
            <w:tcW w:type="dxa" w:w="389"/>
            <w:shd w:fill="F5F5F5" w:val="clear"/>
            <w:vAlign w:val="center"/>
          </w:tcPr>
          <w:p>
            <w:pPr>
              <w:spacing w:before="30" w:after="30"/>
            </w:pPr>
            <w:r>
              <w:rPr>
                <w:rFonts w:ascii="DM Sans" w:hAnsi="DM Sans" w:cs="DM Sans"/>
                <w:b w:val="0"/>
                <w:i w:val="0"/>
                <w:color w:val="050C2A"/>
                <w:sz w:val="20"/>
                <w:u w:val="none"/>
              </w:rPr>
              <w:t>7.02</w:t>
            </w:r>
          </w:p>
        </w:tc>
        <w:tc>
          <w:tcPr>
            <w:tcW w:type="dxa" w:w="974"/>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99"/>
            <w:shd w:fill="F5F5F5" w:val="clear"/>
            <w:vAlign w:val="center"/>
          </w:tcPr>
          <w:p>
            <w:pPr>
              <w:spacing w:before="30" w:after="30"/>
            </w:pPr>
            <w:r>
              <w:rPr>
                <w:rFonts w:ascii="DM Sans" w:hAnsi="DM Sans" w:cs="DM Sans"/>
                <w:b w:val="0"/>
                <w:i w:val="0"/>
                <w:color w:val="050C2A"/>
                <w:sz w:val="20"/>
                <w:u w:val="none"/>
              </w:rPr>
              <w:t>Module: Receiving Feedback Well</w:t>
            </w:r>
          </w:p>
        </w:tc>
        <w:tc>
          <w:tcPr>
            <w:tcW w:type="dxa" w:w="515"/>
            <w:shd w:fill="F5F5F5" w:val="clear"/>
            <w:vAlign w:val="center"/>
          </w:tcPr>
          <w:p>
            <w:pPr>
              <w:spacing w:before="30" w:after="30"/>
            </w:pPr>
            <w:r>
              <w:rPr>
                <w:rFonts w:ascii="DM Sans" w:hAnsi="DM Sans" w:cs="DM Sans"/>
                <w:b w:val="0"/>
                <w:i w:val="0"/>
                <w:color w:val="050C2A"/>
                <w:sz w:val="20"/>
                <w:u w:val="none"/>
              </w:rPr>
              <w:t>Module</w:t>
            </w:r>
          </w:p>
        </w:tc>
        <w:tc>
          <w:tcPr>
            <w:tcW w:type="dxa" w:w="1031"/>
            <w:shd w:fill="F5F5F5" w:val="clear"/>
            <w:vAlign w:val="center"/>
          </w:tcPr>
          <w:p>
            <w:pPr>
              <w:spacing w:before="30" w:after="30"/>
            </w:pPr>
            <w:r>
              <w:rPr>
                <w:rFonts w:ascii="DM Sans" w:hAnsi="DM Sans" w:cs="DM Sans"/>
                <w:b w:val="0"/>
                <w:i w:val="0"/>
                <w:color w:val="050C2A"/>
                <w:sz w:val="20"/>
                <w:u w:val="none"/>
              </w:rPr>
              <w:t>15</w:t>
            </w:r>
          </w:p>
        </w:tc>
        <w:tc>
          <w:tcPr>
            <w:tcW w:type="dxa" w:w="4352"/>
            <w:shd w:fill="F5F5F5" w:val="clear"/>
            <w:vAlign w:val="center"/>
          </w:tcPr>
          <w:p>
            <w:pPr>
              <w:spacing w:before="30" w:after="30"/>
            </w:pPr>
            <w:r>
              <w:rPr>
                <w:rFonts w:ascii="DM Sans" w:hAnsi="DM Sans" w:cs="DM Sans"/>
                <w:b w:val="0"/>
                <w:i w:val="0"/>
                <w:color w:val="050C2A"/>
                <w:sz w:val="20"/>
                <w:u w:val="none"/>
              </w:rPr>
              <w:t>Compressed from 20 min; 'Why Feedback Feels Hard' framing folded in as brief intro rather than standalone section; Listen → Clarify → Acknowledge → Decide Later protocol; just-in-time for Check-In #1</w:t>
            </w:r>
          </w:p>
        </w:tc>
      </w:tr>
      <w:tr>
        <w:tc>
          <w:tcPr>
            <w:tcW w:type="dxa" w:w="389"/>
            <w:vAlign w:val="center"/>
          </w:tcPr>
          <w:p>
            <w:pPr>
              <w:spacing w:before="30" w:after="30"/>
            </w:pPr>
            <w:r>
              <w:rPr>
                <w:rFonts w:ascii="DM Sans" w:hAnsi="DM Sans" w:cs="DM Sans"/>
                <w:b w:val="0"/>
                <w:i w:val="0"/>
                <w:color w:val="050C2A"/>
                <w:sz w:val="20"/>
                <w:u w:val="none"/>
              </w:rPr>
              <w:t>7.03</w:t>
            </w:r>
          </w:p>
        </w:tc>
        <w:tc>
          <w:tcPr>
            <w:tcW w:type="dxa" w:w="974"/>
            <w:vAlign w:val="center"/>
          </w:tcPr>
          <w:p>
            <w:pPr>
              <w:spacing w:before="30" w:after="30"/>
            </w:pPr>
            <w:r>
              <w:rPr>
                <w:rFonts w:ascii="DM Sans" w:hAnsi="DM Sans" w:cs="DM Sans"/>
                <w:b w:val="0"/>
                <w:i w:val="0"/>
                <w:color w:val="050C2A"/>
                <w:sz w:val="20"/>
                <w:u w:val="none"/>
              </w:rPr>
              <w:t>Professional Fundamentals</w:t>
            </w:r>
          </w:p>
        </w:tc>
        <w:tc>
          <w:tcPr>
            <w:tcW w:type="dxa" w:w="2099"/>
            <w:vAlign w:val="center"/>
          </w:tcPr>
          <w:p>
            <w:pPr>
              <w:spacing w:before="30" w:after="30"/>
            </w:pPr>
            <w:r>
              <w:rPr>
                <w:rFonts w:ascii="DM Sans" w:hAnsi="DM Sans" w:cs="DM Sans"/>
                <w:b w:val="0"/>
                <w:i w:val="0"/>
                <w:color w:val="050C2A"/>
                <w:sz w:val="20"/>
                <w:u w:val="none"/>
              </w:rPr>
              <w:t>Module: From Plan to Product — What Professional Deliverables Look Like</w:t>
            </w:r>
          </w:p>
        </w:tc>
        <w:tc>
          <w:tcPr>
            <w:tcW w:type="dxa" w:w="515"/>
            <w:vAlign w:val="center"/>
          </w:tcPr>
          <w:p>
            <w:pPr>
              <w:spacing w:before="30" w:after="30"/>
            </w:pPr>
            <w:r>
              <w:rPr>
                <w:rFonts w:ascii="DM Sans" w:hAnsi="DM Sans" w:cs="DM Sans"/>
                <w:b w:val="0"/>
                <w:i w:val="0"/>
                <w:color w:val="050C2A"/>
                <w:sz w:val="20"/>
                <w:u w:val="none"/>
              </w:rPr>
              <w:t>Module</w:t>
            </w:r>
          </w:p>
        </w:tc>
        <w:tc>
          <w:tcPr>
            <w:tcW w:type="dxa" w:w="1031"/>
            <w:vAlign w:val="center"/>
          </w:tcPr>
          <w:p>
            <w:pPr>
              <w:spacing w:before="30" w:after="30"/>
            </w:pPr>
            <w:r>
              <w:rPr>
                <w:rFonts w:ascii="DM Sans" w:hAnsi="DM Sans" w:cs="DM Sans"/>
                <w:b w:val="0"/>
                <w:i w:val="0"/>
                <w:color w:val="050C2A"/>
                <w:sz w:val="20"/>
                <w:u w:val="none"/>
              </w:rPr>
              <w:t>15</w:t>
            </w:r>
          </w:p>
        </w:tc>
        <w:tc>
          <w:tcPr>
            <w:tcW w:type="dxa" w:w="4352"/>
            <w:vAlign w:val="center"/>
          </w:tcPr>
          <w:p>
            <w:pPr>
              <w:spacing w:before="30" w:after="30"/>
            </w:pPr>
            <w:r>
              <w:rPr>
                <w:rFonts w:ascii="DM Sans" w:hAnsi="DM Sans" w:cs="DM Sans"/>
                <w:b w:val="0"/>
                <w:i w:val="0"/>
                <w:color w:val="050C2A"/>
                <w:sz w:val="20"/>
                <w:u w:val="none"/>
              </w:rPr>
              <w:t>NEW — Conventions of client-facing reports, decks, and memos; difference between academic writing and professional writing; what makes a document 'polished' vs. 'complete'; fills the gap left by self-directed format research in Week 5</w:t>
            </w:r>
          </w:p>
        </w:tc>
      </w:tr>
      <w:tr>
        <w:tc>
          <w:tcPr>
            <w:tcW w:type="dxa" w:w="389"/>
            <w:shd w:fill="F5F5F5" w:val="clear"/>
            <w:vAlign w:val="center"/>
          </w:tcPr>
          <w:p>
            <w:pPr>
              <w:spacing w:before="30" w:after="30"/>
            </w:pPr>
            <w:r>
              <w:rPr>
                <w:rFonts w:ascii="DM Sans" w:hAnsi="DM Sans" w:cs="DM Sans"/>
                <w:b w:val="0"/>
                <w:i w:val="0"/>
                <w:color w:val="050C2A"/>
                <w:sz w:val="20"/>
                <w:u w:val="none"/>
              </w:rPr>
              <w:t>7.04</w:t>
            </w:r>
          </w:p>
        </w:tc>
        <w:tc>
          <w:tcPr>
            <w:tcW w:type="dxa" w:w="974"/>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99"/>
            <w:shd w:fill="F5F5F5" w:val="clear"/>
            <w:vAlign w:val="center"/>
          </w:tcPr>
          <w:p>
            <w:pPr>
              <w:spacing w:before="30" w:after="30"/>
            </w:pPr>
            <w:r>
              <w:rPr>
                <w:rFonts w:ascii="DM Sans" w:hAnsi="DM Sans" w:cs="DM Sans"/>
                <w:b w:val="0"/>
                <w:i w:val="0"/>
                <w:color w:val="050C2A"/>
                <w:sz w:val="20"/>
                <w:u w:val="none"/>
              </w:rPr>
              <w:t>Module: Reviewing Your Teammates' Work</w:t>
            </w:r>
          </w:p>
        </w:tc>
        <w:tc>
          <w:tcPr>
            <w:tcW w:type="dxa" w:w="515"/>
            <w:shd w:fill="F5F5F5" w:val="clear"/>
            <w:vAlign w:val="center"/>
          </w:tcPr>
          <w:p>
            <w:pPr>
              <w:spacing w:before="30" w:after="30"/>
            </w:pPr>
            <w:r>
              <w:rPr>
                <w:rFonts w:ascii="DM Sans" w:hAnsi="DM Sans" w:cs="DM Sans"/>
                <w:b w:val="0"/>
                <w:i w:val="0"/>
                <w:color w:val="050C2A"/>
                <w:sz w:val="20"/>
                <w:u w:val="none"/>
              </w:rPr>
              <w:t>Module</w:t>
            </w:r>
          </w:p>
        </w:tc>
        <w:tc>
          <w:tcPr>
            <w:tcW w:type="dxa" w:w="1031"/>
            <w:shd w:fill="F5F5F5" w:val="clear"/>
            <w:vAlign w:val="center"/>
          </w:tcPr>
          <w:p>
            <w:pPr>
              <w:spacing w:before="30" w:after="30"/>
            </w:pPr>
            <w:r>
              <w:rPr>
                <w:rFonts w:ascii="DM Sans" w:hAnsi="DM Sans" w:cs="DM Sans"/>
                <w:b w:val="0"/>
                <w:i w:val="0"/>
                <w:color w:val="050C2A"/>
                <w:sz w:val="20"/>
                <w:u w:val="none"/>
              </w:rPr>
              <w:t>15</w:t>
            </w:r>
          </w:p>
        </w:tc>
        <w:tc>
          <w:tcPr>
            <w:tcW w:type="dxa" w:w="4352"/>
            <w:shd w:fill="F5F5F5" w:val="clear"/>
            <w:vAlign w:val="center"/>
          </w:tcPr>
          <w:p>
            <w:pPr>
              <w:spacing w:before="30" w:after="30"/>
            </w:pPr>
            <w:r>
              <w:rPr>
                <w:rFonts w:ascii="DM Sans" w:hAnsi="DM Sans" w:cs="DM Sans"/>
                <w:b w:val="0"/>
                <w:i w:val="0"/>
                <w:color w:val="050C2A"/>
                <w:sz w:val="20"/>
                <w:u w:val="none"/>
              </w:rPr>
              <w:t>Reframed from abstract 'Giving Useful Feedback' to concrete production review skill; how to read a colleague's draft section for clarity, argument structure, evidence quality, and tone; distinguishes line editing from structural feedback; positions as Peer Eval #1 prep for Week 8</w:t>
            </w:r>
          </w:p>
        </w:tc>
      </w:tr>
      <w:tr>
        <w:tc>
          <w:tcPr>
            <w:tcW w:type="dxa" w:w="389"/>
            <w:vAlign w:val="center"/>
          </w:tcPr>
          <w:p>
            <w:pPr>
              <w:spacing w:before="30" w:after="30"/>
            </w:pPr>
            <w:r>
              <w:rPr>
                <w:rFonts w:ascii="DM Sans" w:hAnsi="DM Sans" w:cs="DM Sans"/>
                <w:b w:val="0"/>
                <w:i w:val="0"/>
                <w:color w:val="050C2A"/>
                <w:sz w:val="20"/>
                <w:u w:val="none"/>
              </w:rPr>
              <w:t>7.05</w:t>
            </w:r>
          </w:p>
        </w:tc>
        <w:tc>
          <w:tcPr>
            <w:tcW w:type="dxa" w:w="974"/>
            <w:vAlign w:val="center"/>
          </w:tcPr>
          <w:p>
            <w:pPr>
              <w:spacing w:before="30" w:after="30"/>
            </w:pPr>
            <w:r>
              <w:rPr>
                <w:rFonts w:ascii="DM Sans" w:hAnsi="DM Sans" w:cs="DM Sans"/>
                <w:b w:val="0"/>
                <w:i w:val="0"/>
                <w:color w:val="050C2A"/>
                <w:sz w:val="20"/>
                <w:u w:val="none"/>
              </w:rPr>
              <w:t>Professional Fundamentals</w:t>
            </w:r>
          </w:p>
        </w:tc>
        <w:tc>
          <w:tcPr>
            <w:tcW w:type="dxa" w:w="2099"/>
            <w:vAlign w:val="center"/>
          </w:tcPr>
          <w:p>
            <w:pPr>
              <w:spacing w:before="30" w:after="30"/>
            </w:pPr>
            <w:r>
              <w:rPr>
                <w:rFonts w:ascii="DM Sans" w:hAnsi="DM Sans" w:cs="DM Sans"/>
                <w:b w:val="0"/>
                <w:i w:val="0"/>
                <w:color w:val="050C2A"/>
                <w:sz w:val="20"/>
                <w:u w:val="none"/>
              </w:rPr>
              <w:t>Module: Working with Data and Visuals in Your Deliverables</w:t>
            </w:r>
          </w:p>
        </w:tc>
        <w:tc>
          <w:tcPr>
            <w:tcW w:type="dxa" w:w="515"/>
            <w:vAlign w:val="center"/>
          </w:tcPr>
          <w:p>
            <w:pPr>
              <w:spacing w:before="30" w:after="30"/>
            </w:pPr>
            <w:r>
              <w:rPr>
                <w:rFonts w:ascii="DM Sans" w:hAnsi="DM Sans" w:cs="DM Sans"/>
                <w:b w:val="0"/>
                <w:i w:val="0"/>
                <w:color w:val="050C2A"/>
                <w:sz w:val="20"/>
                <w:u w:val="none"/>
              </w:rPr>
              <w:t>Module</w:t>
            </w:r>
          </w:p>
        </w:tc>
        <w:tc>
          <w:tcPr>
            <w:tcW w:type="dxa" w:w="1031"/>
            <w:vAlign w:val="center"/>
          </w:tcPr>
          <w:p>
            <w:pPr>
              <w:spacing w:before="30" w:after="30"/>
            </w:pPr>
            <w:r>
              <w:rPr>
                <w:rFonts w:ascii="DM Sans" w:hAnsi="DM Sans" w:cs="DM Sans"/>
                <w:b w:val="0"/>
                <w:i w:val="0"/>
                <w:color w:val="050C2A"/>
                <w:sz w:val="20"/>
                <w:u w:val="none"/>
              </w:rPr>
              <w:t>15</w:t>
            </w:r>
          </w:p>
        </w:tc>
        <w:tc>
          <w:tcPr>
            <w:tcW w:type="dxa" w:w="4352"/>
            <w:vAlign w:val="center"/>
          </w:tcPr>
          <w:p>
            <w:pPr>
              <w:spacing w:before="30" w:after="30"/>
            </w:pPr>
            <w:r>
              <w:rPr>
                <w:rFonts w:ascii="DM Sans" w:hAnsi="DM Sans" w:cs="DM Sans"/>
                <w:b w:val="0"/>
                <w:i w:val="0"/>
                <w:color w:val="050C2A"/>
                <w:sz w:val="20"/>
                <w:u w:val="none"/>
              </w:rPr>
              <w:t>NEW — When to use tables, charts, or narrative; how to present numbers so they support your argument; using AI to help visualize data while maintaining accuracy; keeping it simple for a client audience</w:t>
            </w:r>
          </w:p>
        </w:tc>
      </w:tr>
      <w:tr>
        <w:tc>
          <w:tcPr>
            <w:tcW w:type="dxa" w:w="389"/>
            <w:shd w:fill="F5F5F5" w:val="clear"/>
            <w:vAlign w:val="center"/>
          </w:tcPr>
          <w:p>
            <w:pPr>
              <w:spacing w:before="30" w:after="30"/>
            </w:pPr>
            <w:r>
              <w:rPr>
                <w:rFonts w:ascii="DM Sans" w:hAnsi="DM Sans" w:cs="DM Sans"/>
                <w:b w:val="0"/>
                <w:i w:val="0"/>
                <w:color w:val="050C2A"/>
                <w:sz w:val="20"/>
                <w:u w:val="none"/>
              </w:rPr>
              <w:t>7.06</w:t>
            </w:r>
          </w:p>
        </w:tc>
        <w:tc>
          <w:tcPr>
            <w:tcW w:type="dxa" w:w="974"/>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99"/>
            <w:shd w:fill="F5F5F5" w:val="clear"/>
            <w:vAlign w:val="center"/>
          </w:tcPr>
          <w:p>
            <w:pPr>
              <w:spacing w:before="30" w:after="30"/>
            </w:pPr>
            <w:r>
              <w:rPr>
                <w:rFonts w:ascii="DM Sans" w:hAnsi="DM Sans" w:cs="DM Sans"/>
                <w:b w:val="0"/>
                <w:i w:val="0"/>
                <w:color w:val="050C2A"/>
                <w:sz w:val="20"/>
                <w:u w:val="none"/>
              </w:rPr>
              <w:t>Module: Preparing for Check-In #1</w:t>
            </w:r>
          </w:p>
        </w:tc>
        <w:tc>
          <w:tcPr>
            <w:tcW w:type="dxa" w:w="515"/>
            <w:shd w:fill="F5F5F5" w:val="clear"/>
            <w:vAlign w:val="center"/>
          </w:tcPr>
          <w:p>
            <w:pPr>
              <w:spacing w:before="30" w:after="30"/>
            </w:pPr>
            <w:r>
              <w:rPr>
                <w:rFonts w:ascii="DM Sans" w:hAnsi="DM Sans" w:cs="DM Sans"/>
                <w:b w:val="0"/>
                <w:i w:val="0"/>
                <w:color w:val="050C2A"/>
                <w:sz w:val="20"/>
                <w:u w:val="none"/>
              </w:rPr>
              <w:t>Module</w:t>
            </w:r>
          </w:p>
        </w:tc>
        <w:tc>
          <w:tcPr>
            <w:tcW w:type="dxa" w:w="1031"/>
            <w:shd w:fill="F5F5F5" w:val="clear"/>
            <w:vAlign w:val="center"/>
          </w:tcPr>
          <w:p>
            <w:pPr>
              <w:spacing w:before="30" w:after="30"/>
            </w:pPr>
            <w:r>
              <w:rPr>
                <w:rFonts w:ascii="DM Sans" w:hAnsi="DM Sans" w:cs="DM Sans"/>
                <w:b w:val="0"/>
                <w:i w:val="0"/>
                <w:color w:val="050C2A"/>
                <w:sz w:val="20"/>
                <w:u w:val="none"/>
              </w:rPr>
              <w:t>10</w:t>
            </w:r>
          </w:p>
        </w:tc>
        <w:tc>
          <w:tcPr>
            <w:tcW w:type="dxa" w:w="4352"/>
            <w:shd w:fill="F5F5F5" w:val="clear"/>
            <w:vAlign w:val="center"/>
          </w:tcPr>
          <w:p>
            <w:pPr>
              <w:spacing w:before="30" w:after="30"/>
            </w:pPr>
            <w:r>
              <w:rPr>
                <w:rFonts w:ascii="DM Sans" w:hAnsi="DM Sans" w:cs="DM Sans"/>
                <w:b w:val="0"/>
                <w:i w:val="0"/>
                <w:color w:val="050C2A"/>
                <w:sz w:val="20"/>
                <w:u w:val="none"/>
              </w:rPr>
              <w:t>How to prepare for a questions-based employer meeting rather than a formal presentation; developing specific questions and decision points that make the meeting productive; anticipating what the employer might ask; planning how to capture and process input; this meeting is about getting what you need from the employer, not performing progress</w:t>
            </w:r>
          </w:p>
        </w:tc>
      </w:tr>
      <w:tr>
        <w:tc>
          <w:tcPr>
            <w:tcW w:type="dxa" w:w="389"/>
            <w:vAlign w:val="center"/>
          </w:tcPr>
          <w:p>
            <w:pPr>
              <w:spacing w:before="30" w:after="30"/>
            </w:pPr>
            <w:r>
              <w:rPr>
                <w:rFonts w:ascii="DM Sans" w:hAnsi="DM Sans" w:cs="DM Sans"/>
                <w:b w:val="0"/>
                <w:i w:val="0"/>
                <w:color w:val="050C2A"/>
                <w:sz w:val="20"/>
                <w:u w:val="none"/>
              </w:rPr>
              <w:t>7.07</w:t>
            </w:r>
          </w:p>
        </w:tc>
        <w:tc>
          <w:tcPr>
            <w:tcW w:type="dxa" w:w="974"/>
            <w:vAlign w:val="center"/>
          </w:tcPr>
          <w:p>
            <w:pPr>
              <w:spacing w:before="30" w:after="30"/>
            </w:pPr>
            <w:r>
              <w:rPr>
                <w:rFonts w:ascii="DM Sans" w:hAnsi="DM Sans" w:cs="DM Sans"/>
                <w:b w:val="0"/>
                <w:i w:val="0"/>
                <w:color w:val="050C2A"/>
                <w:sz w:val="20"/>
                <w:u w:val="none"/>
              </w:rPr>
              <w:t>Project Work</w:t>
            </w:r>
          </w:p>
        </w:tc>
        <w:tc>
          <w:tcPr>
            <w:tcW w:type="dxa" w:w="2099"/>
            <w:vAlign w:val="center"/>
          </w:tcPr>
          <w:p>
            <w:pPr>
              <w:spacing w:before="30" w:after="30"/>
            </w:pPr>
            <w:r>
              <w:rPr>
                <w:rFonts w:ascii="DM Sans" w:hAnsi="DM Sans" w:cs="DM Sans"/>
                <w:b w:val="0"/>
                <w:i w:val="0"/>
                <w:color w:val="050C2A"/>
                <w:sz w:val="20"/>
                <w:u w:val="none"/>
              </w:rPr>
              <w:t>Review Work-in-Progress Summary assignment + draft summary — progress update, challenges, and questions for employer</w:t>
            </w:r>
          </w:p>
        </w:tc>
        <w:tc>
          <w:tcPr>
            <w:tcW w:type="dxa" w:w="515"/>
            <w:vAlign w:val="center"/>
          </w:tcPr>
          <w:p>
            <w:pPr>
              <w:spacing w:before="30" w:after="30"/>
            </w:pPr>
            <w:r>
              <w:rPr>
                <w:rFonts w:ascii="DM Sans" w:hAnsi="DM Sans" w:cs="DM Sans"/>
                <w:b w:val="0"/>
                <w:i w:val="0"/>
                <w:color w:val="050C2A"/>
                <w:sz w:val="20"/>
                <w:u w:val="none"/>
              </w:rPr>
              <w:t>Project</w:t>
            </w:r>
          </w:p>
        </w:tc>
        <w:tc>
          <w:tcPr>
            <w:tcW w:type="dxa" w:w="1031"/>
            <w:vAlign w:val="center"/>
          </w:tcPr>
          <w:p>
            <w:pPr>
              <w:spacing w:before="30" w:after="30"/>
            </w:pPr>
            <w:r>
              <w:rPr>
                <w:rFonts w:ascii="DM Sans" w:hAnsi="DM Sans" w:cs="DM Sans"/>
                <w:b w:val="0"/>
                <w:i w:val="0"/>
                <w:color w:val="050C2A"/>
                <w:sz w:val="20"/>
                <w:u w:val="none"/>
              </w:rPr>
              <w:t>75</w:t>
            </w:r>
          </w:p>
        </w:tc>
        <w:tc>
          <w:tcPr>
            <w:tcW w:type="dxa" w:w="4352"/>
            <w:vAlign w:val="center"/>
          </w:tcPr>
          <w:p>
            <w:pPr>
              <w:spacing w:before="30" w:after="30"/>
            </w:pPr>
            <w:r>
              <w:rPr>
                <w:rFonts w:ascii="DM Sans" w:hAnsi="DM Sans" w:cs="DM Sans"/>
                <w:b w:val="0"/>
                <w:i w:val="0"/>
                <w:color w:val="050C2A"/>
                <w:sz w:val="20"/>
                <w:u w:val="none"/>
              </w:rPr>
              <w:t>Students first encounter the WIP Summary assignment description and completion criteria (not previewed in Week 6), then draft the document (1–2 pages): completed work, current status, challenges encountered, specific feedback needs; checkpoint deliverable; forces teams to articulate progress clearly before the meeting</w:t>
            </w:r>
          </w:p>
        </w:tc>
      </w:tr>
      <w:tr>
        <w:tc>
          <w:tcPr>
            <w:tcW w:type="dxa" w:w="389"/>
            <w:shd w:fill="F5F5F5" w:val="clear"/>
            <w:vAlign w:val="center"/>
          </w:tcPr>
          <w:p>
            <w:pPr>
              <w:spacing w:before="30" w:after="30"/>
            </w:pPr>
            <w:r>
              <w:rPr>
                <w:rFonts w:ascii="DM Sans" w:hAnsi="DM Sans" w:cs="DM Sans"/>
                <w:b w:val="0"/>
                <w:i w:val="0"/>
                <w:color w:val="050C2A"/>
                <w:sz w:val="20"/>
                <w:u w:val="none"/>
              </w:rPr>
              <w:t>7.08</w:t>
            </w:r>
          </w:p>
        </w:tc>
        <w:tc>
          <w:tcPr>
            <w:tcW w:type="dxa" w:w="974"/>
            <w:shd w:fill="F5F5F5" w:val="clear"/>
            <w:vAlign w:val="center"/>
          </w:tcPr>
          <w:p>
            <w:pPr>
              <w:spacing w:before="30" w:after="30"/>
            </w:pPr>
            <w:r>
              <w:rPr>
                <w:rFonts w:ascii="DM Sans" w:hAnsi="DM Sans" w:cs="DM Sans"/>
                <w:b w:val="0"/>
                <w:i w:val="0"/>
                <w:color w:val="050C2A"/>
                <w:sz w:val="20"/>
                <w:u w:val="none"/>
              </w:rPr>
              <w:t>Project Work</w:t>
            </w:r>
          </w:p>
        </w:tc>
        <w:tc>
          <w:tcPr>
            <w:tcW w:type="dxa" w:w="2099"/>
            <w:shd w:fill="F5F5F5" w:val="clear"/>
            <w:vAlign w:val="center"/>
          </w:tcPr>
          <w:p>
            <w:pPr>
              <w:spacing w:before="30" w:after="30"/>
            </w:pPr>
            <w:r>
              <w:rPr>
                <w:rFonts w:ascii="DM Sans" w:hAnsi="DM Sans" w:cs="DM Sans"/>
                <w:b w:val="0"/>
                <w:i w:val="0"/>
                <w:color w:val="050C2A"/>
                <w:sz w:val="20"/>
                <w:u w:val="none"/>
              </w:rPr>
              <w:t>Team prep session — develop questions and decision points for Check-In #1, plan agenda</w:t>
            </w:r>
          </w:p>
        </w:tc>
        <w:tc>
          <w:tcPr>
            <w:tcW w:type="dxa" w:w="515"/>
            <w:shd w:fill="F5F5F5" w:val="clear"/>
            <w:vAlign w:val="center"/>
          </w:tcPr>
          <w:p>
            <w:pPr>
              <w:spacing w:before="30" w:after="30"/>
            </w:pPr>
            <w:r>
              <w:rPr>
                <w:rFonts w:ascii="DM Sans" w:hAnsi="DM Sans" w:cs="DM Sans"/>
                <w:b w:val="0"/>
                <w:i w:val="0"/>
                <w:color w:val="050C2A"/>
                <w:sz w:val="20"/>
                <w:u w:val="none"/>
              </w:rPr>
              <w:t>Project</w:t>
            </w:r>
          </w:p>
        </w:tc>
        <w:tc>
          <w:tcPr>
            <w:tcW w:type="dxa" w:w="1031"/>
            <w:shd w:fill="F5F5F5" w:val="clear"/>
            <w:vAlign w:val="center"/>
          </w:tcPr>
          <w:p>
            <w:pPr>
              <w:spacing w:before="30" w:after="30"/>
            </w:pPr>
            <w:r>
              <w:rPr>
                <w:rFonts w:ascii="DM Sans" w:hAnsi="DM Sans" w:cs="DM Sans"/>
                <w:b w:val="0"/>
                <w:i w:val="0"/>
                <w:color w:val="050C2A"/>
                <w:sz w:val="20"/>
                <w:u w:val="none"/>
              </w:rPr>
              <w:t>60</w:t>
            </w:r>
          </w:p>
        </w:tc>
        <w:tc>
          <w:tcPr>
            <w:tcW w:type="dxa" w:w="4352"/>
            <w:shd w:fill="F5F5F5" w:val="clear"/>
            <w:vAlign w:val="center"/>
          </w:tcPr>
          <w:p>
            <w:pPr>
              <w:spacing w:before="30" w:after="30"/>
            </w:pPr>
            <w:r>
              <w:rPr>
                <w:rFonts w:ascii="DM Sans" w:hAnsi="DM Sans" w:cs="DM Sans"/>
                <w:b w:val="0"/>
                <w:i w:val="0"/>
                <w:color w:val="050C2A"/>
                <w:sz w:val="20"/>
                <w:u w:val="none"/>
              </w:rPr>
              <w:t>Internal preparation for Check-In #1; no presentation rehearsal needed — this is a questions-based meeting; teams identify specific questions, decision points, and areas where employer input would unblock progress; prepare brief status update (what's done, what's in progress, what's stuck); assign who leads which topic; emphasis on making the meeting productive rather than performing progress</w:t>
            </w:r>
          </w:p>
        </w:tc>
      </w:tr>
      <w:tr>
        <w:tc>
          <w:tcPr>
            <w:tcW w:type="dxa" w:w="389"/>
            <w:vAlign w:val="center"/>
          </w:tcPr>
          <w:p>
            <w:pPr>
              <w:spacing w:before="30" w:after="30"/>
            </w:pPr>
            <w:r>
              <w:rPr>
                <w:rFonts w:ascii="DM Sans" w:hAnsi="DM Sans" w:cs="DM Sans"/>
                <w:b w:val="0"/>
                <w:i w:val="0"/>
                <w:color w:val="050C2A"/>
                <w:sz w:val="20"/>
                <w:u w:val="none"/>
              </w:rPr>
              <w:t>7.09</w:t>
            </w:r>
          </w:p>
        </w:tc>
        <w:tc>
          <w:tcPr>
            <w:tcW w:type="dxa" w:w="974"/>
            <w:vAlign w:val="center"/>
          </w:tcPr>
          <w:p>
            <w:pPr>
              <w:spacing w:before="30" w:after="30"/>
            </w:pPr>
            <w:r>
              <w:rPr>
                <w:rFonts w:ascii="DM Sans" w:hAnsi="DM Sans" w:cs="DM Sans"/>
                <w:b w:val="0"/>
                <w:i w:val="0"/>
                <w:color w:val="050C2A"/>
                <w:sz w:val="20"/>
                <w:u w:val="none"/>
              </w:rPr>
              <w:t>Employer Engagement</w:t>
            </w:r>
          </w:p>
        </w:tc>
        <w:tc>
          <w:tcPr>
            <w:tcW w:type="dxa" w:w="2099"/>
            <w:vAlign w:val="center"/>
          </w:tcPr>
          <w:p>
            <w:pPr>
              <w:spacing w:before="30" w:after="30"/>
            </w:pPr>
            <w:r>
              <w:rPr>
                <w:rFonts w:ascii="DM Sans" w:hAnsi="DM Sans" w:cs="DM Sans"/>
                <w:b w:val="0"/>
                <w:i w:val="0"/>
                <w:color w:val="050C2A"/>
                <w:sz w:val="20"/>
                <w:u w:val="none"/>
              </w:rPr>
              <w:t>Check-In #1 — bring questions and decision points, employer as resource</w:t>
            </w:r>
          </w:p>
        </w:tc>
        <w:tc>
          <w:tcPr>
            <w:tcW w:type="dxa" w:w="515"/>
            <w:vAlign w:val="center"/>
          </w:tcPr>
          <w:p>
            <w:pPr>
              <w:spacing w:before="30" w:after="30"/>
            </w:pPr>
            <w:r>
              <w:rPr>
                <w:rFonts w:ascii="DM Sans" w:hAnsi="DM Sans" w:cs="DM Sans"/>
                <w:b w:val="0"/>
                <w:i w:val="0"/>
                <w:color w:val="050C2A"/>
                <w:sz w:val="20"/>
                <w:u w:val="none"/>
              </w:rPr>
              <w:t>Project</w:t>
            </w:r>
          </w:p>
        </w:tc>
        <w:tc>
          <w:tcPr>
            <w:tcW w:type="dxa" w:w="1031"/>
            <w:vAlign w:val="center"/>
          </w:tcPr>
          <w:p>
            <w:pPr>
              <w:spacing w:before="30" w:after="30"/>
            </w:pPr>
            <w:r>
              <w:rPr>
                <w:rFonts w:ascii="DM Sans" w:hAnsi="DM Sans" w:cs="DM Sans"/>
                <w:b w:val="0"/>
                <w:i w:val="0"/>
                <w:color w:val="050C2A"/>
                <w:sz w:val="20"/>
                <w:u w:val="none"/>
              </w:rPr>
              <w:t>60</w:t>
            </w:r>
          </w:p>
        </w:tc>
        <w:tc>
          <w:tcPr>
            <w:tcW w:type="dxa" w:w="4352"/>
            <w:vAlign w:val="center"/>
          </w:tcPr>
          <w:p>
            <w:pPr>
              <w:spacing w:before="30" w:after="30"/>
            </w:pPr>
            <w:r>
              <w:rPr>
                <w:rFonts w:ascii="DM Sans" w:hAnsi="DM Sans" w:cs="DM Sans"/>
                <w:b w:val="0"/>
                <w:i w:val="0"/>
                <w:color w:val="050C2A"/>
                <w:sz w:val="20"/>
                <w:u w:val="none"/>
              </w:rPr>
              <w:t>60-min hold (may end early). No formal presentation — students drive the agenda with specific questions, decision points, and areas where they need employer input. Brief status update (5 min), student questions and decision points (35–40 min), employer observations or emerging concerns (10 min), confirm priorities for next two weeks (5 min). Students' time is better spent doing the work than preparing a presentation about the work. If the team has no pressing questions, the meeting ends early.</w:t>
            </w:r>
          </w:p>
        </w:tc>
      </w:tr>
      <w:tr>
        <w:tc>
          <w:tcPr>
            <w:tcW w:type="dxa" w:w="389"/>
            <w:shd w:fill="F5F5F5" w:val="clear"/>
            <w:vAlign w:val="center"/>
          </w:tcPr>
          <w:p>
            <w:pPr>
              <w:spacing w:before="30" w:after="30"/>
            </w:pPr>
            <w:r>
              <w:rPr>
                <w:rFonts w:ascii="DM Sans" w:hAnsi="DM Sans" w:cs="DM Sans"/>
                <w:b w:val="0"/>
                <w:i w:val="0"/>
                <w:color w:val="050C2A"/>
                <w:sz w:val="20"/>
                <w:u w:val="none"/>
              </w:rPr>
              <w:t>7.10</w:t>
            </w:r>
          </w:p>
        </w:tc>
        <w:tc>
          <w:tcPr>
            <w:tcW w:type="dxa" w:w="974"/>
            <w:shd w:fill="F5F5F5" w:val="clear"/>
            <w:vAlign w:val="center"/>
          </w:tcPr>
          <w:p>
            <w:pPr>
              <w:spacing w:before="30" w:after="30"/>
            </w:pPr>
            <w:r>
              <w:rPr>
                <w:rFonts w:ascii="DM Sans" w:hAnsi="DM Sans" w:cs="DM Sans"/>
                <w:b w:val="0"/>
                <w:i w:val="0"/>
                <w:color w:val="050C2A"/>
                <w:sz w:val="20"/>
                <w:u w:val="none"/>
              </w:rPr>
              <w:t>Project Work</w:t>
            </w:r>
          </w:p>
        </w:tc>
        <w:tc>
          <w:tcPr>
            <w:tcW w:type="dxa" w:w="2099"/>
            <w:shd w:fill="F5F5F5" w:val="clear"/>
            <w:vAlign w:val="center"/>
          </w:tcPr>
          <w:p>
            <w:pPr>
              <w:spacing w:before="30" w:after="30"/>
            </w:pPr>
            <w:r>
              <w:rPr>
                <w:rFonts w:ascii="DM Sans" w:hAnsi="DM Sans" w:cs="DM Sans"/>
                <w:b w:val="0"/>
                <w:i w:val="0"/>
                <w:color w:val="050C2A"/>
                <w:sz w:val="20"/>
                <w:u w:val="none"/>
              </w:rPr>
              <w:t>Post-meeting debrief — capture answers and decisions from Check-In #1, identify action items</w:t>
            </w:r>
          </w:p>
        </w:tc>
        <w:tc>
          <w:tcPr>
            <w:tcW w:type="dxa" w:w="515"/>
            <w:shd w:fill="F5F5F5" w:val="clear"/>
            <w:vAlign w:val="center"/>
          </w:tcPr>
          <w:p>
            <w:pPr>
              <w:spacing w:before="30" w:after="30"/>
            </w:pPr>
            <w:r>
              <w:rPr>
                <w:rFonts w:ascii="DM Sans" w:hAnsi="DM Sans" w:cs="DM Sans"/>
                <w:b w:val="0"/>
                <w:i w:val="0"/>
                <w:color w:val="050C2A"/>
                <w:sz w:val="20"/>
                <w:u w:val="none"/>
              </w:rPr>
              <w:t>Project</w:t>
            </w:r>
          </w:p>
        </w:tc>
        <w:tc>
          <w:tcPr>
            <w:tcW w:type="dxa" w:w="1031"/>
            <w:shd w:fill="F5F5F5" w:val="clear"/>
            <w:vAlign w:val="center"/>
          </w:tcPr>
          <w:p>
            <w:pPr>
              <w:spacing w:before="30" w:after="30"/>
            </w:pPr>
            <w:r>
              <w:rPr>
                <w:rFonts w:ascii="DM Sans" w:hAnsi="DM Sans" w:cs="DM Sans"/>
                <w:b w:val="0"/>
                <w:i w:val="0"/>
                <w:color w:val="050C2A"/>
                <w:sz w:val="20"/>
                <w:u w:val="none"/>
              </w:rPr>
              <w:t>30</w:t>
            </w:r>
          </w:p>
        </w:tc>
        <w:tc>
          <w:tcPr>
            <w:tcW w:type="dxa" w:w="4352"/>
            <w:shd w:fill="F5F5F5" w:val="clear"/>
            <w:vAlign w:val="center"/>
          </w:tcPr>
          <w:p>
            <w:pPr>
              <w:spacing w:before="30" w:after="30"/>
            </w:pPr>
            <w:r>
              <w:rPr>
                <w:rFonts w:ascii="DM Sans" w:hAnsi="DM Sans" w:cs="DM Sans"/>
                <w:b w:val="0"/>
                <w:i w:val="0"/>
                <w:color w:val="050C2A"/>
                <w:sz w:val="20"/>
                <w:u w:val="none"/>
              </w:rPr>
              <w:t>Immediate team debrief while conversation is fresh; captures employer answers to questions, decisions made, and any new information surfaced; translates verbal input into written record and concrete next steps; parallels Week 5 post-Direction-Check debrief pattern</w:t>
            </w:r>
          </w:p>
        </w:tc>
      </w:tr>
      <w:tr>
        <w:tc>
          <w:tcPr>
            <w:tcW w:type="dxa" w:w="389"/>
            <w:vAlign w:val="center"/>
          </w:tcPr>
          <w:p>
            <w:pPr>
              <w:spacing w:before="30" w:after="30"/>
            </w:pPr>
            <w:r>
              <w:rPr>
                <w:rFonts w:ascii="DM Sans" w:hAnsi="DM Sans" w:cs="DM Sans"/>
                <w:b w:val="0"/>
                <w:i w:val="0"/>
                <w:color w:val="050C2A"/>
                <w:sz w:val="20"/>
                <w:u w:val="none"/>
              </w:rPr>
              <w:t>7.11</w:t>
            </w:r>
          </w:p>
        </w:tc>
        <w:tc>
          <w:tcPr>
            <w:tcW w:type="dxa" w:w="974"/>
            <w:vAlign w:val="center"/>
          </w:tcPr>
          <w:p>
            <w:pPr>
              <w:spacing w:before="30" w:after="30"/>
            </w:pPr>
            <w:r>
              <w:rPr>
                <w:rFonts w:ascii="DM Sans" w:hAnsi="DM Sans" w:cs="DM Sans"/>
                <w:b w:val="0"/>
                <w:i w:val="0"/>
                <w:color w:val="050C2A"/>
                <w:sz w:val="20"/>
                <w:u w:val="none"/>
              </w:rPr>
              <w:t>Project Work</w:t>
            </w:r>
          </w:p>
        </w:tc>
        <w:tc>
          <w:tcPr>
            <w:tcW w:type="dxa" w:w="2099"/>
            <w:vAlign w:val="center"/>
          </w:tcPr>
          <w:p>
            <w:pPr>
              <w:spacing w:before="30" w:after="30"/>
            </w:pPr>
            <w:r>
              <w:rPr>
                <w:rFonts w:ascii="DM Sans" w:hAnsi="DM Sans" w:cs="DM Sans"/>
                <w:b w:val="0"/>
                <w:i w:val="0"/>
                <w:color w:val="050C2A"/>
                <w:sz w:val="20"/>
                <w:u w:val="none"/>
              </w:rPr>
              <w:t>Independent learning — research, skills, or domain knowledge to address gaps surfaced during production</w:t>
            </w:r>
          </w:p>
        </w:tc>
        <w:tc>
          <w:tcPr>
            <w:tcW w:type="dxa" w:w="515"/>
            <w:vAlign w:val="center"/>
          </w:tcPr>
          <w:p>
            <w:pPr>
              <w:spacing w:before="30" w:after="30"/>
            </w:pPr>
            <w:r>
              <w:rPr>
                <w:rFonts w:ascii="DM Sans" w:hAnsi="DM Sans" w:cs="DM Sans"/>
                <w:b w:val="0"/>
                <w:i w:val="0"/>
                <w:color w:val="050C2A"/>
                <w:sz w:val="20"/>
                <w:u w:val="none"/>
              </w:rPr>
              <w:t>Project</w:t>
            </w:r>
          </w:p>
        </w:tc>
        <w:tc>
          <w:tcPr>
            <w:tcW w:type="dxa" w:w="1031"/>
            <w:vAlign w:val="center"/>
          </w:tcPr>
          <w:p>
            <w:pPr>
              <w:spacing w:before="30" w:after="30"/>
            </w:pPr>
            <w:r>
              <w:rPr>
                <w:rFonts w:ascii="DM Sans" w:hAnsi="DM Sans" w:cs="DM Sans"/>
                <w:b w:val="0"/>
                <w:i w:val="0"/>
                <w:color w:val="050C2A"/>
                <w:sz w:val="20"/>
                <w:u w:val="none"/>
              </w:rPr>
              <w:t>60</w:t>
            </w:r>
          </w:p>
        </w:tc>
        <w:tc>
          <w:tcPr>
            <w:tcW w:type="dxa" w:w="4352"/>
            <w:vAlign w:val="center"/>
          </w:tcPr>
          <w:p>
            <w:pPr>
              <w:spacing w:before="30" w:after="30"/>
            </w:pPr>
            <w:r>
              <w:rPr>
                <w:rFonts w:ascii="DM Sans" w:hAnsi="DM Sans" w:cs="DM Sans"/>
                <w:b w:val="0"/>
                <w:i w:val="0"/>
                <w:color w:val="050C2A"/>
                <w:sz w:val="20"/>
                <w:u w:val="none"/>
              </w:rPr>
              <w:t>Self-directed learning on targeted topics based on each student's own gaps; may include deepening domain knowledge, learning unfamiliar methods, or building skills needed for revision work ahead; consistent with Weeks 5 and 6 pattern</w:t>
            </w:r>
          </w:p>
        </w:tc>
      </w:tr>
      <w:tr>
        <w:tc>
          <w:tcPr>
            <w:tcW w:type="dxa" w:w="389"/>
            <w:shd w:fill="F5F5F5" w:val="clear"/>
            <w:vAlign w:val="center"/>
          </w:tcPr>
          <w:p>
            <w:pPr>
              <w:spacing w:before="30" w:after="30"/>
            </w:pPr>
            <w:r>
              <w:rPr>
                <w:rFonts w:ascii="DM Sans" w:hAnsi="DM Sans" w:cs="DM Sans"/>
                <w:b w:val="0"/>
                <w:i w:val="0"/>
                <w:color w:val="050C2A"/>
                <w:sz w:val="20"/>
                <w:u w:val="none"/>
              </w:rPr>
              <w:t>7.12</w:t>
            </w:r>
          </w:p>
        </w:tc>
        <w:tc>
          <w:tcPr>
            <w:tcW w:type="dxa" w:w="974"/>
            <w:shd w:fill="F5F5F5" w:val="clear"/>
            <w:vAlign w:val="center"/>
          </w:tcPr>
          <w:p>
            <w:pPr>
              <w:spacing w:before="30" w:after="30"/>
            </w:pPr>
            <w:r>
              <w:rPr>
                <w:rFonts w:ascii="DM Sans" w:hAnsi="DM Sans" w:cs="DM Sans"/>
                <w:b w:val="0"/>
                <w:i w:val="0"/>
                <w:color w:val="050C2A"/>
                <w:sz w:val="20"/>
                <w:u w:val="none"/>
              </w:rPr>
              <w:t>Project Work</w:t>
            </w:r>
          </w:p>
        </w:tc>
        <w:tc>
          <w:tcPr>
            <w:tcW w:type="dxa" w:w="2099"/>
            <w:shd w:fill="F5F5F5" w:val="clear"/>
            <w:vAlign w:val="center"/>
          </w:tcPr>
          <w:p>
            <w:pPr>
              <w:spacing w:before="30" w:after="30"/>
            </w:pPr>
            <w:r>
              <w:rPr>
                <w:rFonts w:ascii="DM Sans" w:hAnsi="DM Sans" w:cs="DM Sans"/>
                <w:b w:val="0"/>
                <w:i w:val="0"/>
                <w:color w:val="050C2A"/>
                <w:sz w:val="20"/>
                <w:u w:val="none"/>
              </w:rPr>
              <w:t>Continue project production — drafting, revision, and section development</w:t>
            </w:r>
          </w:p>
        </w:tc>
        <w:tc>
          <w:tcPr>
            <w:tcW w:type="dxa" w:w="515"/>
            <w:shd w:fill="F5F5F5" w:val="clear"/>
            <w:vAlign w:val="center"/>
          </w:tcPr>
          <w:p>
            <w:pPr>
              <w:spacing w:before="30" w:after="30"/>
            </w:pPr>
            <w:r>
              <w:rPr>
                <w:rFonts w:ascii="DM Sans" w:hAnsi="DM Sans" w:cs="DM Sans"/>
                <w:b w:val="0"/>
                <w:i w:val="0"/>
                <w:color w:val="050C2A"/>
                <w:sz w:val="20"/>
                <w:u w:val="none"/>
              </w:rPr>
              <w:t>Project</w:t>
            </w:r>
          </w:p>
        </w:tc>
        <w:tc>
          <w:tcPr>
            <w:tcW w:type="dxa" w:w="1031"/>
            <w:shd w:fill="F5F5F5" w:val="clear"/>
            <w:vAlign w:val="center"/>
          </w:tcPr>
          <w:p>
            <w:pPr>
              <w:spacing w:before="30" w:after="30"/>
            </w:pPr>
            <w:r>
              <w:rPr>
                <w:rFonts w:ascii="DM Sans" w:hAnsi="DM Sans" w:cs="DM Sans"/>
                <w:b w:val="0"/>
                <w:i w:val="0"/>
                <w:color w:val="050C2A"/>
                <w:sz w:val="20"/>
                <w:u w:val="none"/>
              </w:rPr>
              <w:t>210</w:t>
            </w:r>
          </w:p>
        </w:tc>
        <w:tc>
          <w:tcPr>
            <w:tcW w:type="dxa" w:w="4352"/>
            <w:shd w:fill="F5F5F5" w:val="clear"/>
            <w:vAlign w:val="center"/>
          </w:tcPr>
          <w:p>
            <w:pPr>
              <w:spacing w:before="30" w:after="30"/>
            </w:pPr>
            <w:r>
              <w:rPr>
                <w:rFonts w:ascii="DM Sans" w:hAnsi="DM Sans" w:cs="DM Sans"/>
                <w:b w:val="0"/>
                <w:i w:val="0"/>
                <w:color w:val="050C2A"/>
                <w:sz w:val="20"/>
                <w:u w:val="none"/>
              </w:rPr>
              <w:t>Core production continues; students incorporate early takeaways from Check-In #1 where possible; reduced from 180 to 170 min to absorb module time increase; still substantial block reflecting production-intensive Development phase</w:t>
            </w:r>
          </w:p>
        </w:tc>
      </w:tr>
      <w:tr>
        <w:tc>
          <w:tcPr>
            <w:tcW w:type="dxa" w:w="389"/>
            <w:vAlign w:val="center"/>
          </w:tcPr>
          <w:p>
            <w:pPr>
              <w:spacing w:before="30" w:after="30"/>
            </w:pPr>
            <w:r>
              <w:rPr>
                <w:rFonts w:ascii="DM Sans" w:hAnsi="DM Sans" w:cs="DM Sans"/>
                <w:b w:val="0"/>
                <w:i w:val="0"/>
                <w:color w:val="050C2A"/>
                <w:sz w:val="20"/>
                <w:u w:val="none"/>
              </w:rPr>
              <w:t>7.13</w:t>
            </w:r>
          </w:p>
        </w:tc>
        <w:tc>
          <w:tcPr>
            <w:tcW w:type="dxa" w:w="974"/>
            <w:vAlign w:val="center"/>
          </w:tcPr>
          <w:p>
            <w:pPr>
              <w:spacing w:before="30" w:after="30"/>
            </w:pPr>
            <w:r>
              <w:rPr>
                <w:rFonts w:ascii="DM Sans" w:hAnsi="DM Sans" w:cs="DM Sans"/>
                <w:b w:val="0"/>
                <w:i w:val="0"/>
                <w:color w:val="050C2A"/>
                <w:sz w:val="20"/>
                <w:u w:val="none"/>
              </w:rPr>
              <w:t>Project Work</w:t>
            </w:r>
          </w:p>
        </w:tc>
        <w:tc>
          <w:tcPr>
            <w:tcW w:type="dxa" w:w="2099"/>
            <w:vAlign w:val="center"/>
          </w:tcPr>
          <w:p>
            <w:pPr>
              <w:spacing w:before="30" w:after="30"/>
            </w:pPr>
            <w:r>
              <w:rPr>
                <w:rFonts w:ascii="DM Sans" w:hAnsi="DM Sans" w:cs="DM Sans"/>
                <w:b w:val="0"/>
                <w:i w:val="0"/>
                <w:color w:val="050C2A"/>
                <w:sz w:val="20"/>
                <w:u w:val="none"/>
              </w:rPr>
              <w:t>Async team communication across the week</w:t>
            </w:r>
          </w:p>
        </w:tc>
        <w:tc>
          <w:tcPr>
            <w:tcW w:type="dxa" w:w="515"/>
            <w:vAlign w:val="center"/>
          </w:tcPr>
          <w:p>
            <w:pPr>
              <w:spacing w:before="30" w:after="30"/>
            </w:pPr>
            <w:r>
              <w:rPr>
                <w:rFonts w:ascii="DM Sans" w:hAnsi="DM Sans" w:cs="DM Sans"/>
                <w:b w:val="0"/>
                <w:i w:val="0"/>
                <w:color w:val="050C2A"/>
                <w:sz w:val="20"/>
                <w:u w:val="none"/>
              </w:rPr>
              <w:t>Project</w:t>
            </w:r>
          </w:p>
        </w:tc>
        <w:tc>
          <w:tcPr>
            <w:tcW w:type="dxa" w:w="1031"/>
            <w:vAlign w:val="center"/>
          </w:tcPr>
          <w:p>
            <w:pPr>
              <w:spacing w:before="30" w:after="30"/>
            </w:pPr>
            <w:r>
              <w:rPr>
                <w:rFonts w:ascii="DM Sans" w:hAnsi="DM Sans" w:cs="DM Sans"/>
                <w:b w:val="0"/>
                <w:i w:val="0"/>
                <w:color w:val="050C2A"/>
                <w:sz w:val="20"/>
                <w:u w:val="none"/>
              </w:rPr>
              <w:t>45</w:t>
            </w:r>
          </w:p>
        </w:tc>
        <w:tc>
          <w:tcPr>
            <w:tcW w:type="dxa" w:w="4352"/>
            <w:vAlign w:val="center"/>
          </w:tcPr>
          <w:p>
            <w:pPr>
              <w:spacing w:before="30" w:after="30"/>
            </w:pPr>
            <w:r>
              <w:rPr>
                <w:rFonts w:ascii="DM Sans" w:hAnsi="DM Sans" w:cs="DM Sans"/>
                <w:b w:val="0"/>
                <w:i w:val="0"/>
                <w:color w:val="050C2A"/>
                <w:sz w:val="20"/>
                <w:u w:val="none"/>
              </w:rPr>
              <w:t>Coordination, logistics, check-ins outside structured activities; includes new standing prompt: Weekly Progress Check-In (first instance — teams check against project plan: what's done, what moved, what's blocked, who owns what this week; continues through Week 13); contribution record relevant to Peer Evaluation #1 in Week 8</w:t>
            </w:r>
          </w:p>
        </w:tc>
      </w:tr>
      <w:tr>
        <w:tc>
          <w:tcPr>
            <w:tcW w:type="dxa" w:w="389"/>
            <w:shd w:fill="F5F5F5" w:val="clear"/>
            <w:vAlign w:val="center"/>
          </w:tcPr>
          <w:p>
            <w:pPr>
              <w:spacing w:before="30" w:after="30"/>
            </w:pPr>
          </w:p>
        </w:tc>
        <w:tc>
          <w:tcPr>
            <w:tcW w:type="dxa" w:w="974"/>
            <w:shd w:fill="F5F5F5" w:val="clear"/>
            <w:vAlign w:val="center"/>
          </w:tcPr>
          <w:p>
            <w:pPr>
              <w:spacing w:before="30" w:after="30"/>
            </w:pPr>
          </w:p>
        </w:tc>
        <w:tc>
          <w:tcPr>
            <w:tcW w:type="dxa" w:w="2099"/>
            <w:shd w:fill="F5F5F5" w:val="clear"/>
            <w:vAlign w:val="center"/>
          </w:tcPr>
          <w:p>
            <w:pPr>
              <w:spacing w:before="30" w:after="30"/>
            </w:pPr>
            <w:r>
              <w:rPr>
                <w:rFonts w:ascii="DM Sans" w:hAnsi="DM Sans" w:cs="DM Sans"/>
                <w:b/>
                <w:i w:val="0"/>
                <w:color w:val="050C2A"/>
                <w:sz w:val="20"/>
                <w:u w:val="none"/>
              </w:rPr>
              <w:t>TOTAL</w:t>
            </w:r>
          </w:p>
        </w:tc>
        <w:tc>
          <w:tcPr>
            <w:tcW w:type="dxa" w:w="515"/>
            <w:shd w:fill="F5F5F5" w:val="clear"/>
            <w:vAlign w:val="center"/>
          </w:tcPr>
          <w:p>
            <w:pPr>
              <w:spacing w:before="30" w:after="30"/>
            </w:pPr>
          </w:p>
        </w:tc>
        <w:tc>
          <w:tcPr>
            <w:tcW w:type="dxa" w:w="1031"/>
            <w:shd w:fill="F5F5F5" w:val="clear"/>
            <w:vAlign w:val="center"/>
          </w:tcPr>
          <w:p>
            <w:pPr>
              <w:spacing w:before="30" w:after="30"/>
            </w:pPr>
            <w:r>
              <w:rPr>
                <w:rFonts w:ascii="DM Sans" w:hAnsi="DM Sans" w:cs="DM Sans"/>
                <w:b/>
                <w:i w:val="0"/>
                <w:color w:val="050C2A"/>
                <w:sz w:val="20"/>
                <w:u w:val="none"/>
              </w:rPr>
              <w:t>615 min (~10 hrs 15 min)</w:t>
            </w:r>
          </w:p>
        </w:tc>
        <w:tc>
          <w:tcPr>
            <w:tcW w:type="dxa" w:w="4352"/>
            <w:shd w:fill="F5F5F5" w:val="clear"/>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253"/>
            <w:shd w:fill="FF7C0A" w:val="clear"/>
            <w:vAlign w:val="center"/>
          </w:tcPr>
          <w:p>
            <w:pPr>
              <w:jc w:val="left"/>
              <w:spacing w:before="40" w:after="40"/>
            </w:pPr>
            <w:r>
              <w:rPr>
                <w:rFonts w:ascii="DM Sans" w:hAnsi="DM Sans" w:cs="DM Sans"/>
                <w:b/>
                <w:i w:val="0"/>
                <w:color w:val="FFFFFF"/>
                <w:sz w:val="20"/>
                <w:u w:val="none"/>
              </w:rPr>
              <w:t>Competency Area</w:t>
            </w:r>
          </w:p>
        </w:tc>
        <w:tc>
          <w:tcPr>
            <w:tcW w:type="dxa" w:w="1473"/>
            <w:shd w:fill="FF7C0A" w:val="clear"/>
            <w:vAlign w:val="center"/>
          </w:tcPr>
          <w:p>
            <w:pPr>
              <w:jc w:val="left"/>
              <w:spacing w:before="40" w:after="40"/>
            </w:pPr>
            <w:r>
              <w:rPr>
                <w:rFonts w:ascii="DM Sans" w:hAnsi="DM Sans" w:cs="DM Sans"/>
                <w:b/>
                <w:i w:val="0"/>
                <w:color w:val="FFFFFF"/>
                <w:sz w:val="20"/>
                <w:u w:val="none"/>
              </w:rPr>
              <w:t>Subskill</w:t>
            </w:r>
          </w:p>
        </w:tc>
        <w:tc>
          <w:tcPr>
            <w:tcW w:type="dxa" w:w="6634"/>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253"/>
            <w:vAlign w:val="center"/>
          </w:tcPr>
          <w:p>
            <w:pPr>
              <w:spacing w:before="30" w:after="30"/>
            </w:pPr>
            <w:r>
              <w:rPr>
                <w:rFonts w:ascii="DM Sans" w:hAnsi="DM Sans" w:cs="DM Sans"/>
                <w:b/>
                <w:i w:val="0"/>
                <w:color w:val="050C2A"/>
                <w:sz w:val="20"/>
                <w:u w:val="none"/>
              </w:rPr>
              <w:t>Professionalism</w:t>
            </w:r>
          </w:p>
        </w:tc>
        <w:tc>
          <w:tcPr>
            <w:tcW w:type="dxa" w:w="1473"/>
            <w:vAlign w:val="center"/>
          </w:tcPr>
          <w:p>
            <w:pPr>
              <w:spacing w:before="30" w:after="30"/>
            </w:pPr>
            <w:r>
              <w:rPr>
                <w:rFonts w:ascii="DM Sans" w:hAnsi="DM Sans" w:cs="DM Sans"/>
                <w:b w:val="0"/>
                <w:i w:val="0"/>
                <w:color w:val="050C2A"/>
                <w:sz w:val="20"/>
                <w:u w:val="none"/>
              </w:rPr>
              <w:t>Feedback Reception</w:t>
            </w:r>
          </w:p>
        </w:tc>
        <w:tc>
          <w:tcPr>
            <w:tcW w:type="dxa" w:w="6634"/>
            <w:vAlign w:val="center"/>
          </w:tcPr>
          <w:p>
            <w:pPr>
              <w:spacing w:before="30" w:after="30"/>
            </w:pPr>
            <w:r>
              <w:rPr>
                <w:rFonts w:ascii="DM Sans" w:hAnsi="DM Sans" w:cs="DM Sans"/>
                <w:b w:val="0"/>
                <w:i w:val="0"/>
                <w:color w:val="050C2A"/>
                <w:sz w:val="20"/>
                <w:u w:val="none"/>
              </w:rPr>
              <w:t>Module 7.02 provides a compressed but complete receiving protocol (Listen → Clarify → Acknowledge → Decide Later) with the "Why Feedback Feels Hard" framing folded in as context rather than standalone content. The Check-In #1 (7.09) is the immediate application site — students receive substantive employer feedback on draft deliverables they have been building for weeks. The debrief (7.10) makes the feedback reception process observable: teams that received feedback well will have specific, prioritized action items; teams that reacted defensively will have vague or dismissive notes.</w:t>
            </w:r>
          </w:p>
        </w:tc>
      </w:tr>
      <w:tr>
        <w:tc>
          <w:tcPr>
            <w:tcW w:type="dxa" w:w="1253"/>
            <w:shd w:fill="F5F5F5" w:val="clear"/>
            <w:vAlign w:val="center"/>
          </w:tcPr>
          <w:p>
            <w:pPr>
              <w:spacing w:before="30" w:after="30"/>
            </w:pPr>
            <w:r>
              <w:rPr>
                <w:rFonts w:ascii="DM Sans" w:hAnsi="DM Sans" w:cs="DM Sans"/>
                <w:b/>
                <w:i w:val="0"/>
                <w:color w:val="050C2A"/>
                <w:sz w:val="20"/>
                <w:u w:val="none"/>
              </w:rPr>
              <w:t>Professionalism</w:t>
            </w:r>
          </w:p>
        </w:tc>
        <w:tc>
          <w:tcPr>
            <w:tcW w:type="dxa" w:w="1473"/>
            <w:shd w:fill="F5F5F5" w:val="clear"/>
            <w:vAlign w:val="center"/>
          </w:tcPr>
          <w:p>
            <w:pPr>
              <w:spacing w:before="30" w:after="30"/>
            </w:pPr>
            <w:r>
              <w:rPr>
                <w:rFonts w:ascii="DM Sans" w:hAnsi="DM Sans" w:cs="DM Sans"/>
                <w:b w:val="0"/>
                <w:i w:val="0"/>
                <w:color w:val="050C2A"/>
                <w:sz w:val="20"/>
                <w:u w:val="none"/>
              </w:rPr>
              <w:t>Quality &amp; Attention to Detail</w:t>
            </w:r>
          </w:p>
        </w:tc>
        <w:tc>
          <w:tcPr>
            <w:tcW w:type="dxa" w:w="6634"/>
            <w:shd w:fill="F5F5F5" w:val="clear"/>
            <w:vAlign w:val="center"/>
          </w:tcPr>
          <w:p>
            <w:pPr>
              <w:spacing w:before="30" w:after="30"/>
            </w:pPr>
            <w:r>
              <w:rPr>
                <w:rFonts w:ascii="DM Sans" w:hAnsi="DM Sans" w:cs="DM Sans"/>
                <w:b w:val="0"/>
                <w:i w:val="0"/>
                <w:color w:val="050C2A"/>
                <w:sz w:val="20"/>
                <w:u w:val="none"/>
              </w:rPr>
              <w:t>NEW coverage this week. Module 7.03 (From Plan to Product) introduces the distinction between "polished" and "complete" — what professional document quality looks like in a client context. This seeds the quality orientation early in the Development phase rather than waiting for Week 11, giving students a standard to work toward during the production-intensive weeks ahead.</w:t>
            </w:r>
          </w:p>
        </w:tc>
      </w:tr>
      <w:tr>
        <w:tc>
          <w:tcPr>
            <w:tcW w:type="dxa" w:w="1253"/>
            <w:vAlign w:val="center"/>
          </w:tcPr>
          <w:p>
            <w:pPr>
              <w:spacing w:before="30" w:after="30"/>
            </w:pPr>
            <w:r>
              <w:rPr>
                <w:rFonts w:ascii="DM Sans" w:hAnsi="DM Sans" w:cs="DM Sans"/>
                <w:b/>
                <w:i w:val="0"/>
                <w:color w:val="050C2A"/>
                <w:sz w:val="20"/>
                <w:u w:val="none"/>
              </w:rPr>
              <w:t>Teamwork</w:t>
            </w:r>
          </w:p>
        </w:tc>
        <w:tc>
          <w:tcPr>
            <w:tcW w:type="dxa" w:w="1473"/>
            <w:vAlign w:val="center"/>
          </w:tcPr>
          <w:p>
            <w:pPr>
              <w:spacing w:before="30" w:after="30"/>
            </w:pPr>
            <w:r>
              <w:rPr>
                <w:rFonts w:ascii="DM Sans" w:hAnsi="DM Sans" w:cs="DM Sans"/>
                <w:b w:val="0"/>
                <w:i w:val="0"/>
                <w:color w:val="050C2A"/>
                <w:sz w:val="20"/>
                <w:u w:val="none"/>
              </w:rPr>
              <w:t>Constructive Feedback</w:t>
            </w:r>
          </w:p>
        </w:tc>
        <w:tc>
          <w:tcPr>
            <w:tcW w:type="dxa" w:w="6634"/>
            <w:vAlign w:val="center"/>
          </w:tcPr>
          <w:p>
            <w:pPr>
              <w:spacing w:before="30" w:after="30"/>
            </w:pPr>
            <w:r>
              <w:rPr>
                <w:rFonts w:ascii="DM Sans" w:hAnsi="DM Sans" w:cs="DM Sans"/>
                <w:b w:val="0"/>
                <w:i w:val="0"/>
                <w:color w:val="050C2A"/>
                <w:sz w:val="20"/>
                <w:u w:val="none"/>
              </w:rPr>
              <w:t>Module 7.04 (Reviewing Your Teammates' Work) reframes feedback as a concrete production skill rather than an abstract interpersonal one. Students learn to read a colleague's draft section for clarity, argument structure, evidence quality, and tone, and to distinguish between line editing and structural feedback. This is explicitly positioned as preparation for Peer Evaluation #1 in Week 8, where this competency is formally assessed. The team prep session (7.08) and debrief (7.10) both require students to give each other honest assessments of where the work stands.</w:t>
            </w:r>
          </w:p>
        </w:tc>
      </w:tr>
      <w:tr>
        <w:tc>
          <w:tcPr>
            <w:tcW w:type="dxa" w:w="1253"/>
            <w:shd w:fill="F5F5F5" w:val="clear"/>
            <w:vAlign w:val="center"/>
          </w:tcPr>
          <w:p>
            <w:pPr>
              <w:spacing w:before="30" w:after="30"/>
            </w:pPr>
            <w:r>
              <w:rPr>
                <w:rFonts w:ascii="DM Sans" w:hAnsi="DM Sans" w:cs="DM Sans"/>
                <w:b/>
                <w:i w:val="0"/>
                <w:color w:val="050C2A"/>
                <w:sz w:val="20"/>
                <w:u w:val="none"/>
              </w:rPr>
              <w:t>Communication</w:t>
            </w:r>
          </w:p>
        </w:tc>
        <w:tc>
          <w:tcPr>
            <w:tcW w:type="dxa" w:w="1473"/>
            <w:shd w:fill="F5F5F5" w:val="clear"/>
            <w:vAlign w:val="center"/>
          </w:tcPr>
          <w:p>
            <w:pPr>
              <w:spacing w:before="30" w:after="30"/>
            </w:pPr>
            <w:r>
              <w:rPr>
                <w:rFonts w:ascii="DM Sans" w:hAnsi="DM Sans" w:cs="DM Sans"/>
                <w:b w:val="0"/>
                <w:i w:val="0"/>
                <w:color w:val="050C2A"/>
                <w:sz w:val="20"/>
                <w:u w:val="none"/>
              </w:rPr>
              <w:t>Oral Presentation</w:t>
            </w:r>
          </w:p>
        </w:tc>
        <w:tc>
          <w:tcPr>
            <w:tcW w:type="dxa" w:w="6634"/>
            <w:shd w:fill="F5F5F5" w:val="clear"/>
            <w:vAlign w:val="center"/>
          </w:tcPr>
          <w:p>
            <w:pPr>
              <w:spacing w:before="30" w:after="30"/>
            </w:pPr>
            <w:r>
              <w:rPr>
                <w:rFonts w:ascii="DM Sans" w:hAnsi="DM Sans" w:cs="DM Sans"/>
                <w:b w:val="0"/>
                <w:i w:val="0"/>
                <w:color w:val="050C2A"/>
                <w:sz w:val="20"/>
                <w:u w:val="none"/>
              </w:rPr>
              <w:t>Check-In #1 (7.09) is a questions-based meeting rather than a formal presentation — students drive the agenda with specific questions and decision points. The skill here is not slide presentation but clear, concise articulation of status, blockers, and what the team needs from the employer. The team prep session (7.08) is where this skill is developed in practice: identifying the right questions, assigning who leads which topic, and preparing a brief status update.</w:t>
            </w:r>
          </w:p>
        </w:tc>
      </w:tr>
      <w:tr>
        <w:tc>
          <w:tcPr>
            <w:tcW w:type="dxa" w:w="1253"/>
            <w:vAlign w:val="center"/>
          </w:tcPr>
          <w:p>
            <w:pPr>
              <w:spacing w:before="30" w:after="30"/>
            </w:pPr>
            <w:r>
              <w:rPr>
                <w:rFonts w:ascii="DM Sans" w:hAnsi="DM Sans" w:cs="DM Sans"/>
                <w:b/>
                <w:i w:val="0"/>
                <w:color w:val="050C2A"/>
                <w:sz w:val="20"/>
                <w:u w:val="none"/>
              </w:rPr>
              <w:t>Communication</w:t>
            </w:r>
          </w:p>
        </w:tc>
        <w:tc>
          <w:tcPr>
            <w:tcW w:type="dxa" w:w="1473"/>
            <w:vAlign w:val="center"/>
          </w:tcPr>
          <w:p>
            <w:pPr>
              <w:spacing w:before="30" w:after="30"/>
            </w:pPr>
            <w:r>
              <w:rPr>
                <w:rFonts w:ascii="DM Sans" w:hAnsi="DM Sans" w:cs="DM Sans"/>
                <w:b w:val="0"/>
                <w:i w:val="0"/>
                <w:color w:val="050C2A"/>
                <w:sz w:val="20"/>
                <w:u w:val="none"/>
              </w:rPr>
              <w:t>Active Listening</w:t>
            </w:r>
          </w:p>
        </w:tc>
        <w:tc>
          <w:tcPr>
            <w:tcW w:type="dxa" w:w="6634"/>
            <w:vAlign w:val="center"/>
          </w:tcPr>
          <w:p>
            <w:pPr>
              <w:spacing w:before="30" w:after="30"/>
            </w:pPr>
            <w:r>
              <w:rPr>
                <w:rFonts w:ascii="DM Sans" w:hAnsi="DM Sans" w:cs="DM Sans"/>
                <w:b w:val="0"/>
                <w:i w:val="0"/>
                <w:color w:val="050C2A"/>
                <w:sz w:val="20"/>
                <w:u w:val="none"/>
              </w:rPr>
              <w:t>Module 7.02 reinforces listening as a feedback-receiving skill, and Check-In #1 (7.09) is a high-stakes listening environment where students must capture employer answers and observations accurately in real time. The debrief (7.10) functions as a check on whether teams listened well — specific, actionable debrief notes are evidence of active listening.</w:t>
            </w:r>
          </w:p>
        </w:tc>
      </w:tr>
      <w:tr>
        <w:tc>
          <w:tcPr>
            <w:tcW w:type="dxa" w:w="1253"/>
            <w:shd w:fill="F5F5F5" w:val="clear"/>
            <w:vAlign w:val="center"/>
          </w:tcPr>
          <w:p>
            <w:pPr>
              <w:spacing w:before="30" w:after="30"/>
            </w:pPr>
            <w:r>
              <w:rPr>
                <w:rFonts w:ascii="DM Sans" w:hAnsi="DM Sans" w:cs="DM Sans"/>
                <w:b/>
                <w:i w:val="0"/>
                <w:color w:val="050C2A"/>
                <w:sz w:val="20"/>
                <w:u w:val="none"/>
              </w:rPr>
              <w:t>Communication</w:t>
            </w:r>
          </w:p>
        </w:tc>
        <w:tc>
          <w:tcPr>
            <w:tcW w:type="dxa" w:w="1473"/>
            <w:shd w:fill="F5F5F5" w:val="clear"/>
            <w:vAlign w:val="center"/>
          </w:tcPr>
          <w:p>
            <w:pPr>
              <w:spacing w:before="30" w:after="30"/>
            </w:pPr>
            <w:r>
              <w:rPr>
                <w:rFonts w:ascii="DM Sans" w:hAnsi="DM Sans" w:cs="DM Sans"/>
                <w:b w:val="0"/>
                <w:i w:val="0"/>
                <w:color w:val="050C2A"/>
                <w:sz w:val="20"/>
                <w:u w:val="none"/>
              </w:rPr>
              <w:t>Written Clarity</w:t>
            </w:r>
          </w:p>
        </w:tc>
        <w:tc>
          <w:tcPr>
            <w:tcW w:type="dxa" w:w="6634"/>
            <w:shd w:fill="F5F5F5" w:val="clear"/>
            <w:vAlign w:val="center"/>
          </w:tcPr>
          <w:p>
            <w:pPr>
              <w:spacing w:before="30" w:after="30"/>
            </w:pPr>
            <w:r>
              <w:rPr>
                <w:rFonts w:ascii="DM Sans" w:hAnsi="DM Sans" w:cs="DM Sans"/>
                <w:b w:val="0"/>
                <w:i w:val="0"/>
                <w:color w:val="050C2A"/>
                <w:sz w:val="20"/>
                <w:u w:val="none"/>
              </w:rPr>
              <w:t>The Work-in-Progress Summary (7.07) requires a different kind of professional writing — a status communication that is honest, concise, and structured to make a meeting productive. Module 7.03 (From Plan to Product) provides the conceptual foundation for professional writing conventions that students apply immediately in drafting the summary and continue applying throughout the Development phase. Module 7.05 (Working with Data and Visuals) adds the specific skill of presenting data effectively in professional documents.</w:t>
            </w:r>
          </w:p>
        </w:tc>
      </w:tr>
      <w:tr>
        <w:tc>
          <w:tcPr>
            <w:tcW w:type="dxa" w:w="1253"/>
            <w:vAlign w:val="center"/>
          </w:tcPr>
          <w:p>
            <w:pPr>
              <w:spacing w:before="30" w:after="30"/>
            </w:pPr>
            <w:r>
              <w:rPr>
                <w:rFonts w:ascii="DM Sans" w:hAnsi="DM Sans" w:cs="DM Sans"/>
                <w:b/>
                <w:i w:val="0"/>
                <w:color w:val="050C2A"/>
                <w:sz w:val="20"/>
                <w:u w:val="none"/>
              </w:rPr>
              <w:t>Critical Thinking</w:t>
            </w:r>
          </w:p>
        </w:tc>
        <w:tc>
          <w:tcPr>
            <w:tcW w:type="dxa" w:w="1473"/>
            <w:vAlign w:val="center"/>
          </w:tcPr>
          <w:p>
            <w:pPr>
              <w:spacing w:before="30" w:after="30"/>
            </w:pPr>
            <w:r>
              <w:rPr>
                <w:rFonts w:ascii="DM Sans" w:hAnsi="DM Sans" w:cs="DM Sans"/>
                <w:b w:val="0"/>
                <w:i w:val="0"/>
                <w:color w:val="050C2A"/>
                <w:sz w:val="20"/>
                <w:u w:val="none"/>
              </w:rPr>
              <w:t>Evidence-Based Reasoning</w:t>
            </w:r>
          </w:p>
        </w:tc>
        <w:tc>
          <w:tcPr>
            <w:tcW w:type="dxa" w:w="6634"/>
            <w:vAlign w:val="center"/>
          </w:tcPr>
          <w:p>
            <w:pPr>
              <w:spacing w:before="30" w:after="30"/>
            </w:pPr>
            <w:r>
              <w:rPr>
                <w:rFonts w:ascii="DM Sans" w:hAnsi="DM Sans" w:cs="DM Sans"/>
                <w:b w:val="0"/>
                <w:i w:val="0"/>
                <w:color w:val="050C2A"/>
                <w:sz w:val="20"/>
                <w:u w:val="none"/>
              </w:rPr>
              <w:t>Module 7.05 (Working with Data and Visuals) teaches students to make deliberate decisions about how to present evidence — when tables serve better than charts, when narrative is more effective than either, and how to ensure numbers support an argument rather than merely reporting information. This is a new competency coverage point for Week 7.</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Work-in-Progress Summary → Communication (Written Clarity) + Professionalism (Feedback Reception)</w:t>
      </w:r>
    </w:p>
    <w:p>
      <w:pPr>
        <w:spacing w:before="0" w:after="120" w:line="276" w:lineRule="auto"/>
      </w:pPr>
      <w:r>
        <w:rPr>
          <w:rFonts w:ascii="DM Sans" w:hAnsi="DM Sans" w:cs="DM Sans"/>
          <w:b w:val="0"/>
          <w:i w:val="0"/>
          <w:color w:val="050C2A"/>
          <w:sz w:val="20"/>
          <w:u w:val="none"/>
        </w:rPr>
        <w:t>Checkpoint; completion-based. Team submission. The WIP Summary serves a dual function: it is the checkpoint deliverable for Week 7 and the preparation artifact for Check-In #1. Teams produce a 1–2 page document covering completed work, current status, challenges encountered, and specific questions or feedback needs for the employer. The assignment was not previewed in Week 6, so activity 7.07 allocates time for students to read the assignment description and completion criteria before drafting.</w:t>
      </w:r>
    </w:p>
    <w:p>
      <w:pPr>
        <w:spacing w:before="0" w:after="120" w:line="276" w:lineRule="auto"/>
      </w:pPr>
      <w:r>
        <w:rPr>
          <w:rFonts w:ascii="DM Sans" w:hAnsi="DM Sans" w:cs="DM Sans"/>
          <w:b w:val="0"/>
          <w:i w:val="0"/>
          <w:color w:val="050C2A"/>
          <w:sz w:val="20"/>
          <w:u w:val="none"/>
        </w:rPr>
        <w:t>The WIP Summary is a student preparation tool, not an employer pre-read — the employer does not receive or review the document. Students use the summary to organize their thinking and drive their live presentation in the meeting. The submission requirement ensures teams cannot walk into the meeting unprepared. The completion criteria require that the summary provides an honest assessment of progress and identifies specific feedback needs — vague or performative summaries ("everything is going well, no questions") do not meet the standard. A team whose summary does not match what they present will surface the discrepancy in the live conversation.</w:t>
      </w:r>
    </w:p>
    <w:p>
      <w:pPr>
        <w:spacing w:before="0" w:after="120" w:line="276" w:lineRule="auto"/>
      </w:pPr>
      <w:r>
        <w:rPr>
          <w:rFonts w:ascii="DM Sans" w:hAnsi="DM Sans" w:cs="DM Sans"/>
          <w:b w:val="0"/>
          <w:i w:val="0"/>
          <w:color w:val="050C2A"/>
          <w:sz w:val="20"/>
          <w:u w:val="none"/>
        </w:rPr>
        <w:t>Employers do not provide written feedback on draft deliverables. The feedback mechanism for Check-In #1 is the live meeting itself — students present their work, receive verbal feedback in real time, and capture it in the post-meeting debrief (7.10). This keeps the employer touchpoint lightweight and realistic. The debrief is the critical accountability point: teams that listened well will have specific, actionable notes; teams that didn't will have vague ones.</w:t>
      </w:r>
    </w:p>
    <w:p>
      <w:pPr>
        <w:spacing w:before="0" w:after="120" w:line="276" w:lineRule="auto"/>
      </w:pPr>
      <w:r>
        <w:rPr>
          <w:rFonts w:ascii="DM Sans" w:hAnsi="DM Sans" w:cs="DM Sans"/>
          <w:b w:val="0"/>
          <w:i w:val="0"/>
          <w:color w:val="050C2A"/>
          <w:sz w:val="20"/>
          <w:u w:val="none"/>
        </w:rPr>
        <w:t>AI-assisted drafting of the summary is permitted with disclosure. The substance must come from the team's actual project status — AI cannot generate an honest assessment of what the team has and has not accomplished. AI can help organize and clarify the summary after the team has agreed on its content.</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Using AI to help organize and clarify the Work-in-Progress Summary after the team has agreed on its substance is appropriate — restructuring a draft for clarity, tightening prose, or ensuring the document flows logically are legitimate uses that mirror professional practice. Using AI to prepare for the Check-In #1 by generating potential questions the employer might ask about the draft work is encouraged: this is a form of stress-testing that helps students anticipate feedback rather than being caught off guard. Using AI to help process and organize feedback notes after the Check-In #1 debrief is permitted — converting raw meeting notes into a structured action item list or identifying patterns across multiple pieces of feedback are reasonable applications. Module 7.05 explicitly teaches using AI to help visualize data while maintaining accuracy — students may use AI to generate chart options or suggest data presentation formats, provided they verify the output and can defend their choices. Continued use of AI for production support in activity 7.12 follows the same boundaries established in Week 6: AI can help with research, drafting, structural review, and gap identification.</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The Work-in-Progress Summary must reflect the team's actual project status. AI cannot generate an honest assessment of what has been completed, what challenges exist, or what questions the team needs answered — those must come from the team's genuine experience with the project. The post-meeting debrief notes (7.10) must capture what was actually said in the Check-In #1; AI can help organize notes after the fact but cannot fabricate the content of the conversation. AI-generated content in draft deliverables that students cannot verify or defend remains off-limits — the Check-In #1 is a live accountability mechanism, and students who cannot explain their work under employer questioning will have a poor experience.</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the Work-in-Progress Summary submission. If AI was not used, a one-sentence statement to that effect is sufficient.</w:t>
      </w:r>
    </w:p>
    <w:p>
      <w:pPr>
        <w:spacing w:before="280" w:after="100"/>
      </w:pPr>
      <w:r>
        <w:rPr>
          <w:rFonts w:ascii="DM Sans" w:hAnsi="DM Sans" w:cs="DM Sans"/>
          <w:b/>
          <w:i w:val="0"/>
          <w:color w:val="050C2A"/>
          <w:sz w:val="28"/>
          <w:u w:val="none"/>
        </w:rPr>
        <w:t>Resolved Decisions</w:t>
      </w:r>
    </w:p>
    <w:p>
      <w:pPr>
        <w:spacing w:before="0" w:after="120" w:line="276" w:lineRule="auto"/>
      </w:pPr>
      <w:r>
        <w:rPr>
          <w:rFonts w:ascii="DM Sans" w:hAnsi="DM Sans" w:cs="DM Sans"/>
          <w:b/>
          <w:i w:val="0"/>
          <w:color w:val="050C2A"/>
          <w:sz w:val="20"/>
          <w:u w:val="none"/>
        </w:rPr>
        <w:t>1. WIP Summary submission timing relative to the Check-In #1.</w:t>
      </w:r>
      <w:r>
        <w:rPr>
          <w:rFonts w:ascii="DM Sans" w:hAnsi="DM Sans" w:cs="DM Sans"/>
          <w:b w:val="0"/>
          <w:i w:val="0"/>
          <w:color w:val="050C2A"/>
          <w:sz w:val="20"/>
          <w:u w:val="none"/>
        </w:rPr>
        <w:t xml:space="preserve"> ✅ RESOLVED. The WIP Summary is submitted before the Check-In #1 meeting as a checkpoint (completion-based, verified but not graded for quality). It is a student preparation tool, not an employer pre-read — the employer does not receive or review the document. Students use the summary to organize their thinking and drive their live presentation in the meeting. The submission requirement ensures teams cannot walk into the meeting unprepared.</w:t>
      </w:r>
    </w:p>
    <w:p>
      <w:pPr>
        <w:spacing w:before="0" w:after="120" w:line="276" w:lineRule="auto"/>
      </w:pPr>
      <w:r>
        <w:rPr>
          <w:rFonts w:ascii="DM Sans" w:hAnsi="DM Sans" w:cs="DM Sans"/>
          <w:b/>
          <w:i w:val="0"/>
          <w:color w:val="050C2A"/>
          <w:sz w:val="20"/>
          <w:u w:val="none"/>
        </w:rPr>
        <w:t>2. Employer written feedback.</w:t>
      </w:r>
      <w:r>
        <w:rPr>
          <w:rFonts w:ascii="DM Sans" w:hAnsi="DM Sans" w:cs="DM Sans"/>
          <w:b w:val="0"/>
          <w:i w:val="0"/>
          <w:color w:val="050C2A"/>
          <w:sz w:val="20"/>
          <w:u w:val="none"/>
        </w:rPr>
        <w:t xml:space="preserve"> ✅ RESOLVED. Employers do not provide written feedback on draft deliverables. The feedback mechanism for Check-In #1 is the live meeting itself — students present their work, receive verbal feedback in real time, and capture it in the post-meeting debrief (7.10). This keeps the employer touchpoint lightweight and realistic, and it makes the debrief activity the critical accountability point.</w:t>
      </w:r>
    </w:p>
    <w:p>
      <w:pPr>
        <w:spacing w:before="0" w:after="120" w:line="276" w:lineRule="auto"/>
      </w:pPr>
      <w:r>
        <w:rPr>
          <w:rFonts w:ascii="DM Sans" w:hAnsi="DM Sans" w:cs="DM Sans"/>
          <w:b/>
          <w:i w:val="0"/>
          <w:color w:val="050C2A"/>
          <w:sz w:val="20"/>
          <w:u w:val="none"/>
        </w:rPr>
        <w:t>3. Feedback Protocol Card as a resource.</w:t>
      </w:r>
      <w:r>
        <w:rPr>
          <w:rFonts w:ascii="DM Sans" w:hAnsi="DM Sans" w:cs="DM Sans"/>
          <w:b w:val="0"/>
          <w:i w:val="0"/>
          <w:color w:val="050C2A"/>
          <w:sz w:val="20"/>
          <w:u w:val="none"/>
        </w:rPr>
        <w:t xml:space="preserve"> The Feedback Protocol Card is a reference resource introduced alongside module 7.02. Not listed as a separate timed activity. Affects: resource library configuration, module content packaging.</w:t>
      </w:r>
    </w:p>
    <w:p>
      <w:pPr>
        <w:spacing w:before="0" w:after="120" w:line="276" w:lineRule="auto"/>
      </w:pPr>
      <w:r>
        <w:rPr>
          <w:rFonts w:ascii="DM Sans" w:hAnsi="DM Sans" w:cs="DM Sans"/>
          <w:b/>
          <w:i w:val="0"/>
          <w:color w:val="050C2A"/>
          <w:sz w:val="20"/>
          <w:u w:val="none"/>
        </w:rPr>
        <w:t>4. Module content rebalance.</w:t>
      </w:r>
      <w:r>
        <w:rPr>
          <w:rFonts w:ascii="DM Sans" w:hAnsi="DM Sans" w:cs="DM Sans"/>
          <w:b w:val="0"/>
          <w:i w:val="0"/>
          <w:color w:val="050C2A"/>
          <w:sz w:val="20"/>
          <w:u w:val="none"/>
        </w:rPr>
        <w:t xml:space="preserve"> ✅ RESOLVED. Module retitled from "Giving and Receiving Feedback" to "Building Professional Work Products." Original feedback-only module (60 min across 4 sections) replaced with production skill + feedback hybrid (75 min across 6 sections). "Why Feedback Feels Hard" folded into "Receiving Feedback Well" as brief framing. "Giving Useful Feedback" reframed as "Reviewing Your Teammates' Work." Two new sections added: "From Plan to Product" and "Working with Data and Visuals."</w:t>
      </w:r>
    </w:p>
    <w:p>
      <w:pPr>
        <w:spacing w:before="280" w:after="100"/>
      </w:pPr>
      <w:r>
        <w:rPr>
          <w:rFonts w:ascii="DM Sans" w:hAnsi="DM Sans" w:cs="DM Sans"/>
          <w:b/>
          <w:i w:val="0"/>
          <w:color w:val="050C2A"/>
          <w:sz w:val="28"/>
          <w:u w:val="none"/>
        </w:rPr>
        <w:t>Revision History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v1 (original):</w:t>
      </w:r>
      <w:r>
        <w:rPr>
          <w:rFonts w:ascii="DM Sans" w:hAnsi="DM Sans" w:cs="DM Sans"/>
          <w:b w:val="0"/>
          <w:i w:val="0"/>
          <w:color w:val="050C2A"/>
          <w:sz w:val="20"/>
          <w:u w:val="none"/>
        </w:rPr>
        <w:t xml:space="preserve"> Module theme "Giving and Receiving Feedback," 12 activities (7.01–7.12), 545 min total, 60 min module time. Open questions on WIP Summary timing and employer written feedback.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v2 (current):</w:t>
      </w:r>
      <w:r>
        <w:rPr>
          <w:rFonts w:ascii="DM Sans" w:hAnsi="DM Sans" w:cs="DM Sans"/>
          <w:b w:val="0"/>
          <w:i w:val="0"/>
          <w:color w:val="050C2A"/>
          <w:sz w:val="20"/>
          <w:u w:val="none"/>
        </w:rPr>
        <w:t xml:space="preserve"> Module theme "Building Professional Work Products," 13 activities (7.01–7.13), 615 min total, 75 min module time. All open questions resolved. Module rebalanced to include production skills alongside compressed feedback content. Weekly Progress Check-In standing prompt introduced in 7.13. Employer meeting is Check-In #1 — questions-based format, 60-min hold.</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