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Week 8 — From Feedback to Forward Motion</w:t>
      </w:r>
    </w:p>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 Weekly Design Document</w:t>
      </w:r>
    </w:p>
    <w:p>
      <w:pPr>
        <w:pBdr>
          <w:bottom w:val="single" w:sz="6" w:space="1" w:color="ACACAC"/>
        </w:pBdr>
        <w:spacing w:before="120" w:after="120"/>
      </w:pP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884"/>
            <w:shd w:fill="FF7C0A" w:val="clear"/>
            <w:vAlign w:val="center"/>
          </w:tcPr>
          <w:p>
            <w:pPr>
              <w:jc w:val="left"/>
              <w:spacing w:before="40" w:after="40"/>
            </w:pPr>
            <w:r>
              <w:rPr>
                <w:rFonts w:ascii="DM Sans" w:hAnsi="DM Sans" w:cs="DM Sans"/>
                <w:b/>
                <w:i w:val="0"/>
                <w:color w:val="FFFFFF"/>
                <w:sz w:val="20"/>
                <w:u w:val="none"/>
              </w:rPr>
            </w:r>
          </w:p>
        </w:tc>
        <w:tc>
          <w:tcPr>
            <w:tcW w:type="dxa" w:w="6476"/>
            <w:shd w:fill="FF7C0A" w:val="clear"/>
            <w:vAlign w:val="center"/>
          </w:tcPr>
          <w:p>
            <w:pPr>
              <w:jc w:val="left"/>
              <w:spacing w:before="40" w:after="40"/>
            </w:pPr>
            <w:r>
              <w:rPr>
                <w:rFonts w:ascii="DM Sans" w:hAnsi="DM Sans" w:cs="DM Sans"/>
                <w:b/>
                <w:i w:val="0"/>
                <w:color w:val="FFFFFF"/>
                <w:sz w:val="20"/>
                <w:u w:val="none"/>
              </w:rPr>
            </w:r>
          </w:p>
        </w:tc>
      </w:tr>
      <w:tr>
        <w:tc>
          <w:tcPr>
            <w:tcW w:type="dxa" w:w="2884"/>
            <w:vAlign w:val="center"/>
          </w:tcPr>
          <w:p>
            <w:pPr>
              <w:spacing w:before="30" w:after="30"/>
            </w:pPr>
            <w:r>
              <w:rPr>
                <w:rFonts w:ascii="DM Sans" w:hAnsi="DM Sans" w:cs="DM Sans"/>
                <w:b/>
                <w:i w:val="0"/>
                <w:color w:val="050C2A"/>
                <w:sz w:val="20"/>
                <w:u w:val="none"/>
              </w:rPr>
              <w:t>Phase</w:t>
            </w:r>
          </w:p>
        </w:tc>
        <w:tc>
          <w:tcPr>
            <w:tcW w:type="dxa" w:w="6476"/>
            <w:vAlign w:val="center"/>
          </w:tcPr>
          <w:p>
            <w:pPr>
              <w:spacing w:before="30" w:after="30"/>
            </w:pPr>
            <w:r>
              <w:rPr>
                <w:rFonts w:ascii="DM Sans" w:hAnsi="DM Sans" w:cs="DM Sans"/>
                <w:b w:val="0"/>
                <w:i w:val="0"/>
                <w:color w:val="050C2A"/>
                <w:sz w:val="20"/>
                <w:u w:val="none"/>
              </w:rPr>
              <w:t>Development</w:t>
            </w:r>
          </w:p>
        </w:tc>
      </w:tr>
      <w:tr>
        <w:tc>
          <w:tcPr>
            <w:tcW w:type="dxa" w:w="2884"/>
            <w:shd w:fill="F5F5F5" w:val="clear"/>
            <w:vAlign w:val="center"/>
          </w:tcPr>
          <w:p>
            <w:pPr>
              <w:spacing w:before="30" w:after="30"/>
            </w:pPr>
            <w:r>
              <w:rPr>
                <w:rFonts w:ascii="DM Sans" w:hAnsi="DM Sans" w:cs="DM Sans"/>
                <w:b/>
                <w:i w:val="0"/>
                <w:color w:val="050C2A"/>
                <w:sz w:val="20"/>
                <w:u w:val="none"/>
              </w:rPr>
              <w:t>Module Title</w:t>
            </w:r>
          </w:p>
        </w:tc>
        <w:tc>
          <w:tcPr>
            <w:tcW w:type="dxa" w:w="6476"/>
            <w:shd w:fill="F5F5F5" w:val="clear"/>
            <w:vAlign w:val="center"/>
          </w:tcPr>
          <w:p>
            <w:pPr>
              <w:spacing w:before="30" w:after="30"/>
            </w:pPr>
            <w:r>
              <w:rPr>
                <w:rFonts w:ascii="DM Sans" w:hAnsi="DM Sans" w:cs="DM Sans"/>
                <w:b w:val="0"/>
                <w:i w:val="0"/>
                <w:color w:val="050C2A"/>
                <w:sz w:val="20"/>
                <w:u w:val="none"/>
              </w:rPr>
              <w:t>From Feedback to Forward Motion</w:t>
            </w:r>
          </w:p>
        </w:tc>
      </w:tr>
      <w:tr>
        <w:tc>
          <w:tcPr>
            <w:tcW w:type="dxa" w:w="2884"/>
            <w:vAlign w:val="center"/>
          </w:tcPr>
          <w:p>
            <w:pPr>
              <w:spacing w:before="30" w:after="30"/>
            </w:pPr>
            <w:r>
              <w:rPr>
                <w:rFonts w:ascii="DM Sans" w:hAnsi="DM Sans" w:cs="DM Sans"/>
                <w:b/>
                <w:i w:val="0"/>
                <w:color w:val="050C2A"/>
                <w:sz w:val="20"/>
                <w:u w:val="none"/>
              </w:rPr>
              <w:t>Primary Function</w:t>
            </w:r>
          </w:p>
        </w:tc>
        <w:tc>
          <w:tcPr>
            <w:tcW w:type="dxa" w:w="6476"/>
            <w:vAlign w:val="center"/>
          </w:tcPr>
          <w:p>
            <w:pPr>
              <w:spacing w:before="30" w:after="30"/>
            </w:pPr>
            <w:r>
              <w:rPr>
                <w:rFonts w:ascii="DM Sans" w:hAnsi="DM Sans" w:cs="DM Sans"/>
                <w:b w:val="0"/>
                <w:i w:val="0"/>
                <w:color w:val="050C2A"/>
                <w:sz w:val="20"/>
                <w:u w:val="none"/>
              </w:rPr>
              <w:t>Feedback processing + peer evaluation + production skill-building + project production</w:t>
            </w:r>
          </w:p>
        </w:tc>
      </w:tr>
      <w:tr>
        <w:tc>
          <w:tcPr>
            <w:tcW w:type="dxa" w:w="2884"/>
            <w:shd w:fill="F5F5F5" w:val="clear"/>
            <w:vAlign w:val="center"/>
          </w:tcPr>
          <w:p>
            <w:pPr>
              <w:spacing w:before="30" w:after="30"/>
            </w:pPr>
            <w:r>
              <w:rPr>
                <w:rFonts w:ascii="DM Sans" w:hAnsi="DM Sans" w:cs="DM Sans"/>
                <w:b/>
                <w:i w:val="0"/>
                <w:color w:val="050C2A"/>
                <w:sz w:val="20"/>
                <w:u w:val="none"/>
              </w:rPr>
              <w:t>Total Student Time</w:t>
            </w:r>
          </w:p>
        </w:tc>
        <w:tc>
          <w:tcPr>
            <w:tcW w:type="dxa" w:w="6476"/>
            <w:shd w:fill="F5F5F5" w:val="clear"/>
            <w:vAlign w:val="center"/>
          </w:tcPr>
          <w:p>
            <w:pPr>
              <w:spacing w:before="30" w:after="30"/>
            </w:pPr>
            <w:r>
              <w:rPr>
                <w:rFonts w:ascii="DM Sans" w:hAnsi="DM Sans" w:cs="DM Sans"/>
                <w:b w:val="0"/>
                <w:i w:val="0"/>
                <w:color w:val="050C2A"/>
                <w:sz w:val="20"/>
                <w:u w:val="none"/>
              </w:rPr>
              <w:t>580 min (~9 hrs 40 min)</w:t>
            </w:r>
          </w:p>
        </w:tc>
      </w:tr>
      <w:tr>
        <w:tc>
          <w:tcPr>
            <w:tcW w:type="dxa" w:w="2884"/>
            <w:vAlign w:val="center"/>
          </w:tcPr>
          <w:p>
            <w:pPr>
              <w:spacing w:before="30" w:after="30"/>
            </w:pPr>
            <w:r>
              <w:rPr>
                <w:rFonts w:ascii="DM Sans" w:hAnsi="DM Sans" w:cs="DM Sans"/>
                <w:b/>
                <w:i w:val="0"/>
                <w:color w:val="050C2A"/>
                <w:sz w:val="20"/>
                <w:u w:val="none"/>
              </w:rPr>
              <w:t>Deliverable This Week</w:t>
            </w:r>
          </w:p>
        </w:tc>
        <w:tc>
          <w:tcPr>
            <w:tcW w:type="dxa" w:w="6476"/>
            <w:vAlign w:val="center"/>
          </w:tcPr>
          <w:p>
            <w:pPr>
              <w:spacing w:before="30" w:after="30"/>
            </w:pPr>
            <w:r>
              <w:rPr>
                <w:rFonts w:ascii="DM Sans" w:hAnsi="DM Sans" w:cs="DM Sans"/>
                <w:b w:val="0"/>
                <w:i w:val="0"/>
                <w:color w:val="050C2A"/>
                <w:sz w:val="20"/>
                <w:u w:val="none"/>
              </w:rPr>
              <w:t>Peer Evaluation #1 (Graded — BARS-based + qualitative, ~10% of final grade via Professional Engagement, individual submission)</w:t>
            </w:r>
          </w:p>
        </w:tc>
      </w:tr>
    </w:tbl>
    <w:p>
      <w:pPr>
        <w:spacing w:before="0" w:after="120"/>
      </w:pPr>
    </w:p>
    <w:p>
      <w:pPr>
        <w:spacing w:before="280" w:after="100"/>
      </w:pPr>
      <w:r>
        <w:rPr>
          <w:rFonts w:ascii="DM Sans" w:hAnsi="DM Sans" w:cs="DM Sans"/>
          <w:b/>
          <w:i w:val="0"/>
          <w:color w:val="050C2A"/>
          <w:sz w:val="28"/>
          <w:u w:val="none"/>
        </w:rPr>
        <w:t>Learning Objectives</w:t>
      </w:r>
    </w:p>
    <w:p>
      <w:pPr>
        <w:spacing w:before="0" w:after="120" w:line="276" w:lineRule="auto"/>
      </w:pPr>
      <w:r>
        <w:rPr>
          <w:rFonts w:ascii="DM Sans" w:hAnsi="DM Sans" w:cs="DM Sans"/>
          <w:b w:val="0"/>
          <w:i w:val="0"/>
          <w:color w:val="050C2A"/>
          <w:sz w:val="20"/>
          <w:u w:val="none"/>
        </w:rPr>
        <w:t>By the end of Week 8,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867"/>
            <w:shd w:fill="FF7C0A" w:val="clear"/>
            <w:vAlign w:val="center"/>
          </w:tcPr>
          <w:p>
            <w:pPr>
              <w:jc w:val="left"/>
              <w:spacing w:before="40" w:after="40"/>
            </w:pPr>
            <w:r>
              <w:rPr>
                <w:rFonts w:ascii="DM Sans" w:hAnsi="DM Sans" w:cs="DM Sans"/>
                <w:b/>
                <w:i w:val="0"/>
                <w:color w:val="FFFFFF"/>
                <w:sz w:val="20"/>
                <w:u w:val="none"/>
              </w:rPr>
              <w:t>#</w:t>
            </w:r>
          </w:p>
        </w:tc>
        <w:tc>
          <w:tcPr>
            <w:tcW w:type="dxa" w:w="5202"/>
            <w:shd w:fill="FF7C0A" w:val="clear"/>
            <w:vAlign w:val="center"/>
          </w:tcPr>
          <w:p>
            <w:pPr>
              <w:jc w:val="left"/>
              <w:spacing w:before="40" w:after="40"/>
            </w:pPr>
            <w:r>
              <w:rPr>
                <w:rFonts w:ascii="DM Sans" w:hAnsi="DM Sans" w:cs="DM Sans"/>
                <w:b/>
                <w:i w:val="0"/>
                <w:color w:val="FFFFFF"/>
                <w:sz w:val="20"/>
                <w:u w:val="none"/>
              </w:rPr>
              <w:t>Objective</w:t>
            </w:r>
          </w:p>
        </w:tc>
        <w:tc>
          <w:tcPr>
            <w:tcW w:type="dxa" w:w="3291"/>
            <w:shd w:fill="FF7C0A" w:val="clear"/>
            <w:vAlign w:val="center"/>
          </w:tcPr>
          <w:p>
            <w:pPr>
              <w:jc w:val="left"/>
              <w:spacing w:before="40" w:after="40"/>
            </w:pPr>
            <w:r>
              <w:rPr>
                <w:rFonts w:ascii="DM Sans" w:hAnsi="DM Sans" w:cs="DM Sans"/>
                <w:b/>
                <w:i w:val="0"/>
                <w:color w:val="FFFFFF"/>
                <w:sz w:val="20"/>
                <w:u w:val="none"/>
              </w:rPr>
              <w:t>Competency</w:t>
            </w:r>
          </w:p>
        </w:tc>
      </w:tr>
      <w:tr>
        <w:tc>
          <w:tcPr>
            <w:tcW w:type="dxa" w:w="867"/>
            <w:vAlign w:val="center"/>
          </w:tcPr>
          <w:p>
            <w:pPr>
              <w:spacing w:before="30" w:after="30"/>
            </w:pPr>
            <w:r>
              <w:rPr>
                <w:rFonts w:ascii="DM Sans" w:hAnsi="DM Sans" w:cs="DM Sans"/>
                <w:b/>
                <w:i w:val="0"/>
                <w:color w:val="050C2A"/>
                <w:sz w:val="20"/>
                <w:u w:val="none"/>
              </w:rPr>
              <w:t>1</w:t>
            </w:r>
          </w:p>
        </w:tc>
        <w:tc>
          <w:tcPr>
            <w:tcW w:type="dxa" w:w="5202"/>
            <w:vAlign w:val="center"/>
          </w:tcPr>
          <w:p>
            <w:pPr>
              <w:spacing w:before="30" w:after="30"/>
            </w:pPr>
            <w:r>
              <w:rPr>
                <w:rFonts w:ascii="DM Sans" w:hAnsi="DM Sans" w:cs="DM Sans"/>
                <w:b w:val="0"/>
                <w:i w:val="0"/>
                <w:color w:val="050C2A"/>
                <w:sz w:val="20"/>
                <w:u w:val="none"/>
              </w:rPr>
              <w:t>Sort employer feedback into categories of act on, note, or set aside, and translate prioritized feedback into a concrete revision plan with assigned responsibilities.</w:t>
            </w:r>
          </w:p>
        </w:tc>
        <w:tc>
          <w:tcPr>
            <w:tcW w:type="dxa" w:w="3291"/>
            <w:vAlign w:val="center"/>
          </w:tcPr>
          <w:p>
            <w:pPr>
              <w:spacing w:before="30" w:after="30"/>
            </w:pPr>
            <w:r>
              <w:rPr>
                <w:rFonts w:ascii="DM Sans" w:hAnsi="DM Sans" w:cs="DM Sans"/>
                <w:b w:val="0"/>
                <w:i w:val="0"/>
                <w:color w:val="050C2A"/>
                <w:sz w:val="20"/>
                <w:u w:val="none"/>
              </w:rPr>
              <w:t>Professionalism → Feedback Reception; Critical Thinking → Prioritization</w:t>
            </w:r>
          </w:p>
        </w:tc>
      </w:tr>
      <w:tr>
        <w:tc>
          <w:tcPr>
            <w:tcW w:type="dxa" w:w="867"/>
            <w:shd w:fill="F5F5F5" w:val="clear"/>
            <w:vAlign w:val="center"/>
          </w:tcPr>
          <w:p>
            <w:pPr>
              <w:spacing w:before="30" w:after="30"/>
            </w:pPr>
            <w:r>
              <w:rPr>
                <w:rFonts w:ascii="DM Sans" w:hAnsi="DM Sans" w:cs="DM Sans"/>
                <w:b/>
                <w:i w:val="0"/>
                <w:color w:val="050C2A"/>
                <w:sz w:val="20"/>
                <w:u w:val="none"/>
              </w:rPr>
              <w:t>2</w:t>
            </w:r>
          </w:p>
        </w:tc>
        <w:tc>
          <w:tcPr>
            <w:tcW w:type="dxa" w:w="5202"/>
            <w:shd w:fill="F5F5F5" w:val="clear"/>
            <w:vAlign w:val="center"/>
          </w:tcPr>
          <w:p>
            <w:pPr>
              <w:spacing w:before="30" w:after="30"/>
            </w:pPr>
            <w:r>
              <w:rPr>
                <w:rFonts w:ascii="DM Sans" w:hAnsi="DM Sans" w:cs="DM Sans"/>
                <w:b w:val="0"/>
                <w:i w:val="0"/>
                <w:color w:val="050C2A"/>
                <w:sz w:val="20"/>
                <w:u w:val="none"/>
              </w:rPr>
              <w:t>Revise previously submitted work in response to employer feedback, distinguishing between feedback that requires structural changes and feedback addressable through targeted edits.</w:t>
            </w:r>
          </w:p>
        </w:tc>
        <w:tc>
          <w:tcPr>
            <w:tcW w:type="dxa" w:w="3291"/>
            <w:shd w:fill="F5F5F5" w:val="clear"/>
            <w:vAlign w:val="center"/>
          </w:tcPr>
          <w:p>
            <w:pPr>
              <w:spacing w:before="30" w:after="30"/>
            </w:pPr>
            <w:r>
              <w:rPr>
                <w:rFonts w:ascii="DM Sans" w:hAnsi="DM Sans" w:cs="DM Sans"/>
                <w:b w:val="0"/>
                <w:i w:val="0"/>
                <w:color w:val="050C2A"/>
                <w:sz w:val="20"/>
                <w:u w:val="none"/>
              </w:rPr>
              <w:t>Professionalism → Feedback Reception; Communication → Written Clarity</w:t>
            </w:r>
          </w:p>
        </w:tc>
      </w:tr>
      <w:tr>
        <w:tc>
          <w:tcPr>
            <w:tcW w:type="dxa" w:w="867"/>
            <w:vAlign w:val="center"/>
          </w:tcPr>
          <w:p>
            <w:pPr>
              <w:spacing w:before="30" w:after="30"/>
            </w:pPr>
            <w:r>
              <w:rPr>
                <w:rFonts w:ascii="DM Sans" w:hAnsi="DM Sans" w:cs="DM Sans"/>
                <w:b/>
                <w:i w:val="0"/>
                <w:color w:val="050C2A"/>
                <w:sz w:val="20"/>
                <w:u w:val="none"/>
              </w:rPr>
              <w:t>3</w:t>
            </w:r>
          </w:p>
        </w:tc>
        <w:tc>
          <w:tcPr>
            <w:tcW w:type="dxa" w:w="5202"/>
            <w:vAlign w:val="center"/>
          </w:tcPr>
          <w:p>
            <w:pPr>
              <w:spacing w:before="30" w:after="30"/>
            </w:pPr>
            <w:r>
              <w:rPr>
                <w:rFonts w:ascii="DM Sans" w:hAnsi="DM Sans" w:cs="DM Sans"/>
                <w:b w:val="0"/>
                <w:i w:val="0"/>
                <w:color w:val="050C2A"/>
                <w:sz w:val="20"/>
                <w:u w:val="none"/>
              </w:rPr>
              <w:t>Evaluate each teammate's contribution using behaviorally anchored rating scales, providing specific behavioral evidence for each rating and qualitative feedback.</w:t>
            </w:r>
          </w:p>
        </w:tc>
        <w:tc>
          <w:tcPr>
            <w:tcW w:type="dxa" w:w="3291"/>
            <w:vAlign w:val="center"/>
          </w:tcPr>
          <w:p>
            <w:pPr>
              <w:spacing w:before="30" w:after="30"/>
            </w:pPr>
            <w:r>
              <w:rPr>
                <w:rFonts w:ascii="DM Sans" w:hAnsi="DM Sans" w:cs="DM Sans"/>
                <w:b w:val="0"/>
                <w:i w:val="0"/>
                <w:color w:val="050C2A"/>
                <w:sz w:val="20"/>
                <w:u w:val="none"/>
              </w:rPr>
              <w:t>Teamwork → Constructive Feedback; Teamwork → Shared Accountability</w:t>
            </w:r>
          </w:p>
        </w:tc>
      </w:tr>
      <w:tr>
        <w:tc>
          <w:tcPr>
            <w:tcW w:type="dxa" w:w="867"/>
            <w:shd w:fill="F5F5F5" w:val="clear"/>
            <w:vAlign w:val="center"/>
          </w:tcPr>
          <w:p>
            <w:pPr>
              <w:spacing w:before="30" w:after="30"/>
            </w:pPr>
            <w:r>
              <w:rPr>
                <w:rFonts w:ascii="DM Sans" w:hAnsi="DM Sans" w:cs="DM Sans"/>
                <w:b/>
                <w:i w:val="0"/>
                <w:color w:val="050C2A"/>
                <w:sz w:val="20"/>
                <w:u w:val="none"/>
              </w:rPr>
              <w:t>4</w:t>
            </w:r>
          </w:p>
        </w:tc>
        <w:tc>
          <w:tcPr>
            <w:tcW w:type="dxa" w:w="5202"/>
            <w:shd w:fill="F5F5F5" w:val="clear"/>
            <w:vAlign w:val="center"/>
          </w:tcPr>
          <w:p>
            <w:pPr>
              <w:spacing w:before="30" w:after="30"/>
            </w:pPr>
            <w:r>
              <w:rPr>
                <w:rFonts w:ascii="DM Sans" w:hAnsi="DM Sans" w:cs="DM Sans"/>
                <w:b w:val="0"/>
                <w:i w:val="0"/>
                <w:color w:val="050C2A"/>
                <w:sz w:val="20"/>
                <w:u w:val="none"/>
              </w:rPr>
              <w:t>Distinguish between AI uses that support production and AI uses that substitute for thinking, and articulate how to maintain ownership of AI-assisted work.</w:t>
            </w:r>
          </w:p>
        </w:tc>
        <w:tc>
          <w:tcPr>
            <w:tcW w:type="dxa" w:w="3291"/>
            <w:shd w:fill="F5F5F5" w:val="clear"/>
            <w:vAlign w:val="center"/>
          </w:tcPr>
          <w:p>
            <w:pPr>
              <w:spacing w:before="30" w:after="30"/>
            </w:pPr>
            <w:r>
              <w:rPr>
                <w:rFonts w:ascii="DM Sans" w:hAnsi="DM Sans" w:cs="DM Sans"/>
                <w:b w:val="0"/>
                <w:i w:val="0"/>
                <w:color w:val="050C2A"/>
                <w:sz w:val="20"/>
                <w:u w:val="none"/>
              </w:rPr>
              <w:t>Critical Thinking → Evidence-Based Reasoning</w:t>
            </w:r>
          </w:p>
        </w:tc>
      </w:tr>
    </w:tbl>
    <w:p>
      <w:pPr>
        <w:spacing w:before="0" w:after="120"/>
      </w:pPr>
    </w:p>
    <w:p>
      <w:pPr>
        <w:spacing w:before="280" w:after="100"/>
      </w:pPr>
      <w:r>
        <w:rPr>
          <w:rFonts w:ascii="DM Sans" w:hAnsi="DM Sans" w:cs="DM Sans"/>
          <w:b/>
          <w:i w:val="0"/>
          <w:color w:val="050C2A"/>
          <w:sz w:val="28"/>
          <w:u w:val="none"/>
        </w:rPr>
        <w:t>Weekly Activity Breakdown</w:t>
      </w:r>
    </w:p>
    <w:p>
      <w:pPr>
        <w:spacing w:before="0" w:after="120" w:line="276" w:lineRule="auto"/>
      </w:pPr>
      <w:r>
        <w:rPr>
          <w:rFonts w:ascii="DM Sans" w:hAnsi="DM Sans" w:cs="DM Sans"/>
          <w:b w:val="0"/>
          <w:i w:val="0"/>
          <w:color w:val="050C2A"/>
          <w:sz w:val="20"/>
          <w:u w:val="none"/>
        </w:rPr>
        <w:t>Week 8 is built around a dual challenge: processing the employer feedback students just received in Check-In #1, and completing their first peer evaluation — a graded individual deliverable that requires them to assess each teammate's contribution with specific behavioral evidence. There is no employer touchpoint this week, which frees synchronous time for the largest production block in the course so far. The module content serves both challenges directly: feedback processing and iteration skills apply immediately to the revision work, while the peer evaluation module — including a calibration exercise using the Maple &amp; Main scenario — prepares students for the evidence-based evaluation they must complete. The AI module shifts from the research-oriented AI guidance of Weeks 2–4 to production-oriented guidance appropriate for the Development phase. This week also introduces the Status Update to Employer as a standing prompt in the async communication activity — a brief between-reviews update that maintains employer engagement without requiring a synchronous meeting.</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387"/>
            <w:shd w:fill="FF7C0A" w:val="clear"/>
            <w:vAlign w:val="center"/>
          </w:tcPr>
          <w:p>
            <w:pPr>
              <w:jc w:val="left"/>
              <w:spacing w:before="40" w:after="40"/>
            </w:pPr>
            <w:r>
              <w:rPr>
                <w:rFonts w:ascii="DM Sans" w:hAnsi="DM Sans" w:cs="DM Sans"/>
                <w:b/>
                <w:i w:val="0"/>
                <w:color w:val="FFFFFF"/>
                <w:sz w:val="20"/>
                <w:u w:val="none"/>
              </w:rPr>
              <w:t>#</w:t>
            </w:r>
          </w:p>
        </w:tc>
        <w:tc>
          <w:tcPr>
            <w:tcW w:type="dxa" w:w="967"/>
            <w:shd w:fill="FF7C0A" w:val="clear"/>
            <w:vAlign w:val="center"/>
          </w:tcPr>
          <w:p>
            <w:pPr>
              <w:jc w:val="left"/>
              <w:spacing w:before="40" w:after="40"/>
            </w:pPr>
            <w:r>
              <w:rPr>
                <w:rFonts w:ascii="DM Sans" w:hAnsi="DM Sans" w:cs="DM Sans"/>
                <w:b/>
                <w:i w:val="0"/>
                <w:color w:val="FFFFFF"/>
                <w:sz w:val="20"/>
                <w:u w:val="none"/>
              </w:rPr>
              <w:t>Category</w:t>
            </w:r>
          </w:p>
        </w:tc>
        <w:tc>
          <w:tcPr>
            <w:tcW w:type="dxa" w:w="2240"/>
            <w:shd w:fill="FF7C0A" w:val="clear"/>
            <w:vAlign w:val="center"/>
          </w:tcPr>
          <w:p>
            <w:pPr>
              <w:jc w:val="left"/>
              <w:spacing w:before="40" w:after="40"/>
            </w:pPr>
            <w:r>
              <w:rPr>
                <w:rFonts w:ascii="DM Sans" w:hAnsi="DM Sans" w:cs="DM Sans"/>
                <w:b/>
                <w:i w:val="0"/>
                <w:color w:val="FFFFFF"/>
                <w:sz w:val="20"/>
                <w:u w:val="none"/>
              </w:rPr>
              <w:t>Activity</w:t>
            </w:r>
          </w:p>
        </w:tc>
        <w:tc>
          <w:tcPr>
            <w:tcW w:type="dxa" w:w="512"/>
            <w:shd w:fill="FF7C0A" w:val="clear"/>
            <w:vAlign w:val="center"/>
          </w:tcPr>
          <w:p>
            <w:pPr>
              <w:jc w:val="left"/>
              <w:spacing w:before="40" w:after="40"/>
            </w:pPr>
            <w:r>
              <w:rPr>
                <w:rFonts w:ascii="DM Sans" w:hAnsi="DM Sans" w:cs="DM Sans"/>
                <w:b/>
                <w:i w:val="0"/>
                <w:color w:val="FFFFFF"/>
                <w:sz w:val="20"/>
                <w:u w:val="none"/>
              </w:rPr>
              <w:t>Format</w:t>
            </w:r>
          </w:p>
        </w:tc>
        <w:tc>
          <w:tcPr>
            <w:tcW w:type="dxa" w:w="1005"/>
            <w:shd w:fill="FF7C0A" w:val="clear"/>
            <w:vAlign w:val="center"/>
          </w:tcPr>
          <w:p>
            <w:pPr>
              <w:jc w:val="left"/>
              <w:spacing w:before="40" w:after="40"/>
            </w:pPr>
            <w:r>
              <w:rPr>
                <w:rFonts w:ascii="DM Sans" w:hAnsi="DM Sans" w:cs="DM Sans"/>
                <w:b/>
                <w:i w:val="0"/>
                <w:color w:val="FFFFFF"/>
                <w:sz w:val="20"/>
                <w:u w:val="none"/>
              </w:rPr>
              <w:t>Min</w:t>
            </w:r>
          </w:p>
        </w:tc>
        <w:tc>
          <w:tcPr>
            <w:tcW w:type="dxa" w:w="4249"/>
            <w:shd w:fill="FF7C0A" w:val="clear"/>
            <w:vAlign w:val="center"/>
          </w:tcPr>
          <w:p>
            <w:pPr>
              <w:jc w:val="left"/>
              <w:spacing w:before="40" w:after="40"/>
            </w:pPr>
            <w:r>
              <w:rPr>
                <w:rFonts w:ascii="DM Sans" w:hAnsi="DM Sans" w:cs="DM Sans"/>
                <w:b/>
                <w:i w:val="0"/>
                <w:color w:val="FFFFFF"/>
                <w:sz w:val="20"/>
                <w:u w:val="none"/>
              </w:rPr>
              <w:t>Note</w:t>
            </w:r>
          </w:p>
        </w:tc>
      </w:tr>
      <w:tr>
        <w:tc>
          <w:tcPr>
            <w:tcW w:type="dxa" w:w="387"/>
            <w:vAlign w:val="center"/>
          </w:tcPr>
          <w:p>
            <w:pPr>
              <w:spacing w:before="30" w:after="30"/>
            </w:pPr>
            <w:r>
              <w:rPr>
                <w:rFonts w:ascii="DM Sans" w:hAnsi="DM Sans" w:cs="DM Sans"/>
                <w:b w:val="0"/>
                <w:i w:val="0"/>
                <w:color w:val="050C2A"/>
                <w:sz w:val="20"/>
                <w:u w:val="none"/>
              </w:rPr>
              <w:t>8.01</w:t>
            </w:r>
          </w:p>
        </w:tc>
        <w:tc>
          <w:tcPr>
            <w:tcW w:type="dxa" w:w="967"/>
            <w:vAlign w:val="center"/>
          </w:tcPr>
          <w:p>
            <w:pPr>
              <w:spacing w:before="30" w:after="30"/>
            </w:pPr>
            <w:r>
              <w:rPr>
                <w:rFonts w:ascii="DM Sans" w:hAnsi="DM Sans" w:cs="DM Sans"/>
                <w:b w:val="0"/>
                <w:i w:val="0"/>
                <w:color w:val="050C2A"/>
                <w:sz w:val="20"/>
                <w:u w:val="none"/>
              </w:rPr>
              <w:t>Course Orientation</w:t>
            </w:r>
          </w:p>
        </w:tc>
        <w:tc>
          <w:tcPr>
            <w:tcW w:type="dxa" w:w="2240"/>
            <w:vAlign w:val="center"/>
          </w:tcPr>
          <w:p>
            <w:pPr>
              <w:spacing w:before="30" w:after="30"/>
            </w:pPr>
            <w:r>
              <w:rPr>
                <w:rFonts w:ascii="DM Sans" w:hAnsi="DM Sans" w:cs="DM Sans"/>
                <w:b w:val="0"/>
                <w:i w:val="0"/>
                <w:color w:val="050C2A"/>
                <w:sz w:val="20"/>
                <w:u w:val="none"/>
              </w:rPr>
              <w:t>Week 8 Overview — objectives, what's happening this week, suggested order of completion</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5</w:t>
            </w:r>
          </w:p>
        </w:tc>
        <w:tc>
          <w:tcPr>
            <w:tcW w:type="dxa" w:w="4249"/>
            <w:vAlign w:val="center"/>
          </w:tcPr>
          <w:p>
            <w:pPr>
              <w:spacing w:before="30" w:after="30"/>
            </w:pPr>
            <w:r>
              <w:rPr>
                <w:rFonts w:ascii="DM Sans" w:hAnsi="DM Sans" w:cs="DM Sans"/>
                <w:b w:val="0"/>
                <w:i w:val="0"/>
                <w:color w:val="050C2A"/>
                <w:sz w:val="20"/>
                <w:u w:val="none"/>
              </w:rPr>
              <w:t>Names Peer Evaluation #1 as the anchor deliverable; orients students to the feedback-processing + peer eval structure of the week; no employer touchpoint this week</w:t>
            </w:r>
          </w:p>
        </w:tc>
      </w:tr>
      <w:tr>
        <w:tc>
          <w:tcPr>
            <w:tcW w:type="dxa" w:w="387"/>
            <w:shd w:fill="F5F5F5" w:val="clear"/>
            <w:vAlign w:val="center"/>
          </w:tcPr>
          <w:p>
            <w:pPr>
              <w:spacing w:before="30" w:after="30"/>
            </w:pPr>
            <w:r>
              <w:rPr>
                <w:rFonts w:ascii="DM Sans" w:hAnsi="DM Sans" w:cs="DM Sans"/>
                <w:b w:val="0"/>
                <w:i w:val="0"/>
                <w:color w:val="050C2A"/>
                <w:sz w:val="20"/>
                <w:u w:val="none"/>
              </w:rPr>
              <w:t>8.02</w:t>
            </w:r>
          </w:p>
        </w:tc>
        <w:tc>
          <w:tcPr>
            <w:tcW w:type="dxa" w:w="96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240"/>
            <w:shd w:fill="F5F5F5" w:val="clear"/>
            <w:vAlign w:val="center"/>
          </w:tcPr>
          <w:p>
            <w:pPr>
              <w:spacing w:before="30" w:after="30"/>
            </w:pPr>
            <w:r>
              <w:rPr>
                <w:rFonts w:ascii="DM Sans" w:hAnsi="DM Sans" w:cs="DM Sans"/>
                <w:b w:val="0"/>
                <w:i w:val="0"/>
                <w:color w:val="050C2A"/>
                <w:sz w:val="20"/>
                <w:u w:val="none"/>
              </w:rPr>
              <w:t>Module: Processing the Feedback You Received</w:t>
            </w:r>
          </w:p>
        </w:tc>
        <w:tc>
          <w:tcPr>
            <w:tcW w:type="dxa" w:w="512"/>
            <w:shd w:fill="F5F5F5" w:val="clear"/>
            <w:vAlign w:val="center"/>
          </w:tcPr>
          <w:p>
            <w:pPr>
              <w:spacing w:before="30" w:after="30"/>
            </w:pPr>
            <w:r>
              <w:rPr>
                <w:rFonts w:ascii="DM Sans" w:hAnsi="DM Sans" w:cs="DM Sans"/>
                <w:b w:val="0"/>
                <w:i w:val="0"/>
                <w:color w:val="050C2A"/>
                <w:sz w:val="20"/>
                <w:u w:val="none"/>
              </w:rPr>
              <w:t>Module</w:t>
            </w:r>
          </w:p>
        </w:tc>
        <w:tc>
          <w:tcPr>
            <w:tcW w:type="dxa" w:w="1005"/>
            <w:shd w:fill="F5F5F5" w:val="clear"/>
            <w:vAlign w:val="center"/>
          </w:tcPr>
          <w:p>
            <w:pPr>
              <w:spacing w:before="30" w:after="30"/>
            </w:pPr>
            <w:r>
              <w:rPr>
                <w:rFonts w:ascii="DM Sans" w:hAnsi="DM Sans" w:cs="DM Sans"/>
                <w:b w:val="0"/>
                <w:i w:val="0"/>
                <w:color w:val="050C2A"/>
                <w:sz w:val="20"/>
                <w:u w:val="none"/>
              </w:rPr>
              <w:t>15</w:t>
            </w:r>
          </w:p>
        </w:tc>
        <w:tc>
          <w:tcPr>
            <w:tcW w:type="dxa" w:w="4249"/>
            <w:shd w:fill="F5F5F5" w:val="clear"/>
            <w:vAlign w:val="center"/>
          </w:tcPr>
          <w:p>
            <w:pPr>
              <w:spacing w:before="30" w:after="30"/>
            </w:pPr>
            <w:r>
              <w:rPr>
                <w:rFonts w:ascii="DM Sans" w:hAnsi="DM Sans" w:cs="DM Sans"/>
                <w:b w:val="0"/>
                <w:i w:val="0"/>
                <w:color w:val="050C2A"/>
                <w:sz w:val="20"/>
                <w:u w:val="none"/>
              </w:rPr>
              <w:t>Sorting employer feedback from Check-In #1: what to act on, what to note, what to set aside; making a feedback response plan; distinguishes between feedback that requires revision, feedback that informs future direction, and feedback to acknowledge but set aside</w:t>
            </w:r>
          </w:p>
        </w:tc>
      </w:tr>
      <w:tr>
        <w:tc>
          <w:tcPr>
            <w:tcW w:type="dxa" w:w="387"/>
            <w:vAlign w:val="center"/>
          </w:tcPr>
          <w:p>
            <w:pPr>
              <w:spacing w:before="30" w:after="30"/>
            </w:pPr>
            <w:r>
              <w:rPr>
                <w:rFonts w:ascii="DM Sans" w:hAnsi="DM Sans" w:cs="DM Sans"/>
                <w:b w:val="0"/>
                <w:i w:val="0"/>
                <w:color w:val="050C2A"/>
                <w:sz w:val="20"/>
                <w:u w:val="none"/>
              </w:rPr>
              <w:t>8.03</w:t>
            </w:r>
          </w:p>
        </w:tc>
        <w:tc>
          <w:tcPr>
            <w:tcW w:type="dxa" w:w="967"/>
            <w:vAlign w:val="center"/>
          </w:tcPr>
          <w:p>
            <w:pPr>
              <w:spacing w:before="30" w:after="30"/>
            </w:pPr>
            <w:r>
              <w:rPr>
                <w:rFonts w:ascii="DM Sans" w:hAnsi="DM Sans" w:cs="DM Sans"/>
                <w:b w:val="0"/>
                <w:i w:val="0"/>
                <w:color w:val="050C2A"/>
                <w:sz w:val="20"/>
                <w:u w:val="none"/>
              </w:rPr>
              <w:t>Professional Fundamentals</w:t>
            </w:r>
          </w:p>
        </w:tc>
        <w:tc>
          <w:tcPr>
            <w:tcW w:type="dxa" w:w="2240"/>
            <w:vAlign w:val="center"/>
          </w:tcPr>
          <w:p>
            <w:pPr>
              <w:spacing w:before="30" w:after="30"/>
            </w:pPr>
            <w:r>
              <w:rPr>
                <w:rFonts w:ascii="DM Sans" w:hAnsi="DM Sans" w:cs="DM Sans"/>
                <w:b w:val="0"/>
                <w:i w:val="0"/>
                <w:color w:val="050C2A"/>
                <w:sz w:val="20"/>
                <w:u w:val="none"/>
              </w:rPr>
              <w:t>Module: Iteration as a Skill</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15</w:t>
            </w:r>
          </w:p>
        </w:tc>
        <w:tc>
          <w:tcPr>
            <w:tcW w:type="dxa" w:w="4249"/>
            <w:vAlign w:val="center"/>
          </w:tcPr>
          <w:p>
            <w:pPr>
              <w:spacing w:before="30" w:after="30"/>
            </w:pPr>
            <w:r>
              <w:rPr>
                <w:rFonts w:ascii="DM Sans" w:hAnsi="DM Sans" w:cs="DM Sans"/>
                <w:b w:val="0"/>
                <w:i w:val="0"/>
                <w:color w:val="050C2A"/>
                <w:sz w:val="20"/>
                <w:u w:val="none"/>
              </w:rPr>
              <w:t>Revision isn’t failure — it’s the professional process; how to move from feedback to concrete revisions; connects to Responsiveness to Feedback dimension on Final Deliverables rubric</w:t>
            </w:r>
          </w:p>
        </w:tc>
      </w:tr>
      <w:tr>
        <w:tc>
          <w:tcPr>
            <w:tcW w:type="dxa" w:w="387"/>
            <w:shd w:fill="F5F5F5" w:val="clear"/>
            <w:vAlign w:val="center"/>
          </w:tcPr>
          <w:p>
            <w:pPr>
              <w:spacing w:before="30" w:after="30"/>
            </w:pPr>
            <w:r>
              <w:rPr>
                <w:rFonts w:ascii="DM Sans" w:hAnsi="DM Sans" w:cs="DM Sans"/>
                <w:b w:val="0"/>
                <w:i w:val="0"/>
                <w:color w:val="050C2A"/>
                <w:sz w:val="20"/>
                <w:u w:val="none"/>
              </w:rPr>
              <w:t>8.04</w:t>
            </w:r>
          </w:p>
        </w:tc>
        <w:tc>
          <w:tcPr>
            <w:tcW w:type="dxa" w:w="967"/>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240"/>
            <w:shd w:fill="F5F5F5" w:val="clear"/>
            <w:vAlign w:val="center"/>
          </w:tcPr>
          <w:p>
            <w:pPr>
              <w:spacing w:before="30" w:after="30"/>
            </w:pPr>
            <w:r>
              <w:rPr>
                <w:rFonts w:ascii="DM Sans" w:hAnsi="DM Sans" w:cs="DM Sans"/>
                <w:b w:val="0"/>
                <w:i w:val="0"/>
                <w:color w:val="050C2A"/>
                <w:sz w:val="20"/>
                <w:u w:val="none"/>
              </w:rPr>
              <w:t>Module: Writing Substantive Peer Evaluations</w:t>
            </w:r>
          </w:p>
        </w:tc>
        <w:tc>
          <w:tcPr>
            <w:tcW w:type="dxa" w:w="512"/>
            <w:shd w:fill="F5F5F5" w:val="clear"/>
            <w:vAlign w:val="center"/>
          </w:tcPr>
          <w:p>
            <w:pPr>
              <w:spacing w:before="30" w:after="30"/>
            </w:pPr>
            <w:r>
              <w:rPr>
                <w:rFonts w:ascii="DM Sans" w:hAnsi="DM Sans" w:cs="DM Sans"/>
                <w:b w:val="0"/>
                <w:i w:val="0"/>
                <w:color w:val="050C2A"/>
                <w:sz w:val="20"/>
                <w:u w:val="none"/>
              </w:rPr>
              <w:t>Module</w:t>
            </w:r>
          </w:p>
        </w:tc>
        <w:tc>
          <w:tcPr>
            <w:tcW w:type="dxa" w:w="1005"/>
            <w:shd w:fill="F5F5F5" w:val="clear"/>
            <w:vAlign w:val="center"/>
          </w:tcPr>
          <w:p>
            <w:pPr>
              <w:spacing w:before="30" w:after="30"/>
            </w:pPr>
            <w:r>
              <w:rPr>
                <w:rFonts w:ascii="DM Sans" w:hAnsi="DM Sans" w:cs="DM Sans"/>
                <w:b w:val="0"/>
                <w:i w:val="0"/>
                <w:color w:val="050C2A"/>
                <w:sz w:val="20"/>
                <w:u w:val="none"/>
              </w:rPr>
              <w:t>20</w:t>
            </w:r>
          </w:p>
        </w:tc>
        <w:tc>
          <w:tcPr>
            <w:tcW w:type="dxa" w:w="4249"/>
            <w:shd w:fill="F5F5F5" w:val="clear"/>
            <w:vAlign w:val="center"/>
          </w:tcPr>
          <w:p>
            <w:pPr>
              <w:spacing w:before="30" w:after="30"/>
            </w:pPr>
            <w:r>
              <w:rPr>
                <w:rFonts w:ascii="DM Sans" w:hAnsi="DM Sans" w:cs="DM Sans"/>
                <w:b w:val="0"/>
                <w:i w:val="0"/>
                <w:color w:val="050C2A"/>
                <w:sz w:val="20"/>
                <w:u w:val="none"/>
              </w:rPr>
              <w:t>Continue/Start/Adjust qualitative framework; BARS anchors and how to use them; distinction between vague ratings and actionable evidence with examples; calibration exercise using Maple &amp; Main scenario (rate fictional teammate Jordan using BARS, guided discussion of correct ratings); how to be honest without being destructive; directly feeds Peer Eval #1 due this week</w:t>
            </w:r>
          </w:p>
        </w:tc>
      </w:tr>
      <w:tr>
        <w:tc>
          <w:tcPr>
            <w:tcW w:type="dxa" w:w="387"/>
            <w:vAlign w:val="center"/>
          </w:tcPr>
          <w:p>
            <w:pPr>
              <w:spacing w:before="30" w:after="30"/>
            </w:pPr>
            <w:r>
              <w:rPr>
                <w:rFonts w:ascii="DM Sans" w:hAnsi="DM Sans" w:cs="DM Sans"/>
                <w:b w:val="0"/>
                <w:i w:val="0"/>
                <w:color w:val="050C2A"/>
                <w:sz w:val="20"/>
                <w:u w:val="none"/>
              </w:rPr>
              <w:t>8.05</w:t>
            </w:r>
          </w:p>
        </w:tc>
        <w:tc>
          <w:tcPr>
            <w:tcW w:type="dxa" w:w="967"/>
            <w:vAlign w:val="center"/>
          </w:tcPr>
          <w:p>
            <w:pPr>
              <w:spacing w:before="30" w:after="30"/>
            </w:pPr>
            <w:r>
              <w:rPr>
                <w:rFonts w:ascii="DM Sans" w:hAnsi="DM Sans" w:cs="DM Sans"/>
                <w:b w:val="0"/>
                <w:i w:val="0"/>
                <w:color w:val="050C2A"/>
                <w:sz w:val="20"/>
                <w:u w:val="none"/>
              </w:rPr>
              <w:t>Professional Fundamentals</w:t>
            </w:r>
          </w:p>
        </w:tc>
        <w:tc>
          <w:tcPr>
            <w:tcW w:type="dxa" w:w="2240"/>
            <w:vAlign w:val="center"/>
          </w:tcPr>
          <w:p>
            <w:pPr>
              <w:spacing w:before="30" w:after="30"/>
            </w:pPr>
            <w:r>
              <w:rPr>
                <w:rFonts w:ascii="DM Sans" w:hAnsi="DM Sans" w:cs="DM Sans"/>
                <w:b w:val="0"/>
                <w:i w:val="0"/>
                <w:color w:val="050C2A"/>
                <w:sz w:val="20"/>
                <w:u w:val="none"/>
              </w:rPr>
              <w:t>Module: AI as a Production Partner</w:t>
            </w:r>
          </w:p>
        </w:tc>
        <w:tc>
          <w:tcPr>
            <w:tcW w:type="dxa" w:w="512"/>
            <w:vAlign w:val="center"/>
          </w:tcPr>
          <w:p>
            <w:pPr>
              <w:spacing w:before="30" w:after="30"/>
            </w:pPr>
            <w:r>
              <w:rPr>
                <w:rFonts w:ascii="DM Sans" w:hAnsi="DM Sans" w:cs="DM Sans"/>
                <w:b w:val="0"/>
                <w:i w:val="0"/>
                <w:color w:val="050C2A"/>
                <w:sz w:val="20"/>
                <w:u w:val="none"/>
              </w:rPr>
              <w:t>Module</w:t>
            </w:r>
          </w:p>
        </w:tc>
        <w:tc>
          <w:tcPr>
            <w:tcW w:type="dxa" w:w="1005"/>
            <w:vAlign w:val="center"/>
          </w:tcPr>
          <w:p>
            <w:pPr>
              <w:spacing w:before="30" w:after="30"/>
            </w:pPr>
            <w:r>
              <w:rPr>
                <w:rFonts w:ascii="DM Sans" w:hAnsi="DM Sans" w:cs="DM Sans"/>
                <w:b w:val="0"/>
                <w:i w:val="0"/>
                <w:color w:val="050C2A"/>
                <w:sz w:val="20"/>
                <w:u w:val="none"/>
              </w:rPr>
              <w:t>10</w:t>
            </w:r>
          </w:p>
        </w:tc>
        <w:tc>
          <w:tcPr>
            <w:tcW w:type="dxa" w:w="4249"/>
            <w:vAlign w:val="center"/>
          </w:tcPr>
          <w:p>
            <w:pPr>
              <w:spacing w:before="30" w:after="30"/>
            </w:pPr>
            <w:r>
              <w:rPr>
                <w:rFonts w:ascii="DM Sans" w:hAnsi="DM Sans" w:cs="DM Sans"/>
                <w:b w:val="0"/>
                <w:i w:val="0"/>
                <w:color w:val="050C2A"/>
                <w:sz w:val="20"/>
                <w:u w:val="none"/>
              </w:rPr>
              <w:t>Using AI for drafting, structural review, gap identification, self-editing during production; where AI helps vs. where it substitutes for thinking; maintaining ownership of AI-assisted work; connects to disclosure requirements on upcoming deliverables</w:t>
            </w:r>
          </w:p>
        </w:tc>
      </w:tr>
      <w:tr>
        <w:tc>
          <w:tcPr>
            <w:tcW w:type="dxa" w:w="387"/>
            <w:shd w:fill="F5F5F5" w:val="clear"/>
            <w:vAlign w:val="center"/>
          </w:tcPr>
          <w:p>
            <w:pPr>
              <w:spacing w:before="30" w:after="30"/>
            </w:pPr>
            <w:r>
              <w:rPr>
                <w:rFonts w:ascii="DM Sans" w:hAnsi="DM Sans" w:cs="DM Sans"/>
                <w:b w:val="0"/>
                <w:i w:val="0"/>
                <w:color w:val="050C2A"/>
                <w:sz w:val="20"/>
                <w:u w:val="none"/>
              </w:rPr>
              <w:t>8.06</w:t>
            </w:r>
          </w:p>
        </w:tc>
        <w:tc>
          <w:tcPr>
            <w:tcW w:type="dxa" w:w="967"/>
            <w:shd w:fill="F5F5F5" w:val="clear"/>
            <w:vAlign w:val="center"/>
          </w:tcPr>
          <w:p>
            <w:pPr>
              <w:spacing w:before="30" w:after="30"/>
            </w:pPr>
            <w:r>
              <w:rPr>
                <w:rFonts w:ascii="DM Sans" w:hAnsi="DM Sans" w:cs="DM Sans"/>
                <w:b w:val="0"/>
                <w:i w:val="0"/>
                <w:color w:val="050C2A"/>
                <w:sz w:val="20"/>
                <w:u w:val="none"/>
              </w:rPr>
              <w:t>Reflection &amp; Assessment</w:t>
            </w:r>
          </w:p>
        </w:tc>
        <w:tc>
          <w:tcPr>
            <w:tcW w:type="dxa" w:w="2240"/>
            <w:shd w:fill="F5F5F5" w:val="clear"/>
            <w:vAlign w:val="center"/>
          </w:tcPr>
          <w:p>
            <w:pPr>
              <w:spacing w:before="30" w:after="30"/>
            </w:pPr>
            <w:r>
              <w:rPr>
                <w:rFonts w:ascii="DM Sans" w:hAnsi="DM Sans" w:cs="DM Sans"/>
                <w:b w:val="0"/>
                <w:i w:val="0"/>
                <w:color w:val="050C2A"/>
                <w:sz w:val="20"/>
                <w:u w:val="none"/>
              </w:rPr>
              <w:t>Review Peer Evaluation #1 assignment, BARS rubric, and evidence expectations</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20</w:t>
            </w:r>
          </w:p>
        </w:tc>
        <w:tc>
          <w:tcPr>
            <w:tcW w:type="dxa" w:w="4249"/>
            <w:shd w:fill="F5F5F5" w:val="clear"/>
            <w:vAlign w:val="center"/>
          </w:tcPr>
          <w:p>
            <w:pPr>
              <w:spacing w:before="30" w:after="30"/>
            </w:pPr>
            <w:r>
              <w:rPr>
                <w:rFonts w:ascii="DM Sans" w:hAnsi="DM Sans" w:cs="DM Sans"/>
                <w:b w:val="0"/>
                <w:i w:val="0"/>
                <w:color w:val="050C2A"/>
                <w:sz w:val="20"/>
                <w:u w:val="none"/>
              </w:rPr>
              <w:t>Students read the peer eval assignment description; review the four BARS dimensions (Reliability, Contribution, Constructive Engagement, Accountability) with behavioral anchors; understand the evidence requirement and self-evaluation component; first encounter with this deliverable format</w:t>
            </w:r>
          </w:p>
        </w:tc>
      </w:tr>
      <w:tr>
        <w:tc>
          <w:tcPr>
            <w:tcW w:type="dxa" w:w="387"/>
            <w:vAlign w:val="center"/>
          </w:tcPr>
          <w:p>
            <w:pPr>
              <w:spacing w:before="30" w:after="30"/>
            </w:pPr>
            <w:r>
              <w:rPr>
                <w:rFonts w:ascii="DM Sans" w:hAnsi="DM Sans" w:cs="DM Sans"/>
                <w:b w:val="0"/>
                <w:i w:val="0"/>
                <w:color w:val="050C2A"/>
                <w:sz w:val="20"/>
                <w:u w:val="none"/>
              </w:rPr>
              <w:t>8.07</w:t>
            </w:r>
          </w:p>
        </w:tc>
        <w:tc>
          <w:tcPr>
            <w:tcW w:type="dxa" w:w="967"/>
            <w:vAlign w:val="center"/>
          </w:tcPr>
          <w:p>
            <w:pPr>
              <w:spacing w:before="30" w:after="30"/>
            </w:pPr>
            <w:r>
              <w:rPr>
                <w:rFonts w:ascii="DM Sans" w:hAnsi="DM Sans" w:cs="DM Sans"/>
                <w:b w:val="0"/>
                <w:i w:val="0"/>
                <w:color w:val="050C2A"/>
                <w:sz w:val="20"/>
                <w:u w:val="none"/>
              </w:rPr>
              <w:t>Reflection &amp; Assessment</w:t>
            </w:r>
          </w:p>
        </w:tc>
        <w:tc>
          <w:tcPr>
            <w:tcW w:type="dxa" w:w="2240"/>
            <w:vAlign w:val="center"/>
          </w:tcPr>
          <w:p>
            <w:pPr>
              <w:spacing w:before="30" w:after="30"/>
            </w:pPr>
            <w:r>
              <w:rPr>
                <w:rFonts w:ascii="DM Sans" w:hAnsi="DM Sans" w:cs="DM Sans"/>
                <w:b w:val="0"/>
                <w:i w:val="0"/>
                <w:color w:val="050C2A"/>
                <w:sz w:val="20"/>
                <w:u w:val="none"/>
              </w:rPr>
              <w:t>Draft and submit Peer Evaluation #1 — qualitative feedback + BARS ratings + self-evaluation for each teammate</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105</w:t>
            </w:r>
          </w:p>
        </w:tc>
        <w:tc>
          <w:tcPr>
            <w:tcW w:type="dxa" w:w="4249"/>
            <w:vAlign w:val="center"/>
          </w:tcPr>
          <w:p>
            <w:pPr>
              <w:spacing w:before="30" w:after="30"/>
            </w:pPr>
            <w:r>
              <w:rPr>
                <w:rFonts w:ascii="DM Sans" w:hAnsi="DM Sans" w:cs="DM Sans"/>
                <w:b w:val="0"/>
                <w:i w:val="0"/>
                <w:color w:val="050C2A"/>
                <w:sz w:val="20"/>
                <w:u w:val="none"/>
              </w:rPr>
              <w:t>GRADED individual deliverable; four-part evaluation per teammate: (A) Continue/Start/Adjust qualitative feedback with 2-sentence minimum per prompt, (B) BARS ratings on four dimensions (Reliability, Contribution, Constructive Engagement, Accountability) with behavioral anchors and required evidence, (C) self-evaluation on same BARS dimensions, (D) team pulse questions (instructor-only); AI disclosure required; evidence without behavioral specifics flagged for instructor review</w:t>
            </w:r>
          </w:p>
        </w:tc>
      </w:tr>
      <w:tr>
        <w:tc>
          <w:tcPr>
            <w:tcW w:type="dxa" w:w="387"/>
            <w:shd w:fill="F5F5F5" w:val="clear"/>
            <w:vAlign w:val="center"/>
          </w:tcPr>
          <w:p>
            <w:pPr>
              <w:spacing w:before="30" w:after="30"/>
            </w:pPr>
            <w:r>
              <w:rPr>
                <w:rFonts w:ascii="DM Sans" w:hAnsi="DM Sans" w:cs="DM Sans"/>
                <w:b w:val="0"/>
                <w:i w:val="0"/>
                <w:color w:val="050C2A"/>
                <w:sz w:val="20"/>
                <w:u w:val="none"/>
              </w:rPr>
              <w:t>8.08</w:t>
            </w:r>
          </w:p>
        </w:tc>
        <w:tc>
          <w:tcPr>
            <w:tcW w:type="dxa" w:w="967"/>
            <w:shd w:fill="F5F5F5" w:val="clear"/>
            <w:vAlign w:val="center"/>
          </w:tcPr>
          <w:p>
            <w:pPr>
              <w:spacing w:before="30" w:after="30"/>
            </w:pPr>
            <w:r>
              <w:rPr>
                <w:rFonts w:ascii="DM Sans" w:hAnsi="DM Sans" w:cs="DM Sans"/>
                <w:b w:val="0"/>
                <w:i w:val="0"/>
                <w:color w:val="050C2A"/>
                <w:sz w:val="20"/>
                <w:u w:val="none"/>
              </w:rPr>
              <w:t>Project Work</w:t>
            </w:r>
          </w:p>
        </w:tc>
        <w:tc>
          <w:tcPr>
            <w:tcW w:type="dxa" w:w="2240"/>
            <w:shd w:fill="F5F5F5" w:val="clear"/>
            <w:vAlign w:val="center"/>
          </w:tcPr>
          <w:p>
            <w:pPr>
              <w:spacing w:before="30" w:after="30"/>
            </w:pPr>
            <w:r>
              <w:rPr>
                <w:rFonts w:ascii="DM Sans" w:hAnsi="DM Sans" w:cs="DM Sans"/>
                <w:b w:val="0"/>
                <w:i w:val="0"/>
                <w:color w:val="050C2A"/>
                <w:sz w:val="20"/>
                <w:u w:val="none"/>
              </w:rPr>
              <w:t>Team feedback response planning — prioritize employer feedback from Check-In #1, assign revision responsibilities, update project plan</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45</w:t>
            </w:r>
          </w:p>
        </w:tc>
        <w:tc>
          <w:tcPr>
            <w:tcW w:type="dxa" w:w="4249"/>
            <w:shd w:fill="F5F5F5" w:val="clear"/>
            <w:vAlign w:val="center"/>
          </w:tcPr>
          <w:p>
            <w:pPr>
              <w:spacing w:before="30" w:after="30"/>
            </w:pPr>
            <w:r>
              <w:rPr>
                <w:rFonts w:ascii="DM Sans" w:hAnsi="DM Sans" w:cs="DM Sans"/>
                <w:b w:val="0"/>
                <w:i w:val="0"/>
                <w:color w:val="050C2A"/>
                <w:sz w:val="20"/>
                <w:u w:val="none"/>
              </w:rPr>
              <w:t>Translates Check-In #1 debrief notes into a prioritized revision plan; which feedback to act on first, who owns each revision, how the timeline shifts; first structured application of 'Processing the Feedback You Received' module content; seeds Change Log habit</w:t>
            </w:r>
          </w:p>
        </w:tc>
      </w:tr>
      <w:tr>
        <w:tc>
          <w:tcPr>
            <w:tcW w:type="dxa" w:w="387"/>
            <w:vAlign w:val="center"/>
          </w:tcPr>
          <w:p>
            <w:pPr>
              <w:spacing w:before="30" w:after="30"/>
            </w:pPr>
            <w:r>
              <w:rPr>
                <w:rFonts w:ascii="DM Sans" w:hAnsi="DM Sans" w:cs="DM Sans"/>
                <w:b w:val="0"/>
                <w:i w:val="0"/>
                <w:color w:val="050C2A"/>
                <w:sz w:val="20"/>
                <w:u w:val="none"/>
              </w:rPr>
              <w:t>8.09</w:t>
            </w:r>
          </w:p>
        </w:tc>
        <w:tc>
          <w:tcPr>
            <w:tcW w:type="dxa" w:w="967"/>
            <w:vAlign w:val="center"/>
          </w:tcPr>
          <w:p>
            <w:pPr>
              <w:spacing w:before="30" w:after="30"/>
            </w:pPr>
            <w:r>
              <w:rPr>
                <w:rFonts w:ascii="DM Sans" w:hAnsi="DM Sans" w:cs="DM Sans"/>
                <w:b w:val="0"/>
                <w:i w:val="0"/>
                <w:color w:val="050C2A"/>
                <w:sz w:val="20"/>
                <w:u w:val="none"/>
              </w:rPr>
              <w:t>Project Work</w:t>
            </w:r>
          </w:p>
        </w:tc>
        <w:tc>
          <w:tcPr>
            <w:tcW w:type="dxa" w:w="2240"/>
            <w:vAlign w:val="center"/>
          </w:tcPr>
          <w:p>
            <w:pPr>
              <w:spacing w:before="30" w:after="30"/>
            </w:pPr>
            <w:r>
              <w:rPr>
                <w:rFonts w:ascii="DM Sans" w:hAnsi="DM Sans" w:cs="DM Sans"/>
                <w:b w:val="0"/>
                <w:i w:val="0"/>
                <w:color w:val="050C2A"/>
                <w:sz w:val="20"/>
                <w:u w:val="none"/>
              </w:rPr>
              <w:t>Continue project production — revisions based on Check-In #1 feedback + continued drafting and section development</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240</w:t>
            </w:r>
          </w:p>
        </w:tc>
        <w:tc>
          <w:tcPr>
            <w:tcW w:type="dxa" w:w="4249"/>
            <w:vAlign w:val="center"/>
          </w:tcPr>
          <w:p>
            <w:pPr>
              <w:spacing w:before="30" w:after="30"/>
            </w:pPr>
            <w:r>
              <w:rPr>
                <w:rFonts w:ascii="DM Sans" w:hAnsi="DM Sans" w:cs="DM Sans"/>
                <w:b w:val="0"/>
                <w:i w:val="0"/>
                <w:color w:val="050C2A"/>
                <w:sz w:val="20"/>
                <w:u w:val="none"/>
              </w:rPr>
              <w:t>Largest production block in the course so far; students simultaneously revising based on employer feedback and continuing forward production; some revisions may require rethinking approach not just editing; time is generous because this week has no employer meeting consuming synchronous time</w:t>
            </w:r>
          </w:p>
        </w:tc>
      </w:tr>
      <w:tr>
        <w:tc>
          <w:tcPr>
            <w:tcW w:type="dxa" w:w="387"/>
            <w:shd w:fill="F5F5F5" w:val="clear"/>
            <w:vAlign w:val="center"/>
          </w:tcPr>
          <w:p>
            <w:pPr>
              <w:spacing w:before="30" w:after="30"/>
            </w:pPr>
            <w:r>
              <w:rPr>
                <w:rFonts w:ascii="DM Sans" w:hAnsi="DM Sans" w:cs="DM Sans"/>
                <w:b w:val="0"/>
                <w:i w:val="0"/>
                <w:color w:val="050C2A"/>
                <w:sz w:val="20"/>
                <w:u w:val="none"/>
              </w:rPr>
              <w:t>8.10</w:t>
            </w:r>
          </w:p>
        </w:tc>
        <w:tc>
          <w:tcPr>
            <w:tcW w:type="dxa" w:w="967"/>
            <w:shd w:fill="F5F5F5" w:val="clear"/>
            <w:vAlign w:val="center"/>
          </w:tcPr>
          <w:p>
            <w:pPr>
              <w:spacing w:before="30" w:after="30"/>
            </w:pPr>
            <w:r>
              <w:rPr>
                <w:rFonts w:ascii="DM Sans" w:hAnsi="DM Sans" w:cs="DM Sans"/>
                <w:b w:val="0"/>
                <w:i w:val="0"/>
                <w:color w:val="050C2A"/>
                <w:sz w:val="20"/>
                <w:u w:val="none"/>
              </w:rPr>
              <w:t>Project Work</w:t>
            </w:r>
          </w:p>
        </w:tc>
        <w:tc>
          <w:tcPr>
            <w:tcW w:type="dxa" w:w="2240"/>
            <w:shd w:fill="F5F5F5" w:val="clear"/>
            <w:vAlign w:val="center"/>
          </w:tcPr>
          <w:p>
            <w:pPr>
              <w:spacing w:before="30" w:after="30"/>
            </w:pPr>
            <w:r>
              <w:rPr>
                <w:rFonts w:ascii="DM Sans" w:hAnsi="DM Sans" w:cs="DM Sans"/>
                <w:b w:val="0"/>
                <w:i w:val="0"/>
                <w:color w:val="050C2A"/>
                <w:sz w:val="20"/>
                <w:u w:val="none"/>
              </w:rPr>
              <w:t>Independent learning — research, skills, or domain knowledge to address gaps surfaced by Check-In #1 feedback or production challenges</w:t>
            </w:r>
          </w:p>
        </w:tc>
        <w:tc>
          <w:tcPr>
            <w:tcW w:type="dxa" w:w="512"/>
            <w:shd w:fill="F5F5F5" w:val="clear"/>
            <w:vAlign w:val="center"/>
          </w:tcPr>
          <w:p>
            <w:pPr>
              <w:spacing w:before="30" w:after="30"/>
            </w:pPr>
            <w:r>
              <w:rPr>
                <w:rFonts w:ascii="DM Sans" w:hAnsi="DM Sans" w:cs="DM Sans"/>
                <w:b w:val="0"/>
                <w:i w:val="0"/>
                <w:color w:val="050C2A"/>
                <w:sz w:val="20"/>
                <w:u w:val="none"/>
              </w:rPr>
              <w:t>Project</w:t>
            </w:r>
          </w:p>
        </w:tc>
        <w:tc>
          <w:tcPr>
            <w:tcW w:type="dxa" w:w="1005"/>
            <w:shd w:fill="F5F5F5" w:val="clear"/>
            <w:vAlign w:val="center"/>
          </w:tcPr>
          <w:p>
            <w:pPr>
              <w:spacing w:before="30" w:after="30"/>
            </w:pPr>
            <w:r>
              <w:rPr>
                <w:rFonts w:ascii="DM Sans" w:hAnsi="DM Sans" w:cs="DM Sans"/>
                <w:b w:val="0"/>
                <w:i w:val="0"/>
                <w:color w:val="050C2A"/>
                <w:sz w:val="20"/>
                <w:u w:val="none"/>
              </w:rPr>
              <w:t>60</w:t>
            </w:r>
          </w:p>
        </w:tc>
        <w:tc>
          <w:tcPr>
            <w:tcW w:type="dxa" w:w="4249"/>
            <w:shd w:fill="F5F5F5" w:val="clear"/>
            <w:vAlign w:val="center"/>
          </w:tcPr>
          <w:p>
            <w:pPr>
              <w:spacing w:before="30" w:after="30"/>
            </w:pPr>
            <w:r>
              <w:rPr>
                <w:rFonts w:ascii="DM Sans" w:hAnsi="DM Sans" w:cs="DM Sans"/>
                <w:b w:val="0"/>
                <w:i w:val="0"/>
                <w:color w:val="050C2A"/>
                <w:sz w:val="20"/>
                <w:u w:val="none"/>
              </w:rPr>
              <w:t>Self-directed learning; Check-In #1 feedback may have surfaced domain gaps or skill needs students hadn't anticipated; consistent with Weeks 5–7 pattern</w:t>
            </w:r>
          </w:p>
        </w:tc>
      </w:tr>
      <w:tr>
        <w:tc>
          <w:tcPr>
            <w:tcW w:type="dxa" w:w="387"/>
            <w:vAlign w:val="center"/>
          </w:tcPr>
          <w:p>
            <w:pPr>
              <w:spacing w:before="30" w:after="30"/>
            </w:pPr>
            <w:r>
              <w:rPr>
                <w:rFonts w:ascii="DM Sans" w:hAnsi="DM Sans" w:cs="DM Sans"/>
                <w:b w:val="0"/>
                <w:i w:val="0"/>
                <w:color w:val="050C2A"/>
                <w:sz w:val="20"/>
                <w:u w:val="none"/>
              </w:rPr>
              <w:t>8.11</w:t>
            </w:r>
          </w:p>
        </w:tc>
        <w:tc>
          <w:tcPr>
            <w:tcW w:type="dxa" w:w="967"/>
            <w:vAlign w:val="center"/>
          </w:tcPr>
          <w:p>
            <w:pPr>
              <w:spacing w:before="30" w:after="30"/>
            </w:pPr>
            <w:r>
              <w:rPr>
                <w:rFonts w:ascii="DM Sans" w:hAnsi="DM Sans" w:cs="DM Sans"/>
                <w:b w:val="0"/>
                <w:i w:val="0"/>
                <w:color w:val="050C2A"/>
                <w:sz w:val="20"/>
                <w:u w:val="none"/>
              </w:rPr>
              <w:t>Project Work</w:t>
            </w:r>
          </w:p>
        </w:tc>
        <w:tc>
          <w:tcPr>
            <w:tcW w:type="dxa" w:w="2240"/>
            <w:vAlign w:val="center"/>
          </w:tcPr>
          <w:p>
            <w:pPr>
              <w:spacing w:before="30" w:after="30"/>
            </w:pPr>
            <w:r>
              <w:rPr>
                <w:rFonts w:ascii="DM Sans" w:hAnsi="DM Sans" w:cs="DM Sans"/>
                <w:b w:val="0"/>
                <w:i w:val="0"/>
                <w:color w:val="050C2A"/>
                <w:sz w:val="20"/>
                <w:u w:val="none"/>
              </w:rPr>
              <w:t>Async team communication across the week</w:t>
            </w:r>
          </w:p>
        </w:tc>
        <w:tc>
          <w:tcPr>
            <w:tcW w:type="dxa" w:w="512"/>
            <w:vAlign w:val="center"/>
          </w:tcPr>
          <w:p>
            <w:pPr>
              <w:spacing w:before="30" w:after="30"/>
            </w:pPr>
            <w:r>
              <w:rPr>
                <w:rFonts w:ascii="DM Sans" w:hAnsi="DM Sans" w:cs="DM Sans"/>
                <w:b w:val="0"/>
                <w:i w:val="0"/>
                <w:color w:val="050C2A"/>
                <w:sz w:val="20"/>
                <w:u w:val="none"/>
              </w:rPr>
              <w:t>Project</w:t>
            </w:r>
          </w:p>
        </w:tc>
        <w:tc>
          <w:tcPr>
            <w:tcW w:type="dxa" w:w="1005"/>
            <w:vAlign w:val="center"/>
          </w:tcPr>
          <w:p>
            <w:pPr>
              <w:spacing w:before="30" w:after="30"/>
            </w:pPr>
            <w:r>
              <w:rPr>
                <w:rFonts w:ascii="DM Sans" w:hAnsi="DM Sans" w:cs="DM Sans"/>
                <w:b w:val="0"/>
                <w:i w:val="0"/>
                <w:color w:val="050C2A"/>
                <w:sz w:val="20"/>
                <w:u w:val="none"/>
              </w:rPr>
              <w:t>45</w:t>
            </w:r>
          </w:p>
        </w:tc>
        <w:tc>
          <w:tcPr>
            <w:tcW w:type="dxa" w:w="4249"/>
            <w:vAlign w:val="center"/>
          </w:tcPr>
          <w:p>
            <w:pPr>
              <w:spacing w:before="30" w:after="30"/>
            </w:pPr>
            <w:r>
              <w:rPr>
                <w:rFonts w:ascii="DM Sans" w:hAnsi="DM Sans" w:cs="DM Sans"/>
                <w:b w:val="0"/>
                <w:i w:val="0"/>
                <w:color w:val="050C2A"/>
                <w:sz w:val="20"/>
                <w:u w:val="none"/>
              </w:rPr>
              <w:t>Coordination, logistics, check-ins; continues Weekly Progress Check-In standing prompt (second instance); introduces Status Update to Employer standing prompt (brief async update between employer check-ins); contribution record now directly relevant given Peer Evaluation just completed</w:t>
            </w:r>
          </w:p>
        </w:tc>
      </w:tr>
      <w:tr>
        <w:tc>
          <w:tcPr>
            <w:tcW w:type="dxa" w:w="387"/>
            <w:shd w:fill="F5F5F5" w:val="clear"/>
            <w:vAlign w:val="center"/>
          </w:tcPr>
          <w:p>
            <w:pPr>
              <w:spacing w:before="30" w:after="30"/>
            </w:pPr>
          </w:p>
        </w:tc>
        <w:tc>
          <w:tcPr>
            <w:tcW w:type="dxa" w:w="967"/>
            <w:shd w:fill="F5F5F5" w:val="clear"/>
            <w:vAlign w:val="center"/>
          </w:tcPr>
          <w:p>
            <w:pPr>
              <w:spacing w:before="30" w:after="30"/>
            </w:pPr>
          </w:p>
        </w:tc>
        <w:tc>
          <w:tcPr>
            <w:tcW w:type="dxa" w:w="2240"/>
            <w:shd w:fill="F5F5F5" w:val="clear"/>
            <w:vAlign w:val="center"/>
          </w:tcPr>
          <w:p>
            <w:pPr>
              <w:spacing w:before="30" w:after="30"/>
            </w:pPr>
            <w:r>
              <w:rPr>
                <w:rFonts w:ascii="DM Sans" w:hAnsi="DM Sans" w:cs="DM Sans"/>
                <w:b/>
                <w:i w:val="0"/>
                <w:color w:val="050C2A"/>
                <w:sz w:val="20"/>
                <w:u w:val="none"/>
              </w:rPr>
              <w:t>TOTAL</w:t>
            </w:r>
          </w:p>
        </w:tc>
        <w:tc>
          <w:tcPr>
            <w:tcW w:type="dxa" w:w="512"/>
            <w:shd w:fill="F5F5F5" w:val="clear"/>
            <w:vAlign w:val="center"/>
          </w:tcPr>
          <w:p>
            <w:pPr>
              <w:spacing w:before="30" w:after="30"/>
            </w:pPr>
          </w:p>
        </w:tc>
        <w:tc>
          <w:tcPr>
            <w:tcW w:type="dxa" w:w="1005"/>
            <w:shd w:fill="F5F5F5" w:val="clear"/>
            <w:vAlign w:val="center"/>
          </w:tcPr>
          <w:p>
            <w:pPr>
              <w:spacing w:before="30" w:after="30"/>
            </w:pPr>
            <w:r>
              <w:rPr>
                <w:rFonts w:ascii="DM Sans" w:hAnsi="DM Sans" w:cs="DM Sans"/>
                <w:b/>
                <w:i w:val="0"/>
                <w:color w:val="050C2A"/>
                <w:sz w:val="20"/>
                <w:u w:val="none"/>
              </w:rPr>
              <w:t>580 min (~9 hrs 40 min)</w:t>
            </w:r>
          </w:p>
        </w:tc>
        <w:tc>
          <w:tcPr>
            <w:tcW w:type="dxa" w:w="4249"/>
            <w:shd w:fill="F5F5F5" w:val="clear"/>
            <w:vAlign w:val="center"/>
          </w:tcPr>
          <w:p>
            <w:pPr>
              <w:spacing w:before="30" w:after="30"/>
            </w:pPr>
          </w:p>
        </w:tc>
      </w:tr>
    </w:tbl>
    <w:p>
      <w:pPr>
        <w:spacing w:before="0" w:after="120"/>
      </w:pPr>
    </w:p>
    <w:p>
      <w:pPr>
        <w:spacing w:before="280" w:after="100"/>
      </w:pPr>
      <w:r>
        <w:rPr>
          <w:rFonts w:ascii="DM Sans" w:hAnsi="DM Sans" w:cs="DM Sans"/>
          <w:b/>
          <w:i w:val="0"/>
          <w:color w:val="050C2A"/>
          <w:sz w:val="28"/>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194"/>
            <w:shd w:fill="FF7C0A" w:val="clear"/>
            <w:vAlign w:val="center"/>
          </w:tcPr>
          <w:p>
            <w:pPr>
              <w:jc w:val="left"/>
              <w:spacing w:before="40" w:after="40"/>
            </w:pPr>
            <w:r>
              <w:rPr>
                <w:rFonts w:ascii="DM Sans" w:hAnsi="DM Sans" w:cs="DM Sans"/>
                <w:b/>
                <w:i w:val="0"/>
                <w:color w:val="FFFFFF"/>
                <w:sz w:val="20"/>
                <w:u w:val="none"/>
              </w:rPr>
              <w:t>Competency Area</w:t>
            </w:r>
          </w:p>
        </w:tc>
        <w:tc>
          <w:tcPr>
            <w:tcW w:type="dxa" w:w="1194"/>
            <w:shd w:fill="FF7C0A" w:val="clear"/>
            <w:vAlign w:val="center"/>
          </w:tcPr>
          <w:p>
            <w:pPr>
              <w:jc w:val="left"/>
              <w:spacing w:before="40" w:after="40"/>
            </w:pPr>
            <w:r>
              <w:rPr>
                <w:rFonts w:ascii="DM Sans" w:hAnsi="DM Sans" w:cs="DM Sans"/>
                <w:b/>
                <w:i w:val="0"/>
                <w:color w:val="FFFFFF"/>
                <w:sz w:val="20"/>
                <w:u w:val="none"/>
              </w:rPr>
              <w:t>Subskill</w:t>
            </w:r>
          </w:p>
        </w:tc>
        <w:tc>
          <w:tcPr>
            <w:tcW w:type="dxa" w:w="6972"/>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194"/>
            <w:vAlign w:val="center"/>
          </w:tcPr>
          <w:p>
            <w:pPr>
              <w:spacing w:before="30" w:after="30"/>
            </w:pPr>
            <w:r>
              <w:rPr>
                <w:rFonts w:ascii="DM Sans" w:hAnsi="DM Sans" w:cs="DM Sans"/>
                <w:b/>
                <w:i w:val="0"/>
                <w:color w:val="050C2A"/>
                <w:sz w:val="20"/>
                <w:u w:val="none"/>
              </w:rPr>
              <w:t>Professionalism</w:t>
            </w:r>
          </w:p>
        </w:tc>
        <w:tc>
          <w:tcPr>
            <w:tcW w:type="dxa" w:w="1194"/>
            <w:vAlign w:val="center"/>
          </w:tcPr>
          <w:p>
            <w:pPr>
              <w:spacing w:before="30" w:after="30"/>
            </w:pPr>
            <w:r>
              <w:rPr>
                <w:rFonts w:ascii="DM Sans" w:hAnsi="DM Sans" w:cs="DM Sans"/>
                <w:b w:val="0"/>
                <w:i w:val="0"/>
                <w:color w:val="050C2A"/>
                <w:sz w:val="20"/>
                <w:u w:val="none"/>
              </w:rPr>
              <w:t>Feedback Reception</w:t>
            </w:r>
          </w:p>
        </w:tc>
        <w:tc>
          <w:tcPr>
            <w:tcW w:type="dxa" w:w="6972"/>
            <w:vAlign w:val="center"/>
          </w:tcPr>
          <w:p>
            <w:pPr>
              <w:spacing w:before="30" w:after="30"/>
            </w:pPr>
            <w:r>
              <w:rPr>
                <w:rFonts w:ascii="DM Sans" w:hAnsi="DM Sans" w:cs="DM Sans"/>
                <w:b w:val="0"/>
                <w:i w:val="0"/>
                <w:color w:val="050C2A"/>
                <w:sz w:val="20"/>
                <w:u w:val="none"/>
              </w:rPr>
              <w:t>This week shifts feedback reception from receiving to processing. In Week 7, students received live employer feedback and captured it in a debrief. This week, modules 8.02 and 8.03 teach them what to do with it — how to sort feedback (act on vs. note vs. set aside), how to build a revision plan, and how to frame iteration as a professional norm rather than an indication of failure. The feedback response planning session (8.08) is the structured application: teams must translate raw debrief notes into prioritized action items with assigned owners and adjusted timelines. This is the first time students have done feedback processing as a formal, team-level planning activity rather than an individual reaction.</w:t>
            </w:r>
          </w:p>
        </w:tc>
      </w:tr>
      <w:tr>
        <w:tc>
          <w:tcPr>
            <w:tcW w:type="dxa" w:w="1194"/>
            <w:shd w:fill="F5F5F5" w:val="clear"/>
            <w:vAlign w:val="center"/>
          </w:tcPr>
          <w:p>
            <w:pPr>
              <w:spacing w:before="30" w:after="30"/>
            </w:pPr>
            <w:r>
              <w:rPr>
                <w:rFonts w:ascii="DM Sans" w:hAnsi="DM Sans" w:cs="DM Sans"/>
                <w:b/>
                <w:i w:val="0"/>
                <w:color w:val="050C2A"/>
                <w:sz w:val="20"/>
                <w:u w:val="none"/>
              </w:rPr>
              <w:t>Teamwork</w:t>
            </w:r>
          </w:p>
        </w:tc>
        <w:tc>
          <w:tcPr>
            <w:tcW w:type="dxa" w:w="1194"/>
            <w:shd w:fill="F5F5F5" w:val="clear"/>
            <w:vAlign w:val="center"/>
          </w:tcPr>
          <w:p>
            <w:pPr>
              <w:spacing w:before="30" w:after="30"/>
            </w:pPr>
            <w:r>
              <w:rPr>
                <w:rFonts w:ascii="DM Sans" w:hAnsi="DM Sans" w:cs="DM Sans"/>
                <w:b w:val="0"/>
                <w:i w:val="0"/>
                <w:color w:val="050C2A"/>
                <w:sz w:val="20"/>
                <w:u w:val="none"/>
              </w:rPr>
              <w:t>Constructive Feedback</w:t>
            </w:r>
          </w:p>
        </w:tc>
        <w:tc>
          <w:tcPr>
            <w:tcW w:type="dxa" w:w="6972"/>
            <w:shd w:fill="F5F5F5" w:val="clear"/>
            <w:vAlign w:val="center"/>
          </w:tcPr>
          <w:p>
            <w:pPr>
              <w:spacing w:before="30" w:after="30"/>
            </w:pPr>
            <w:r>
              <w:rPr>
                <w:rFonts w:ascii="DM Sans" w:hAnsi="DM Sans" w:cs="DM Sans"/>
                <w:b w:val="0"/>
                <w:i w:val="0"/>
                <w:color w:val="050C2A"/>
                <w:sz w:val="20"/>
                <w:u w:val="none"/>
              </w:rPr>
              <w:t>The peer evaluation (8.06–8.07) is the most significant Teamwork assessment point in the course. Module 8.04 teaches the qualitative feedback framework (Continue/Start/Adjust) and the BARS-anchored rating process, including a calibration exercise that norms student expectations against concrete behavioral descriptions before they evaluate real teammates. The evaluation itself requires students to provide specific behavioral evidence for every rating — this is feedback at a level of specificity most students have never been asked to produce. The Week 9 Team Processing Session will close the loop, but the act of writing the evaluation is itself the primary learning activity for this subskill.</w:t>
            </w:r>
          </w:p>
        </w:tc>
      </w:tr>
      <w:tr>
        <w:tc>
          <w:tcPr>
            <w:tcW w:type="dxa" w:w="1194"/>
            <w:vAlign w:val="center"/>
          </w:tcPr>
          <w:p>
            <w:pPr>
              <w:spacing w:before="30" w:after="30"/>
            </w:pPr>
            <w:r>
              <w:rPr>
                <w:rFonts w:ascii="DM Sans" w:hAnsi="DM Sans" w:cs="DM Sans"/>
                <w:b/>
                <w:i w:val="0"/>
                <w:color w:val="050C2A"/>
                <w:sz w:val="20"/>
                <w:u w:val="none"/>
              </w:rPr>
              <w:t>Teamwork</w:t>
            </w:r>
          </w:p>
        </w:tc>
        <w:tc>
          <w:tcPr>
            <w:tcW w:type="dxa" w:w="1194"/>
            <w:vAlign w:val="center"/>
          </w:tcPr>
          <w:p>
            <w:pPr>
              <w:spacing w:before="30" w:after="30"/>
            </w:pPr>
            <w:r>
              <w:rPr>
                <w:rFonts w:ascii="DM Sans" w:hAnsi="DM Sans" w:cs="DM Sans"/>
                <w:b w:val="0"/>
                <w:i w:val="0"/>
                <w:color w:val="050C2A"/>
                <w:sz w:val="20"/>
                <w:u w:val="none"/>
              </w:rPr>
              <w:t>Shared Accountability</w:t>
            </w:r>
          </w:p>
        </w:tc>
        <w:tc>
          <w:tcPr>
            <w:tcW w:type="dxa" w:w="6972"/>
            <w:vAlign w:val="center"/>
          </w:tcPr>
          <w:p>
            <w:pPr>
              <w:spacing w:before="30" w:after="30"/>
            </w:pPr>
            <w:r>
              <w:rPr>
                <w:rFonts w:ascii="DM Sans" w:hAnsi="DM Sans" w:cs="DM Sans"/>
                <w:b w:val="0"/>
                <w:i w:val="0"/>
                <w:color w:val="050C2A"/>
                <w:sz w:val="20"/>
                <w:u w:val="none"/>
              </w:rPr>
              <w:t>The BARS Accountability dimension asks students to evaluate whether teammates take responsibility for team outcomes, not just individual sections. Writing this evaluation forces students to observe and articulate accountability patterns they may not have consciously registered. The self-evaluation component adds a calibration layer — students who rate themselves significantly higher than their peers on Accountability are flagged, creating a feedback mechanism that surfaces blind spots.</w:t>
            </w:r>
          </w:p>
        </w:tc>
      </w:tr>
      <w:tr>
        <w:tc>
          <w:tcPr>
            <w:tcW w:type="dxa" w:w="1194"/>
            <w:shd w:fill="F5F5F5" w:val="clear"/>
            <w:vAlign w:val="center"/>
          </w:tcPr>
          <w:p>
            <w:pPr>
              <w:spacing w:before="30" w:after="30"/>
            </w:pPr>
            <w:r>
              <w:rPr>
                <w:rFonts w:ascii="DM Sans" w:hAnsi="DM Sans" w:cs="DM Sans"/>
                <w:b/>
                <w:i w:val="0"/>
                <w:color w:val="050C2A"/>
                <w:sz w:val="20"/>
                <w:u w:val="none"/>
              </w:rPr>
              <w:t>Teamwork</w:t>
            </w:r>
          </w:p>
        </w:tc>
        <w:tc>
          <w:tcPr>
            <w:tcW w:type="dxa" w:w="1194"/>
            <w:shd w:fill="F5F5F5" w:val="clear"/>
            <w:vAlign w:val="center"/>
          </w:tcPr>
          <w:p>
            <w:pPr>
              <w:spacing w:before="30" w:after="30"/>
            </w:pPr>
            <w:r>
              <w:rPr>
                <w:rFonts w:ascii="DM Sans" w:hAnsi="DM Sans" w:cs="DM Sans"/>
                <w:b w:val="0"/>
                <w:i w:val="0"/>
                <w:color w:val="050C2A"/>
                <w:sz w:val="20"/>
                <w:u w:val="none"/>
              </w:rPr>
              <w:t>Reliability</w:t>
            </w:r>
          </w:p>
        </w:tc>
        <w:tc>
          <w:tcPr>
            <w:tcW w:type="dxa" w:w="6972"/>
            <w:shd w:fill="F5F5F5" w:val="clear"/>
            <w:vAlign w:val="center"/>
          </w:tcPr>
          <w:p>
            <w:pPr>
              <w:spacing w:before="30" w:after="30"/>
            </w:pPr>
            <w:r>
              <w:rPr>
                <w:rFonts w:ascii="DM Sans" w:hAnsi="DM Sans" w:cs="DM Sans"/>
                <w:b w:val="0"/>
                <w:i w:val="0"/>
                <w:color w:val="050C2A"/>
                <w:sz w:val="20"/>
                <w:u w:val="none"/>
              </w:rPr>
              <w:t>The BARS Reliability dimension makes this subskill explicitly observable and rated. Students must cite specific examples of commitments met or missed. This makes reliability concrete and measurable rather than an abstract team value.</w:t>
            </w:r>
          </w:p>
        </w:tc>
      </w:tr>
      <w:tr>
        <w:tc>
          <w:tcPr>
            <w:tcW w:type="dxa" w:w="1194"/>
            <w:vAlign w:val="center"/>
          </w:tcPr>
          <w:p>
            <w:pPr>
              <w:spacing w:before="30" w:after="30"/>
            </w:pPr>
            <w:r>
              <w:rPr>
                <w:rFonts w:ascii="DM Sans" w:hAnsi="DM Sans" w:cs="DM Sans"/>
                <w:b/>
                <w:i w:val="0"/>
                <w:color w:val="050C2A"/>
                <w:sz w:val="20"/>
                <w:u w:val="none"/>
              </w:rPr>
              <w:t>Communication</w:t>
            </w:r>
          </w:p>
        </w:tc>
        <w:tc>
          <w:tcPr>
            <w:tcW w:type="dxa" w:w="1194"/>
            <w:vAlign w:val="center"/>
          </w:tcPr>
          <w:p>
            <w:pPr>
              <w:spacing w:before="30" w:after="30"/>
            </w:pPr>
            <w:r>
              <w:rPr>
                <w:rFonts w:ascii="DM Sans" w:hAnsi="DM Sans" w:cs="DM Sans"/>
                <w:b w:val="0"/>
                <w:i w:val="0"/>
                <w:color w:val="050C2A"/>
                <w:sz w:val="20"/>
                <w:u w:val="none"/>
              </w:rPr>
              <w:t>Written Clarity</w:t>
            </w:r>
          </w:p>
        </w:tc>
        <w:tc>
          <w:tcPr>
            <w:tcW w:type="dxa" w:w="6972"/>
            <w:vAlign w:val="center"/>
          </w:tcPr>
          <w:p>
            <w:pPr>
              <w:spacing w:before="30" w:after="30"/>
            </w:pPr>
            <w:r>
              <w:rPr>
                <w:rFonts w:ascii="DM Sans" w:hAnsi="DM Sans" w:cs="DM Sans"/>
                <w:b w:val="0"/>
                <w:i w:val="0"/>
                <w:color w:val="050C2A"/>
                <w:sz w:val="20"/>
                <w:u w:val="none"/>
              </w:rPr>
              <w:t>The production block (8.09) is where Written Clarity is developed through practice. Students are revising based on employer feedback — a fundamentally different writing task from initial drafting. Module 8.05 introduces AI as a production partner for this phase, teaching students to use AI for structural review and self-editing while maintaining ownership of the work. The professional document conventions taught in Week 7 (module 7.03) are now being applied in the revision process.</w:t>
            </w:r>
          </w:p>
        </w:tc>
      </w:tr>
      <w:tr>
        <w:tc>
          <w:tcPr>
            <w:tcW w:type="dxa" w:w="1194"/>
            <w:shd w:fill="F5F5F5" w:val="clear"/>
            <w:vAlign w:val="center"/>
          </w:tcPr>
          <w:p>
            <w:pPr>
              <w:spacing w:before="30" w:after="30"/>
            </w:pPr>
            <w:r>
              <w:rPr>
                <w:rFonts w:ascii="DM Sans" w:hAnsi="DM Sans" w:cs="DM Sans"/>
                <w:b/>
                <w:i w:val="0"/>
                <w:color w:val="050C2A"/>
                <w:sz w:val="20"/>
                <w:u w:val="none"/>
              </w:rPr>
              <w:t>Critical Thinking</w:t>
            </w:r>
          </w:p>
        </w:tc>
        <w:tc>
          <w:tcPr>
            <w:tcW w:type="dxa" w:w="1194"/>
            <w:shd w:fill="F5F5F5" w:val="clear"/>
            <w:vAlign w:val="center"/>
          </w:tcPr>
          <w:p>
            <w:pPr>
              <w:spacing w:before="30" w:after="30"/>
            </w:pPr>
            <w:r>
              <w:rPr>
                <w:rFonts w:ascii="DM Sans" w:hAnsi="DM Sans" w:cs="DM Sans"/>
                <w:b w:val="0"/>
                <w:i w:val="0"/>
                <w:color w:val="050C2A"/>
                <w:sz w:val="20"/>
                <w:u w:val="none"/>
              </w:rPr>
              <w:t>Prioritization</w:t>
            </w:r>
          </w:p>
        </w:tc>
        <w:tc>
          <w:tcPr>
            <w:tcW w:type="dxa" w:w="6972"/>
            <w:shd w:fill="F5F5F5" w:val="clear"/>
            <w:vAlign w:val="center"/>
          </w:tcPr>
          <w:p>
            <w:pPr>
              <w:spacing w:before="30" w:after="30"/>
            </w:pPr>
            <w:r>
              <w:rPr>
                <w:rFonts w:ascii="DM Sans" w:hAnsi="DM Sans" w:cs="DM Sans"/>
                <w:b w:val="0"/>
                <w:i w:val="0"/>
                <w:color w:val="050C2A"/>
                <w:sz w:val="20"/>
                <w:u w:val="none"/>
              </w:rPr>
              <w:t>The feedback response planning session (8.08) is a Prioritization exercise in disguise. Students cannot act on all employer feedback simultaneously — they must decide what matters most, what can wait, and what to set aside. Module 8.02 teaches the sorting framework; activity 8.08 applies it. This is the first time students face a genuine prioritization challenge where the inputs come from an external stakeholder rather than their own planning process.</w:t>
            </w:r>
          </w:p>
        </w:tc>
      </w:tr>
    </w:tbl>
    <w:p>
      <w:pPr>
        <w:spacing w:before="0" w:after="120"/>
      </w:pPr>
    </w:p>
    <w:p>
      <w:pPr>
        <w:spacing w:before="280" w:after="100"/>
      </w:pPr>
      <w:r>
        <w:rPr>
          <w:rFonts w:ascii="DM Sans" w:hAnsi="DM Sans" w:cs="DM Sans"/>
          <w:b/>
          <w:i w:val="0"/>
          <w:color w:val="050C2A"/>
          <w:sz w:val="28"/>
          <w:u w:val="none"/>
        </w:rPr>
        <w:t>Deliverable Connection</w:t>
      </w:r>
    </w:p>
    <w:p>
      <w:pPr>
        <w:spacing w:before="0" w:after="120" w:line="276" w:lineRule="auto"/>
      </w:pPr>
      <w:r>
        <w:rPr>
          <w:rFonts w:ascii="DM Sans" w:hAnsi="DM Sans" w:cs="DM Sans"/>
          <w:b/>
          <w:i w:val="0"/>
          <w:color w:val="050C2A"/>
          <w:sz w:val="20"/>
          <w:u w:val="none"/>
        </w:rPr>
        <w:t>Peer Evaluation #1 → Teamwork (all subskills) + Communication (Active Listening)</w:t>
      </w:r>
    </w:p>
    <w:p>
      <w:pPr>
        <w:spacing w:before="0" w:after="120" w:line="276" w:lineRule="auto"/>
      </w:pPr>
      <w:r>
        <w:rPr>
          <w:rFonts w:ascii="DM Sans" w:hAnsi="DM Sans" w:cs="DM Sans"/>
          <w:b w:val="0"/>
          <w:i w:val="0"/>
          <w:color w:val="050C2A"/>
          <w:sz w:val="20"/>
          <w:u w:val="none"/>
        </w:rPr>
        <w:t>Graded; BARS-based + qualitative. Individual submission. Peer Evaluation #1 is the mid-project formative evaluation, contributing 30% of the overall peer evaluation score (which is 50% of the Professional Engagement component, worth 20% of the final course grade). The evaluation is formative in purpose — its primary function is diagnostic and corrective, surfacing team dynamics while there is still time to change behavior. But it also generates a grade signal that incentivizes honest, evidence-based assessment.</w:t>
      </w:r>
    </w:p>
    <w:p>
      <w:pPr>
        <w:spacing w:before="0" w:after="120" w:line="276" w:lineRule="auto"/>
      </w:pPr>
      <w:r>
        <w:rPr>
          <w:rFonts w:ascii="DM Sans" w:hAnsi="DM Sans" w:cs="DM Sans"/>
          <w:b w:val="0"/>
          <w:i w:val="0"/>
          <w:color w:val="050C2A"/>
          <w:sz w:val="20"/>
          <w:u w:val="none"/>
        </w:rPr>
        <w:t>The evaluation instrument has four parts completed for each teammate: (A) qualitative feedback using the Continue/Start/Adjust framework, with a two-sentence minimum per prompt; (B) BARS ratings on four dimensions (Reliability, Contribution, Constructive Engagement, Accountability) using behavioral anchors, with a 1–2 sentence specific evidence example for each rating; (C) self-evaluation on the same four BARS dimensions; and (D) two team pulse questions visible only to the instructor. The BARS dimensions map directly to the four Teamwork subskills in the NACE competency framework.</w:t>
      </w:r>
    </w:p>
    <w:p>
      <w:pPr>
        <w:spacing w:before="0" w:after="120" w:line="276" w:lineRule="auto"/>
      </w:pPr>
      <w:r>
        <w:rPr>
          <w:rFonts w:ascii="DM Sans" w:hAnsi="DM Sans" w:cs="DM Sans"/>
          <w:b w:val="0"/>
          <w:i w:val="0"/>
          <w:color w:val="050C2A"/>
          <w:sz w:val="20"/>
          <w:u w:val="none"/>
        </w:rPr>
        <w:t>Module 8.04 prepares students for this deliverable through the Continue/Start/Adjust framework, the BARS anchors, examples of weak vs. strong evidence, and a calibration exercise using the Maple &amp; Main scenario (rating a fictional teammate "Jordan" and norming expectations against the behavioral descriptors). Activity 8.06 provides additional time to review the assignment description and evidence expectations before students draft and submit.</w:t>
      </w:r>
    </w:p>
    <w:p>
      <w:pPr>
        <w:spacing w:before="0" w:after="120" w:line="276" w:lineRule="auto"/>
      </w:pPr>
      <w:r>
        <w:rPr>
          <w:rFonts w:ascii="DM Sans" w:hAnsi="DM Sans" w:cs="DM Sans"/>
          <w:b w:val="0"/>
          <w:i w:val="0"/>
          <w:color w:val="050C2A"/>
          <w:sz w:val="20"/>
          <w:u w:val="none"/>
        </w:rPr>
        <w:t>Results are processed between Weeks 8 and 9: anonymized qualitative feedback and aggregated BARS averages are shared back to students before the Week 9 Team Processing Session, where teams discuss the feedback and agree on specific behavioral changes. Instructor review flags include any rating of 1 from multiple teammates, high standard deviation within a team, self/peer calibration gaps ≥ 1.5, and low team pulse confidence scores.</w:t>
      </w:r>
    </w:p>
    <w:p>
      <w:pPr>
        <w:spacing w:before="0" w:after="120" w:line="276" w:lineRule="auto"/>
      </w:pPr>
      <w:r>
        <w:rPr>
          <w:rFonts w:ascii="DM Sans" w:hAnsi="DM Sans" w:cs="DM Sans"/>
          <w:b w:val="0"/>
          <w:i w:val="0"/>
          <w:color w:val="050C2A"/>
          <w:sz w:val="20"/>
          <w:u w:val="none"/>
        </w:rPr>
        <w:t>AI-assisted drafting of qualitative feedback is permitted with disclosure — students may use AI to help articulate an observation more clearly or check specificity. AI cannot generate the evaluation itself; the learning happens in the act of evaluating, and the data must reflect real team dynamics.</w:t>
      </w:r>
    </w:p>
    <w:p>
      <w:pPr>
        <w:spacing w:before="280" w:after="100"/>
      </w:pPr>
      <w:r>
        <w:rPr>
          <w:rFonts w:ascii="DM Sans" w:hAnsi="DM Sans" w:cs="DM Sans"/>
          <w:b/>
          <w:i w:val="0"/>
          <w:color w:val="050C2A"/>
          <w:sz w:val="28"/>
          <w:u w:val="none"/>
        </w:rPr>
        <w:t>AI in This Week</w:t>
      </w:r>
    </w:p>
    <w:p>
      <w:pPr>
        <w:spacing w:before="0" w:after="120" w:line="276" w:lineRule="auto"/>
      </w:pPr>
      <w:r>
        <w:rPr>
          <w:rFonts w:ascii="DM Sans" w:hAnsi="DM Sans" w:cs="DM Sans"/>
          <w:b/>
          <w:i w:val="0"/>
          <w:color w:val="050C2A"/>
          <w:sz w:val="20"/>
          <w:u w:val="none"/>
        </w:rPr>
        <w:t>Permitted and encouraged:</w:t>
      </w:r>
    </w:p>
    <w:p>
      <w:pPr>
        <w:spacing w:before="0" w:after="120" w:line="276" w:lineRule="auto"/>
      </w:pPr>
      <w:r>
        <w:rPr>
          <w:rFonts w:ascii="DM Sans" w:hAnsi="DM Sans" w:cs="DM Sans"/>
          <w:b w:val="0"/>
          <w:i w:val="0"/>
          <w:color w:val="050C2A"/>
          <w:sz w:val="20"/>
          <w:u w:val="none"/>
        </w:rPr>
        <w:t>Module 8.05 explicitly shifts AI guidance from the research context of Weeks 2–4 to the production context of the Development phase. Using AI for structural review of draft deliverable sections is appropriate — asking AI to identify where arguments are weak, where transitions are unclear, or where evidence does not support claims mirrors professional editing practice. Using AI for self-editing during revision work is encouraged: asking AI to flag repetition, check for consistency across sections written by different teammates, or suggest where data visualization might be more effective than narrative. Using AI to help organize the feedback response plan (8.08) is permitted — converting raw debrief notes into a structured priority list or identifying which pieces of feedback affect multiple deliverable sections are reasonable applications. Using AI to help articulate peer evaluation feedback more clearly or specifically is permitted with disclosure, provided the observations themselves come from the student's genuine assessment of their teammate's behavior.</w:t>
      </w:r>
    </w:p>
    <w:p>
      <w:pPr>
        <w:spacing w:before="0" w:after="120" w:line="276" w:lineRule="auto"/>
      </w:pPr>
      <w:r>
        <w:rPr>
          <w:rFonts w:ascii="DM Sans" w:hAnsi="DM Sans" w:cs="DM Sans"/>
          <w:b/>
          <w:i w:val="0"/>
          <w:color w:val="050C2A"/>
          <w:sz w:val="20"/>
          <w:u w:val="none"/>
        </w:rPr>
        <w:t>Off-limits this week:</w:t>
      </w:r>
    </w:p>
    <w:p>
      <w:pPr>
        <w:spacing w:before="0" w:after="120" w:line="276" w:lineRule="auto"/>
      </w:pPr>
      <w:r>
        <w:rPr>
          <w:rFonts w:ascii="DM Sans" w:hAnsi="DM Sans" w:cs="DM Sans"/>
          <w:b w:val="0"/>
          <w:i w:val="0"/>
          <w:color w:val="050C2A"/>
          <w:sz w:val="20"/>
          <w:u w:val="none"/>
        </w:rPr>
        <w:t>AI cannot generate the Peer Evaluation. The qualitative feedback (Continue/Start/Adjust) must reflect the evaluator's actual observations of their teammate's behavior, and the BARS ratings must reflect the evaluator's genuine assessment. AI-generated peer evaluations defeat both the pedagogical purpose (the learning happens in the act of evaluating) and the administrative purpose (the data must reflect real team dynamics, not plausible fabrications). The team pulse questions (Part D) are especially sensitive — these are instructor-only triage signals, and AI-generated responses would undermine the early warning system they are designed to provide. AI-generated content in draft deliverables that students cannot verify or defend remains off-limits — the Week 9 Check-In #2 is approaching.</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Yes — on the Peer Evaluation #1 submission. If AI was used to help draft or refine qualitative responses, this must be disclosed. If AI was not used, a one-sentence statement to that effect is sufficient.</w:t>
      </w:r>
    </w:p>
    <w:p>
      <w:pPr>
        <w:spacing w:before="280" w:after="100"/>
      </w:pPr>
      <w:r>
        <w:rPr>
          <w:rFonts w:ascii="DM Sans" w:hAnsi="DM Sans" w:cs="DM Sans"/>
          <w:b/>
          <w:i w:val="0"/>
          <w:color w:val="050C2A"/>
          <w:sz w:val="28"/>
          <w:u w:val="none"/>
        </w:rPr>
        <w:t>Open Questions / Flags</w:t>
      </w:r>
    </w:p>
    <w:p>
      <w:pPr>
        <w:spacing w:before="0" w:after="120" w:line="276" w:lineRule="auto"/>
      </w:pPr>
      <w:r>
        <w:rPr>
          <w:rFonts w:ascii="DM Sans" w:hAnsi="DM Sans" w:cs="DM Sans"/>
          <w:b/>
          <w:i w:val="0"/>
          <w:color w:val="050C2A"/>
          <w:sz w:val="20"/>
          <w:u w:val="none"/>
        </w:rPr>
        <w:t>1. Peer Evaluation platform.</w:t>
      </w:r>
      <w:r>
        <w:rPr>
          <w:rFonts w:ascii="DM Sans" w:hAnsi="DM Sans" w:cs="DM Sans"/>
          <w:b w:val="0"/>
          <w:i w:val="0"/>
          <w:color w:val="050C2A"/>
          <w:sz w:val="20"/>
          <w:u w:val="none"/>
        </w:rPr>
        <w:t xml:space="preserve"> The evaluation instrument described here (four-part structure with BARS, qualitative prompts, self-evaluation, and team pulse) is more complex than a standard LMS peer review tool can typically support. The platform for administering Peer Evaluation #1 needs to be confirmed — options include building a custom form in Riipen, using a specialized tool like CATME or FeedbackFruits, or creating a structured template that students complete and submit as a document. The choice affects student experience and instructor workflow. Affects: assignment configuration, student instructions, instructor review process.</w:t>
      </w:r>
    </w:p>
    <w:p>
      <w:pPr>
        <w:spacing w:before="0" w:after="120" w:line="276" w:lineRule="auto"/>
      </w:pPr>
      <w:r>
        <w:rPr>
          <w:rFonts w:ascii="DM Sans" w:hAnsi="DM Sans" w:cs="DM Sans"/>
          <w:b/>
          <w:i w:val="0"/>
          <w:color w:val="050C2A"/>
          <w:sz w:val="20"/>
          <w:u w:val="none"/>
        </w:rPr>
        <w:t>2. Anonymized feedback release timing.</w:t>
      </w:r>
      <w:r>
        <w:rPr>
          <w:rFonts w:ascii="DM Sans" w:hAnsi="DM Sans" w:cs="DM Sans"/>
          <w:b w:val="0"/>
          <w:i w:val="0"/>
          <w:color w:val="050C2A"/>
          <w:sz w:val="20"/>
          <w:u w:val="none"/>
        </w:rPr>
        <w:t xml:space="preserve"> The design assumes anonymized qualitative feedback and aggregated BARS averages are shared back to students between Week 8 submission and the Week 9 Team Processing Session. The mechanism for this release needs to be defined — who processes and anonymizes the data, how it is delivered to students, and what the turnaround time is. If the course is facilitated at scale, this may require tooling. Affects: Week 9 activity sequencing, instructor workload.</w:t>
      </w:r>
    </w:p>
    <w:p>
      <w:pPr>
        <w:spacing w:before="0" w:after="120" w:line="276" w:lineRule="auto"/>
      </w:pPr>
      <w:r>
        <w:rPr>
          <w:rFonts w:ascii="DM Sans" w:hAnsi="DM Sans" w:cs="DM Sans"/>
          <w:b/>
          <w:i w:val="0"/>
          <w:color w:val="050C2A"/>
          <w:sz w:val="20"/>
          <w:u w:val="none"/>
        </w:rPr>
        <w:t>3. Employer mid-project survey.</w:t>
      </w:r>
      <w:r>
        <w:rPr>
          <w:rFonts w:ascii="DM Sans" w:hAnsi="DM Sans" w:cs="DM Sans"/>
          <w:b w:val="0"/>
          <w:i w:val="0"/>
          <w:color w:val="050C2A"/>
          <w:sz w:val="20"/>
          <w:u w:val="none"/>
        </w:rPr>
        <w:t xml:space="preserve"> The professional engagement mechanics specify that employers complete a brief mid-project survey at Week 8, assessing team responsiveness, communication quality, and professionalism. This survey is not a student-facing activity and is not included in the activity list, but its timing should be coordinated — ideally administered shortly after Check-In #1 while the employer's impressions are fresh. Affects: employer communication, Professional Engagement scoring.</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