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9 — Strengthening Your Work</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551"/>
            <w:shd w:fill="FF7C0A" w:val="clear"/>
            <w:vAlign w:val="center"/>
          </w:tcPr>
          <w:p>
            <w:pPr>
              <w:jc w:val="left"/>
              <w:spacing w:before="40" w:after="40"/>
            </w:pPr>
            <w:r>
              <w:rPr>
                <w:rFonts w:ascii="DM Sans" w:hAnsi="DM Sans" w:cs="DM Sans"/>
                <w:b/>
                <w:i w:val="0"/>
                <w:color w:val="FFFFFF"/>
                <w:sz w:val="20"/>
                <w:u w:val="none"/>
              </w:rPr>
            </w:r>
          </w:p>
        </w:tc>
        <w:tc>
          <w:tcPr>
            <w:tcW w:type="dxa" w:w="6809"/>
            <w:shd w:fill="FF7C0A" w:val="clear"/>
            <w:vAlign w:val="center"/>
          </w:tcPr>
          <w:p>
            <w:pPr>
              <w:jc w:val="left"/>
              <w:spacing w:before="40" w:after="40"/>
            </w:pPr>
            <w:r>
              <w:rPr>
                <w:rFonts w:ascii="DM Sans" w:hAnsi="DM Sans" w:cs="DM Sans"/>
                <w:b/>
                <w:i w:val="0"/>
                <w:color w:val="FFFFFF"/>
                <w:sz w:val="20"/>
                <w:u w:val="none"/>
              </w:rPr>
            </w:r>
          </w:p>
        </w:tc>
      </w:tr>
      <w:tr>
        <w:tc>
          <w:tcPr>
            <w:tcW w:type="dxa" w:w="2551"/>
            <w:vAlign w:val="center"/>
          </w:tcPr>
          <w:p>
            <w:pPr>
              <w:spacing w:before="30" w:after="30"/>
            </w:pPr>
            <w:r>
              <w:rPr>
                <w:rFonts w:ascii="DM Sans" w:hAnsi="DM Sans" w:cs="DM Sans"/>
                <w:b/>
                <w:i w:val="0"/>
                <w:color w:val="050C2A"/>
                <w:sz w:val="20"/>
                <w:u w:val="none"/>
              </w:rPr>
              <w:t>Phase</w:t>
            </w:r>
          </w:p>
        </w:tc>
        <w:tc>
          <w:tcPr>
            <w:tcW w:type="dxa" w:w="6809"/>
            <w:vAlign w:val="center"/>
          </w:tcPr>
          <w:p>
            <w:pPr>
              <w:spacing w:before="30" w:after="30"/>
            </w:pPr>
            <w:r>
              <w:rPr>
                <w:rFonts w:ascii="DM Sans" w:hAnsi="DM Sans" w:cs="DM Sans"/>
                <w:b w:val="0"/>
                <w:i w:val="0"/>
                <w:color w:val="050C2A"/>
                <w:sz w:val="20"/>
                <w:u w:val="none"/>
              </w:rPr>
              <w:t>Development</w:t>
            </w:r>
          </w:p>
        </w:tc>
      </w:tr>
      <w:tr>
        <w:tc>
          <w:tcPr>
            <w:tcW w:type="dxa" w:w="2551"/>
            <w:shd w:fill="F5F5F5" w:val="clear"/>
            <w:vAlign w:val="center"/>
          </w:tcPr>
          <w:p>
            <w:pPr>
              <w:spacing w:before="30" w:after="30"/>
            </w:pPr>
            <w:r>
              <w:rPr>
                <w:rFonts w:ascii="DM Sans" w:hAnsi="DM Sans" w:cs="DM Sans"/>
                <w:b/>
                <w:i w:val="0"/>
                <w:color w:val="050C2A"/>
                <w:sz w:val="20"/>
                <w:u w:val="none"/>
              </w:rPr>
              <w:t>Module Title</w:t>
            </w:r>
          </w:p>
        </w:tc>
        <w:tc>
          <w:tcPr>
            <w:tcW w:type="dxa" w:w="6809"/>
            <w:shd w:fill="F5F5F5" w:val="clear"/>
            <w:vAlign w:val="center"/>
          </w:tcPr>
          <w:p>
            <w:pPr>
              <w:spacing w:before="30" w:after="30"/>
            </w:pPr>
            <w:r>
              <w:rPr>
                <w:rFonts w:ascii="DM Sans" w:hAnsi="DM Sans" w:cs="DM Sans"/>
                <w:b w:val="0"/>
                <w:i w:val="0"/>
                <w:color w:val="050C2A"/>
                <w:sz w:val="20"/>
                <w:u w:val="none"/>
              </w:rPr>
              <w:t>Strengthening Your Work</w:t>
            </w:r>
          </w:p>
        </w:tc>
      </w:tr>
      <w:tr>
        <w:tc>
          <w:tcPr>
            <w:tcW w:type="dxa" w:w="2551"/>
            <w:vAlign w:val="center"/>
          </w:tcPr>
          <w:p>
            <w:pPr>
              <w:spacing w:before="30" w:after="30"/>
            </w:pPr>
            <w:r>
              <w:rPr>
                <w:rFonts w:ascii="DM Sans" w:hAnsi="DM Sans" w:cs="DM Sans"/>
                <w:b/>
                <w:i w:val="0"/>
                <w:color w:val="050C2A"/>
                <w:sz w:val="20"/>
                <w:u w:val="none"/>
              </w:rPr>
              <w:t>Primary Function</w:t>
            </w:r>
          </w:p>
        </w:tc>
        <w:tc>
          <w:tcPr>
            <w:tcW w:type="dxa" w:w="6809"/>
            <w:vAlign w:val="center"/>
          </w:tcPr>
          <w:p>
            <w:pPr>
              <w:spacing w:before="30" w:after="30"/>
            </w:pPr>
            <w:r>
              <w:rPr>
                <w:rFonts w:ascii="DM Sans" w:hAnsi="DM Sans" w:cs="DM Sans"/>
                <w:b w:val="0"/>
                <w:i w:val="0"/>
                <w:color w:val="050C2A"/>
                <w:sz w:val="20"/>
                <w:u w:val="none"/>
              </w:rPr>
              <w:t>Production skill-building + peer eval processing + employer feedback cycle + draft deliverable submission</w:t>
            </w:r>
          </w:p>
        </w:tc>
      </w:tr>
      <w:tr>
        <w:tc>
          <w:tcPr>
            <w:tcW w:type="dxa" w:w="2551"/>
            <w:shd w:fill="F5F5F5" w:val="clear"/>
            <w:vAlign w:val="center"/>
          </w:tcPr>
          <w:p>
            <w:pPr>
              <w:spacing w:before="30" w:after="30"/>
            </w:pPr>
            <w:r>
              <w:rPr>
                <w:rFonts w:ascii="DM Sans" w:hAnsi="DM Sans" w:cs="DM Sans"/>
                <w:b/>
                <w:i w:val="0"/>
                <w:color w:val="050C2A"/>
                <w:sz w:val="20"/>
                <w:u w:val="none"/>
              </w:rPr>
              <w:t>Total Student Time</w:t>
            </w:r>
          </w:p>
        </w:tc>
        <w:tc>
          <w:tcPr>
            <w:tcW w:type="dxa" w:w="6809"/>
            <w:shd w:fill="F5F5F5" w:val="clear"/>
            <w:vAlign w:val="center"/>
          </w:tcPr>
          <w:p>
            <w:pPr>
              <w:spacing w:before="30" w:after="30"/>
            </w:pPr>
            <w:r>
              <w:rPr>
                <w:rFonts w:ascii="DM Sans" w:hAnsi="DM Sans" w:cs="DM Sans"/>
                <w:b w:val="0"/>
                <w:i w:val="0"/>
                <w:color w:val="050C2A"/>
                <w:sz w:val="20"/>
                <w:u w:val="none"/>
              </w:rPr>
              <w:t>575 min (~9 hrs 35 min)</w:t>
            </w:r>
          </w:p>
        </w:tc>
      </w:tr>
      <w:tr>
        <w:tc>
          <w:tcPr>
            <w:tcW w:type="dxa" w:w="2551"/>
            <w:vAlign w:val="center"/>
          </w:tcPr>
          <w:p>
            <w:pPr>
              <w:spacing w:before="30" w:after="30"/>
            </w:pPr>
            <w:r>
              <w:rPr>
                <w:rFonts w:ascii="DM Sans" w:hAnsi="DM Sans" w:cs="DM Sans"/>
                <w:b/>
                <w:i w:val="0"/>
                <w:color w:val="050C2A"/>
                <w:sz w:val="20"/>
                <w:u w:val="none"/>
              </w:rPr>
              <w:t>Deliverable This Week</w:t>
            </w:r>
          </w:p>
        </w:tc>
        <w:tc>
          <w:tcPr>
            <w:tcW w:type="dxa" w:w="6809"/>
            <w:vAlign w:val="center"/>
          </w:tcPr>
          <w:p>
            <w:pPr>
              <w:spacing w:before="30" w:after="30"/>
            </w:pPr>
            <w:r>
              <w:rPr>
                <w:rFonts w:ascii="DM Sans" w:hAnsi="DM Sans" w:cs="DM Sans"/>
                <w:b w:val="0"/>
                <w:i w:val="0"/>
                <w:color w:val="050C2A"/>
                <w:sz w:val="20"/>
                <w:u w:val="none"/>
              </w:rPr>
              <w:t>Draft Deliverable (Checkpoint — team submission, includes team processing agreement as appendix); Reflection #3 (Graded — rubric-based, ~5% of final grade, individual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9,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42"/>
            <w:shd w:fill="FF7C0A" w:val="clear"/>
            <w:vAlign w:val="center"/>
          </w:tcPr>
          <w:p>
            <w:pPr>
              <w:jc w:val="left"/>
              <w:spacing w:before="40" w:after="40"/>
            </w:pPr>
            <w:r>
              <w:rPr>
                <w:rFonts w:ascii="DM Sans" w:hAnsi="DM Sans" w:cs="DM Sans"/>
                <w:b/>
                <w:i w:val="0"/>
                <w:color w:val="FFFFFF"/>
                <w:sz w:val="20"/>
                <w:u w:val="none"/>
              </w:rPr>
              <w:t>#</w:t>
            </w:r>
          </w:p>
        </w:tc>
        <w:tc>
          <w:tcPr>
            <w:tcW w:type="dxa" w:w="5433"/>
            <w:shd w:fill="FF7C0A" w:val="clear"/>
            <w:vAlign w:val="center"/>
          </w:tcPr>
          <w:p>
            <w:pPr>
              <w:jc w:val="left"/>
              <w:spacing w:before="40" w:after="40"/>
            </w:pPr>
            <w:r>
              <w:rPr>
                <w:rFonts w:ascii="DM Sans" w:hAnsi="DM Sans" w:cs="DM Sans"/>
                <w:b/>
                <w:i w:val="0"/>
                <w:color w:val="FFFFFF"/>
                <w:sz w:val="20"/>
                <w:u w:val="none"/>
              </w:rPr>
              <w:t>Objective</w:t>
            </w:r>
          </w:p>
        </w:tc>
        <w:tc>
          <w:tcPr>
            <w:tcW w:type="dxa" w:w="3085"/>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42"/>
            <w:vAlign w:val="center"/>
          </w:tcPr>
          <w:p>
            <w:pPr>
              <w:spacing w:before="30" w:after="30"/>
            </w:pPr>
            <w:r>
              <w:rPr>
                <w:rFonts w:ascii="DM Sans" w:hAnsi="DM Sans" w:cs="DM Sans"/>
                <w:b/>
                <w:i w:val="0"/>
                <w:color w:val="050C2A"/>
                <w:sz w:val="20"/>
                <w:u w:val="none"/>
              </w:rPr>
              <w:t>1</w:t>
            </w:r>
          </w:p>
        </w:tc>
        <w:tc>
          <w:tcPr>
            <w:tcW w:type="dxa" w:w="5433"/>
            <w:vAlign w:val="center"/>
          </w:tcPr>
          <w:p>
            <w:pPr>
              <w:spacing w:before="30" w:after="30"/>
            </w:pPr>
            <w:r>
              <w:rPr>
                <w:rFonts w:ascii="DM Sans" w:hAnsi="DM Sans" w:cs="DM Sans"/>
                <w:b w:val="0"/>
                <w:i w:val="0"/>
                <w:color w:val="050C2A"/>
                <w:sz w:val="20"/>
                <w:u w:val="none"/>
              </w:rPr>
              <w:t>Identify where a multi-author document reads as disconnected sections and apply specific techniques to integrate work produced by different teammates into a coherent deliverable.</w:t>
            </w:r>
          </w:p>
        </w:tc>
        <w:tc>
          <w:tcPr>
            <w:tcW w:type="dxa" w:w="3085"/>
            <w:vAlign w:val="center"/>
          </w:tcPr>
          <w:p>
            <w:pPr>
              <w:spacing w:before="30" w:after="30"/>
            </w:pPr>
            <w:r>
              <w:rPr>
                <w:rFonts w:ascii="DM Sans" w:hAnsi="DM Sans" w:cs="DM Sans"/>
                <w:b w:val="0"/>
                <w:i w:val="0"/>
                <w:color w:val="050C2A"/>
                <w:sz w:val="20"/>
                <w:u w:val="none"/>
              </w:rPr>
              <w:t>Communication → Written Clarity</w:t>
            </w:r>
          </w:p>
        </w:tc>
      </w:tr>
      <w:tr>
        <w:tc>
          <w:tcPr>
            <w:tcW w:type="dxa" w:w="842"/>
            <w:shd w:fill="F5F5F5" w:val="clear"/>
            <w:vAlign w:val="center"/>
          </w:tcPr>
          <w:p>
            <w:pPr>
              <w:spacing w:before="30" w:after="30"/>
            </w:pPr>
            <w:r>
              <w:rPr>
                <w:rFonts w:ascii="DM Sans" w:hAnsi="DM Sans" w:cs="DM Sans"/>
                <w:b/>
                <w:i w:val="0"/>
                <w:color w:val="050C2A"/>
                <w:sz w:val="20"/>
                <w:u w:val="none"/>
              </w:rPr>
              <w:t>2</w:t>
            </w:r>
          </w:p>
        </w:tc>
        <w:tc>
          <w:tcPr>
            <w:tcW w:type="dxa" w:w="5433"/>
            <w:shd w:fill="F5F5F5" w:val="clear"/>
            <w:vAlign w:val="center"/>
          </w:tcPr>
          <w:p>
            <w:pPr>
              <w:spacing w:before="30" w:after="30"/>
            </w:pPr>
            <w:r>
              <w:rPr>
                <w:rFonts w:ascii="DM Sans" w:hAnsi="DM Sans" w:cs="DM Sans"/>
                <w:b w:val="0"/>
                <w:i w:val="0"/>
                <w:color w:val="050C2A"/>
                <w:sz w:val="20"/>
                <w:u w:val="none"/>
              </w:rPr>
              <w:t>Evaluate a draft deliverable against an actionability standard, determining whether recommendations are specific enough for the employer to act on, realistic given constraints, and prioritized.</w:t>
            </w:r>
          </w:p>
        </w:tc>
        <w:tc>
          <w:tcPr>
            <w:tcW w:type="dxa" w:w="3085"/>
            <w:shd w:fill="F5F5F5" w:val="clear"/>
            <w:vAlign w:val="center"/>
          </w:tcPr>
          <w:p>
            <w:pPr>
              <w:spacing w:before="30" w:after="30"/>
            </w:pPr>
            <w:r>
              <w:rPr>
                <w:rFonts w:ascii="DM Sans" w:hAnsi="DM Sans" w:cs="DM Sans"/>
                <w:b w:val="0"/>
                <w:i w:val="0"/>
                <w:color w:val="050C2A"/>
                <w:sz w:val="20"/>
                <w:u w:val="none"/>
              </w:rPr>
              <w:t>Critical Thinking → Prioritization; Communication → Written Clarity</w:t>
            </w:r>
          </w:p>
        </w:tc>
      </w:tr>
      <w:tr>
        <w:tc>
          <w:tcPr>
            <w:tcW w:type="dxa" w:w="842"/>
            <w:vAlign w:val="center"/>
          </w:tcPr>
          <w:p>
            <w:pPr>
              <w:spacing w:before="30" w:after="30"/>
            </w:pPr>
            <w:r>
              <w:rPr>
                <w:rFonts w:ascii="DM Sans" w:hAnsi="DM Sans" w:cs="DM Sans"/>
                <w:b/>
                <w:i w:val="0"/>
                <w:color w:val="050C2A"/>
                <w:sz w:val="20"/>
                <w:u w:val="none"/>
              </w:rPr>
              <w:t>3</w:t>
            </w:r>
          </w:p>
        </w:tc>
        <w:tc>
          <w:tcPr>
            <w:tcW w:type="dxa" w:w="5433"/>
            <w:vAlign w:val="center"/>
          </w:tcPr>
          <w:p>
            <w:pPr>
              <w:spacing w:before="30" w:after="30"/>
            </w:pPr>
            <w:r>
              <w:rPr>
                <w:rFonts w:ascii="DM Sans" w:hAnsi="DM Sans" w:cs="DM Sans"/>
                <w:b w:val="0"/>
                <w:i w:val="0"/>
                <w:color w:val="050C2A"/>
                <w:sz w:val="20"/>
                <w:u w:val="none"/>
              </w:rPr>
              <w:t>Make deliberate scope decisions when mid-project pressures to expand arise, distinguishing between work that belongs in the current deliverable, work that should be deferred, and work that should be declined.</w:t>
            </w:r>
          </w:p>
        </w:tc>
        <w:tc>
          <w:tcPr>
            <w:tcW w:type="dxa" w:w="3085"/>
            <w:vAlign w:val="center"/>
          </w:tcPr>
          <w:p>
            <w:pPr>
              <w:spacing w:before="30" w:after="30"/>
            </w:pPr>
            <w:r>
              <w:rPr>
                <w:rFonts w:ascii="DM Sans" w:hAnsi="DM Sans" w:cs="DM Sans"/>
                <w:b w:val="0"/>
                <w:i w:val="0"/>
                <w:color w:val="050C2A"/>
                <w:sz w:val="20"/>
                <w:u w:val="none"/>
              </w:rPr>
              <w:t>Critical Thinking → Prioritization; Professionalism → Initiative</w:t>
            </w:r>
          </w:p>
        </w:tc>
      </w:tr>
      <w:tr>
        <w:tc>
          <w:tcPr>
            <w:tcW w:type="dxa" w:w="842"/>
            <w:shd w:fill="F5F5F5" w:val="clear"/>
            <w:vAlign w:val="center"/>
          </w:tcPr>
          <w:p>
            <w:pPr>
              <w:spacing w:before="30" w:after="30"/>
            </w:pPr>
            <w:r>
              <w:rPr>
                <w:rFonts w:ascii="DM Sans" w:hAnsi="DM Sans" w:cs="DM Sans"/>
                <w:b/>
                <w:i w:val="0"/>
                <w:color w:val="050C2A"/>
                <w:sz w:val="20"/>
                <w:u w:val="none"/>
              </w:rPr>
              <w:t>4</w:t>
            </w:r>
          </w:p>
        </w:tc>
        <w:tc>
          <w:tcPr>
            <w:tcW w:type="dxa" w:w="5433"/>
            <w:shd w:fill="F5F5F5" w:val="clear"/>
            <w:vAlign w:val="center"/>
          </w:tcPr>
          <w:p>
            <w:pPr>
              <w:spacing w:before="30" w:after="30"/>
            </w:pPr>
            <w:r>
              <w:rPr>
                <w:rFonts w:ascii="DM Sans" w:hAnsi="DM Sans" w:cs="DM Sans"/>
                <w:b w:val="0"/>
                <w:i w:val="0"/>
                <w:color w:val="050C2A"/>
                <w:sz w:val="20"/>
                <w:u w:val="none"/>
              </w:rPr>
              <w:t>Synthesize feedback from multiple internal and external sources to identify patterns across perspectives and negotiate specific behavioral changes with the team.</w:t>
            </w:r>
          </w:p>
        </w:tc>
        <w:tc>
          <w:tcPr>
            <w:tcW w:type="dxa" w:w="3085"/>
            <w:shd w:fill="F5F5F5" w:val="clear"/>
            <w:vAlign w:val="center"/>
          </w:tcPr>
          <w:p>
            <w:pPr>
              <w:spacing w:before="30" w:after="30"/>
            </w:pPr>
            <w:r>
              <w:rPr>
                <w:rFonts w:ascii="DM Sans" w:hAnsi="DM Sans" w:cs="DM Sans"/>
                <w:b w:val="0"/>
                <w:i w:val="0"/>
                <w:color w:val="050C2A"/>
                <w:sz w:val="20"/>
                <w:u w:val="none"/>
              </w:rPr>
              <w:t>Teamwork → Constructive Feedback; Teamwork → Shared Accountability</w:t>
            </w:r>
          </w:p>
        </w:tc>
      </w:tr>
      <w:tr>
        <w:tc>
          <w:tcPr>
            <w:tcW w:type="dxa" w:w="842"/>
            <w:vAlign w:val="center"/>
          </w:tcPr>
          <w:p>
            <w:pPr>
              <w:spacing w:before="30" w:after="30"/>
            </w:pPr>
            <w:r>
              <w:rPr>
                <w:rFonts w:ascii="DM Sans" w:hAnsi="DM Sans" w:cs="DM Sans"/>
                <w:b/>
                <w:i w:val="0"/>
                <w:color w:val="050C2A"/>
                <w:sz w:val="20"/>
                <w:u w:val="none"/>
              </w:rPr>
              <w:t>5</w:t>
            </w:r>
          </w:p>
        </w:tc>
        <w:tc>
          <w:tcPr>
            <w:tcW w:type="dxa" w:w="5433"/>
            <w:vAlign w:val="center"/>
          </w:tcPr>
          <w:p>
            <w:pPr>
              <w:spacing w:before="30" w:after="30"/>
            </w:pPr>
            <w:r>
              <w:rPr>
                <w:rFonts w:ascii="DM Sans" w:hAnsi="DM Sans" w:cs="DM Sans"/>
                <w:b w:val="0"/>
                <w:i w:val="0"/>
                <w:color w:val="050C2A"/>
                <w:sz w:val="20"/>
                <w:u w:val="none"/>
              </w:rPr>
              <w:t>Compose a DEAL reflection with greater depth and specificity than previous attempts, focusing on a moment involving feedback or collaboration.</w:t>
            </w:r>
          </w:p>
        </w:tc>
        <w:tc>
          <w:tcPr>
            <w:tcW w:type="dxa" w:w="3085"/>
            <w:vAlign w:val="center"/>
          </w:tcPr>
          <w:p>
            <w:pPr>
              <w:spacing w:before="30" w:after="30"/>
            </w:pPr>
            <w:r>
              <w:rPr>
                <w:rFonts w:ascii="DM Sans" w:hAnsi="DM Sans" w:cs="DM Sans"/>
                <w:b w:val="0"/>
                <w:i w:val="0"/>
                <w:color w:val="050C2A"/>
                <w:sz w:val="20"/>
                <w:u w:val="none"/>
              </w:rPr>
              <w:t>Career &amp; Self-Development → Reflection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9 carries triple demands: students are processing feedback from multiple sources (peer evaluation results, employer mid-project survey, and the upcoming Check-In #2), pushing their draft deliverable toward a submission-ready state, and completing their third DEAL reflection. The module content teaches production skills that directly serve the draft: multi-author integration, the actionability test, and scope management — the practical problems students encounter as they assemble individually drafted sections into a coherent document for an external audience. The peer evaluation conversation module is tightly scoped to a practical protocol rather than theory, since students have been collaborating for eight weeks and don't need abstract teamwork concepts. The Team Processing Session gives teams a structured hour to synthesize feedback from three sources (peer eval, employer survey, Check-In #2) and agree on specific behavioral changes. The internal review gate introduces a recurring professional practice — reading assembled work as a complete document before an external audience sees it — that will recur before each subsequent checkpoint and graded submission.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87"/>
            <w:shd w:fill="FF7C0A" w:val="clear"/>
            <w:vAlign w:val="center"/>
          </w:tcPr>
          <w:p>
            <w:pPr>
              <w:jc w:val="left"/>
              <w:spacing w:before="40" w:after="40"/>
            </w:pPr>
            <w:r>
              <w:rPr>
                <w:rFonts w:ascii="DM Sans" w:hAnsi="DM Sans" w:cs="DM Sans"/>
                <w:b/>
                <w:i w:val="0"/>
                <w:color w:val="FFFFFF"/>
                <w:sz w:val="20"/>
                <w:u w:val="none"/>
              </w:rPr>
              <w:t>#</w:t>
            </w:r>
          </w:p>
        </w:tc>
        <w:tc>
          <w:tcPr>
            <w:tcW w:type="dxa" w:w="967"/>
            <w:shd w:fill="FF7C0A" w:val="clear"/>
            <w:vAlign w:val="center"/>
          </w:tcPr>
          <w:p>
            <w:pPr>
              <w:jc w:val="left"/>
              <w:spacing w:before="40" w:after="40"/>
            </w:pPr>
            <w:r>
              <w:rPr>
                <w:rFonts w:ascii="DM Sans" w:hAnsi="DM Sans" w:cs="DM Sans"/>
                <w:b/>
                <w:i w:val="0"/>
                <w:color w:val="FFFFFF"/>
                <w:sz w:val="20"/>
                <w:u w:val="none"/>
              </w:rPr>
              <w:t>Category</w:t>
            </w:r>
          </w:p>
        </w:tc>
        <w:tc>
          <w:tcPr>
            <w:tcW w:type="dxa" w:w="2215"/>
            <w:shd w:fill="FF7C0A" w:val="clear"/>
            <w:vAlign w:val="center"/>
          </w:tcPr>
          <w:p>
            <w:pPr>
              <w:jc w:val="left"/>
              <w:spacing w:before="40" w:after="40"/>
            </w:pPr>
            <w:r>
              <w:rPr>
                <w:rFonts w:ascii="DM Sans" w:hAnsi="DM Sans" w:cs="DM Sans"/>
                <w:b/>
                <w:i w:val="0"/>
                <w:color w:val="FFFFFF"/>
                <w:sz w:val="20"/>
                <w:u w:val="none"/>
              </w:rPr>
              <w:t>Activity</w:t>
            </w:r>
          </w:p>
        </w:tc>
        <w:tc>
          <w:tcPr>
            <w:tcW w:type="dxa" w:w="512"/>
            <w:shd w:fill="FF7C0A" w:val="clear"/>
            <w:vAlign w:val="center"/>
          </w:tcPr>
          <w:p>
            <w:pPr>
              <w:jc w:val="left"/>
              <w:spacing w:before="40" w:after="40"/>
            </w:pPr>
            <w:r>
              <w:rPr>
                <w:rFonts w:ascii="DM Sans" w:hAnsi="DM Sans" w:cs="DM Sans"/>
                <w:b/>
                <w:i w:val="0"/>
                <w:color w:val="FFFFFF"/>
                <w:sz w:val="20"/>
                <w:u w:val="none"/>
              </w:rPr>
              <w:t>Format</w:t>
            </w:r>
          </w:p>
        </w:tc>
        <w:tc>
          <w:tcPr>
            <w:tcW w:type="dxa" w:w="1005"/>
            <w:shd w:fill="FF7C0A" w:val="clear"/>
            <w:vAlign w:val="center"/>
          </w:tcPr>
          <w:p>
            <w:pPr>
              <w:jc w:val="left"/>
              <w:spacing w:before="40" w:after="40"/>
            </w:pPr>
            <w:r>
              <w:rPr>
                <w:rFonts w:ascii="DM Sans" w:hAnsi="DM Sans" w:cs="DM Sans"/>
                <w:b/>
                <w:i w:val="0"/>
                <w:color w:val="FFFFFF"/>
                <w:sz w:val="20"/>
                <w:u w:val="none"/>
              </w:rPr>
              <w:t>Min</w:t>
            </w:r>
          </w:p>
        </w:tc>
        <w:tc>
          <w:tcPr>
            <w:tcW w:type="dxa" w:w="4274"/>
            <w:shd w:fill="FF7C0A" w:val="clear"/>
            <w:vAlign w:val="center"/>
          </w:tcPr>
          <w:p>
            <w:pPr>
              <w:jc w:val="left"/>
              <w:spacing w:before="40" w:after="40"/>
            </w:pPr>
            <w:r>
              <w:rPr>
                <w:rFonts w:ascii="DM Sans" w:hAnsi="DM Sans" w:cs="DM Sans"/>
                <w:b/>
                <w:i w:val="0"/>
                <w:color w:val="FFFFFF"/>
                <w:sz w:val="20"/>
                <w:u w:val="none"/>
              </w:rPr>
              <w:t>Note</w:t>
            </w:r>
          </w:p>
        </w:tc>
      </w:tr>
      <w:tr>
        <w:tc>
          <w:tcPr>
            <w:tcW w:type="dxa" w:w="387"/>
            <w:vAlign w:val="center"/>
          </w:tcPr>
          <w:p>
            <w:pPr>
              <w:spacing w:before="30" w:after="30"/>
            </w:pPr>
            <w:r>
              <w:rPr>
                <w:rFonts w:ascii="DM Sans" w:hAnsi="DM Sans" w:cs="DM Sans"/>
                <w:b w:val="0"/>
                <w:i w:val="0"/>
                <w:color w:val="050C2A"/>
                <w:sz w:val="20"/>
                <w:u w:val="none"/>
              </w:rPr>
              <w:t>9.01</w:t>
            </w:r>
          </w:p>
        </w:tc>
        <w:tc>
          <w:tcPr>
            <w:tcW w:type="dxa" w:w="967"/>
            <w:vAlign w:val="center"/>
          </w:tcPr>
          <w:p>
            <w:pPr>
              <w:spacing w:before="30" w:after="30"/>
            </w:pPr>
            <w:r>
              <w:rPr>
                <w:rFonts w:ascii="DM Sans" w:hAnsi="DM Sans" w:cs="DM Sans"/>
                <w:b w:val="0"/>
                <w:i w:val="0"/>
                <w:color w:val="050C2A"/>
                <w:sz w:val="20"/>
                <w:u w:val="none"/>
              </w:rPr>
              <w:t>Course Orientation</w:t>
            </w:r>
          </w:p>
        </w:tc>
        <w:tc>
          <w:tcPr>
            <w:tcW w:type="dxa" w:w="2215"/>
            <w:vAlign w:val="center"/>
          </w:tcPr>
          <w:p>
            <w:pPr>
              <w:spacing w:before="30" w:after="30"/>
            </w:pPr>
            <w:r>
              <w:rPr>
                <w:rFonts w:ascii="DM Sans" w:hAnsi="DM Sans" w:cs="DM Sans"/>
                <w:b w:val="0"/>
                <w:i w:val="0"/>
                <w:color w:val="050C2A"/>
                <w:sz w:val="20"/>
                <w:u w:val="none"/>
              </w:rPr>
              <w:t>Week 9 Overview — objectives, what's happening this week, suggested order of completion</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5</w:t>
            </w:r>
          </w:p>
        </w:tc>
        <w:tc>
          <w:tcPr>
            <w:tcW w:type="dxa" w:w="4274"/>
            <w:vAlign w:val="center"/>
          </w:tcPr>
          <w:p>
            <w:pPr>
              <w:spacing w:before="30" w:after="30"/>
            </w:pPr>
            <w:r>
              <w:rPr>
                <w:rFonts w:ascii="DM Sans" w:hAnsi="DM Sans" w:cs="DM Sans"/>
                <w:b w:val="0"/>
                <w:i w:val="0"/>
                <w:color w:val="050C2A"/>
                <w:sz w:val="20"/>
                <w:u w:val="none"/>
              </w:rPr>
              <w:t>Names Draft Deliverable checkpoint and Check-In #2 as dual anchors; orients students to the production + employer meeting structure; this is a questions-based employer meeting, not a formal presentation; flags that peer eval results and employer mid-project survey results are available and will be discussed in the Team Processing Session</w:t>
            </w:r>
          </w:p>
        </w:tc>
      </w:tr>
      <w:tr>
        <w:tc>
          <w:tcPr>
            <w:tcW w:type="dxa" w:w="387"/>
            <w:shd w:fill="F5F5F5" w:val="clear"/>
            <w:vAlign w:val="center"/>
          </w:tcPr>
          <w:p>
            <w:pPr>
              <w:spacing w:before="30" w:after="30"/>
            </w:pPr>
            <w:r>
              <w:rPr>
                <w:rFonts w:ascii="DM Sans" w:hAnsi="DM Sans" w:cs="DM Sans"/>
                <w:b w:val="0"/>
                <w:i w:val="0"/>
                <w:color w:val="050C2A"/>
                <w:sz w:val="20"/>
                <w:u w:val="none"/>
              </w:rPr>
              <w:t>9.02</w:t>
            </w:r>
          </w:p>
        </w:tc>
        <w:tc>
          <w:tcPr>
            <w:tcW w:type="dxa" w:w="96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215"/>
            <w:shd w:fill="F5F5F5" w:val="clear"/>
            <w:vAlign w:val="center"/>
          </w:tcPr>
          <w:p>
            <w:pPr>
              <w:spacing w:before="30" w:after="30"/>
            </w:pPr>
            <w:r>
              <w:rPr>
                <w:rFonts w:ascii="DM Sans" w:hAnsi="DM Sans" w:cs="DM Sans"/>
                <w:b w:val="0"/>
                <w:i w:val="0"/>
                <w:color w:val="050C2A"/>
                <w:sz w:val="20"/>
                <w:u w:val="none"/>
              </w:rPr>
              <w:t>Module: Making Your Sections Talk to Each Other</w:t>
            </w:r>
          </w:p>
        </w:tc>
        <w:tc>
          <w:tcPr>
            <w:tcW w:type="dxa" w:w="512"/>
            <w:shd w:fill="F5F5F5" w:val="clear"/>
            <w:vAlign w:val="center"/>
          </w:tcPr>
          <w:p>
            <w:pPr>
              <w:spacing w:before="30" w:after="30"/>
            </w:pPr>
            <w:r>
              <w:rPr>
                <w:rFonts w:ascii="DM Sans" w:hAnsi="DM Sans" w:cs="DM Sans"/>
                <w:b w:val="0"/>
                <w:i w:val="0"/>
                <w:color w:val="050C2A"/>
                <w:sz w:val="20"/>
                <w:u w:val="none"/>
              </w:rPr>
              <w:t>Module</w:t>
            </w:r>
          </w:p>
        </w:tc>
        <w:tc>
          <w:tcPr>
            <w:tcW w:type="dxa" w:w="1005"/>
            <w:shd w:fill="F5F5F5" w:val="clear"/>
            <w:vAlign w:val="center"/>
          </w:tcPr>
          <w:p>
            <w:pPr>
              <w:spacing w:before="30" w:after="30"/>
            </w:pPr>
            <w:r>
              <w:rPr>
                <w:rFonts w:ascii="DM Sans" w:hAnsi="DM Sans" w:cs="DM Sans"/>
                <w:b w:val="0"/>
                <w:i w:val="0"/>
                <w:color w:val="050C2A"/>
                <w:sz w:val="20"/>
                <w:u w:val="none"/>
              </w:rPr>
              <w:t>15</w:t>
            </w:r>
          </w:p>
        </w:tc>
        <w:tc>
          <w:tcPr>
            <w:tcW w:type="dxa" w:w="4274"/>
            <w:shd w:fill="F5F5F5" w:val="clear"/>
            <w:vAlign w:val="center"/>
          </w:tcPr>
          <w:p>
            <w:pPr>
              <w:spacing w:before="30" w:after="30"/>
            </w:pPr>
            <w:r>
              <w:rPr>
                <w:rFonts w:ascii="DM Sans" w:hAnsi="DM Sans" w:cs="DM Sans"/>
                <w:b w:val="0"/>
                <w:i w:val="0"/>
                <w:color w:val="050C2A"/>
                <w:sz w:val="20"/>
                <w:u w:val="none"/>
              </w:rPr>
              <w:t>The #1 problem with team-produced documents: they read like separate papers stapled together; how to unify voice, create transitions, ensure logical flow across sections written by different people; directly feeds the Draft Deliverable checkpoint and the Communication dimension on the Final Deliverables rubric</w:t>
            </w:r>
          </w:p>
        </w:tc>
      </w:tr>
      <w:tr>
        <w:tc>
          <w:tcPr>
            <w:tcW w:type="dxa" w:w="387"/>
            <w:vAlign w:val="center"/>
          </w:tcPr>
          <w:p>
            <w:pPr>
              <w:spacing w:before="30" w:after="30"/>
            </w:pPr>
            <w:r>
              <w:rPr>
                <w:rFonts w:ascii="DM Sans" w:hAnsi="DM Sans" w:cs="DM Sans"/>
                <w:b w:val="0"/>
                <w:i w:val="0"/>
                <w:color w:val="050C2A"/>
                <w:sz w:val="20"/>
                <w:u w:val="none"/>
              </w:rPr>
              <w:t>9.03</w:t>
            </w:r>
          </w:p>
        </w:tc>
        <w:tc>
          <w:tcPr>
            <w:tcW w:type="dxa" w:w="967"/>
            <w:vAlign w:val="center"/>
          </w:tcPr>
          <w:p>
            <w:pPr>
              <w:spacing w:before="30" w:after="30"/>
            </w:pPr>
            <w:r>
              <w:rPr>
                <w:rFonts w:ascii="DM Sans" w:hAnsi="DM Sans" w:cs="DM Sans"/>
                <w:b w:val="0"/>
                <w:i w:val="0"/>
                <w:color w:val="050C2A"/>
                <w:sz w:val="20"/>
                <w:u w:val="none"/>
              </w:rPr>
              <w:t>Professional Fundamentals</w:t>
            </w:r>
          </w:p>
        </w:tc>
        <w:tc>
          <w:tcPr>
            <w:tcW w:type="dxa" w:w="2215"/>
            <w:vAlign w:val="center"/>
          </w:tcPr>
          <w:p>
            <w:pPr>
              <w:spacing w:before="30" w:after="30"/>
            </w:pPr>
            <w:r>
              <w:rPr>
                <w:rFonts w:ascii="DM Sans" w:hAnsi="DM Sans" w:cs="DM Sans"/>
                <w:b w:val="0"/>
                <w:i w:val="0"/>
                <w:color w:val="050C2A"/>
                <w:sz w:val="20"/>
                <w:u w:val="none"/>
              </w:rPr>
              <w:t>Module: From "Done" to "Useful" — The Actionability Test</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15</w:t>
            </w:r>
          </w:p>
        </w:tc>
        <w:tc>
          <w:tcPr>
            <w:tcW w:type="dxa" w:w="4274"/>
            <w:vAlign w:val="center"/>
          </w:tcPr>
          <w:p>
            <w:pPr>
              <w:spacing w:before="30" w:after="30"/>
            </w:pPr>
            <w:r>
              <w:rPr>
                <w:rFonts w:ascii="DM Sans" w:hAnsi="DM Sans" w:cs="DM Sans"/>
                <w:b w:val="0"/>
                <w:i w:val="0"/>
                <w:color w:val="050C2A"/>
                <w:sz w:val="20"/>
                <w:u w:val="none"/>
              </w:rPr>
              <w:t>Students tend to produce work that answers 'what did we find?' without answering 'what should the employer do about it?'; how to evaluate your own draft for actionability; maps directly to Actionability dimension on Final Deliverables rubric (20% of final grade); teaching it now while students still have time to restructure; includes AI prompt strategy: using AI to stress-test recommendations for actionability (reinforces Week 8 AI-as-production-partner concept in a new application)</w:t>
            </w:r>
          </w:p>
        </w:tc>
      </w:tr>
      <w:tr>
        <w:tc>
          <w:tcPr>
            <w:tcW w:type="dxa" w:w="387"/>
            <w:shd w:fill="F5F5F5" w:val="clear"/>
            <w:vAlign w:val="center"/>
          </w:tcPr>
          <w:p>
            <w:pPr>
              <w:spacing w:before="30" w:after="30"/>
            </w:pPr>
            <w:r>
              <w:rPr>
                <w:rFonts w:ascii="DM Sans" w:hAnsi="DM Sans" w:cs="DM Sans"/>
                <w:b w:val="0"/>
                <w:i w:val="0"/>
                <w:color w:val="050C2A"/>
                <w:sz w:val="20"/>
                <w:u w:val="none"/>
              </w:rPr>
              <w:t>9.04</w:t>
            </w:r>
          </w:p>
        </w:tc>
        <w:tc>
          <w:tcPr>
            <w:tcW w:type="dxa" w:w="96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215"/>
            <w:shd w:fill="F5F5F5" w:val="clear"/>
            <w:vAlign w:val="center"/>
          </w:tcPr>
          <w:p>
            <w:pPr>
              <w:spacing w:before="30" w:after="30"/>
            </w:pPr>
            <w:r>
              <w:rPr>
                <w:rFonts w:ascii="DM Sans" w:hAnsi="DM Sans" w:cs="DM Sans"/>
                <w:b w:val="0"/>
                <w:i w:val="0"/>
                <w:color w:val="050C2A"/>
                <w:sz w:val="20"/>
                <w:u w:val="none"/>
              </w:rPr>
              <w:t>Module: Scope Decisions — What to Keep, What to Defer</w:t>
            </w:r>
          </w:p>
        </w:tc>
        <w:tc>
          <w:tcPr>
            <w:tcW w:type="dxa" w:w="512"/>
            <w:shd w:fill="F5F5F5" w:val="clear"/>
            <w:vAlign w:val="center"/>
          </w:tcPr>
          <w:p>
            <w:pPr>
              <w:spacing w:before="30" w:after="30"/>
            </w:pPr>
            <w:r>
              <w:rPr>
                <w:rFonts w:ascii="DM Sans" w:hAnsi="DM Sans" w:cs="DM Sans"/>
                <w:b w:val="0"/>
                <w:i w:val="0"/>
                <w:color w:val="050C2A"/>
                <w:sz w:val="20"/>
                <w:u w:val="none"/>
              </w:rPr>
              <w:t>Module</w:t>
            </w:r>
          </w:p>
        </w:tc>
        <w:tc>
          <w:tcPr>
            <w:tcW w:type="dxa" w:w="1005"/>
            <w:shd w:fill="F5F5F5" w:val="clear"/>
            <w:vAlign w:val="center"/>
          </w:tcPr>
          <w:p>
            <w:pPr>
              <w:spacing w:before="30" w:after="30"/>
            </w:pPr>
            <w:r>
              <w:rPr>
                <w:rFonts w:ascii="DM Sans" w:hAnsi="DM Sans" w:cs="DM Sans"/>
                <w:b w:val="0"/>
                <w:i w:val="0"/>
                <w:color w:val="050C2A"/>
                <w:sz w:val="20"/>
                <w:u w:val="none"/>
              </w:rPr>
              <w:t>10</w:t>
            </w:r>
          </w:p>
        </w:tc>
        <w:tc>
          <w:tcPr>
            <w:tcW w:type="dxa" w:w="4274"/>
            <w:shd w:fill="F5F5F5" w:val="clear"/>
            <w:vAlign w:val="center"/>
          </w:tcPr>
          <w:p>
            <w:pPr>
              <w:spacing w:before="30" w:after="30"/>
            </w:pPr>
            <w:r>
              <w:rPr>
                <w:rFonts w:ascii="DM Sans" w:hAnsi="DM Sans" w:cs="DM Sans"/>
                <w:b w:val="0"/>
                <w:i w:val="0"/>
                <w:color w:val="050C2A"/>
                <w:sz w:val="20"/>
                <w:u w:val="none"/>
              </w:rPr>
              <w:t>Around the midpoint, scope creeps; how to make deliberate decisions: add and deprioritize, or defer to 'future recommendations'; how to say 'that's a great idea and it's outside our timeline' professionally; feeds Actionability dimension and professional communication</w:t>
            </w:r>
          </w:p>
        </w:tc>
      </w:tr>
      <w:tr>
        <w:tc>
          <w:tcPr>
            <w:tcW w:type="dxa" w:w="387"/>
            <w:vAlign w:val="center"/>
          </w:tcPr>
          <w:p>
            <w:pPr>
              <w:spacing w:before="30" w:after="30"/>
            </w:pPr>
            <w:r>
              <w:rPr>
                <w:rFonts w:ascii="DM Sans" w:hAnsi="DM Sans" w:cs="DM Sans"/>
                <w:b w:val="0"/>
                <w:i w:val="0"/>
                <w:color w:val="050C2A"/>
                <w:sz w:val="20"/>
                <w:u w:val="none"/>
              </w:rPr>
              <w:t>9.05</w:t>
            </w:r>
          </w:p>
        </w:tc>
        <w:tc>
          <w:tcPr>
            <w:tcW w:type="dxa" w:w="967"/>
            <w:vAlign w:val="center"/>
          </w:tcPr>
          <w:p>
            <w:pPr>
              <w:spacing w:before="30" w:after="30"/>
            </w:pPr>
            <w:r>
              <w:rPr>
                <w:rFonts w:ascii="DM Sans" w:hAnsi="DM Sans" w:cs="DM Sans"/>
                <w:b w:val="0"/>
                <w:i w:val="0"/>
                <w:color w:val="050C2A"/>
                <w:sz w:val="20"/>
                <w:u w:val="none"/>
              </w:rPr>
              <w:t>Professional Fundamentals</w:t>
            </w:r>
          </w:p>
        </w:tc>
        <w:tc>
          <w:tcPr>
            <w:tcW w:type="dxa" w:w="2215"/>
            <w:vAlign w:val="center"/>
          </w:tcPr>
          <w:p>
            <w:pPr>
              <w:spacing w:before="30" w:after="30"/>
            </w:pPr>
            <w:r>
              <w:rPr>
                <w:rFonts w:ascii="DM Sans" w:hAnsi="DM Sans" w:cs="DM Sans"/>
                <w:b w:val="0"/>
                <w:i w:val="0"/>
                <w:color w:val="050C2A"/>
                <w:sz w:val="20"/>
                <w:u w:val="none"/>
              </w:rPr>
              <w:t>Module: Having the Peer Evaluation Conversation</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10</w:t>
            </w:r>
          </w:p>
        </w:tc>
        <w:tc>
          <w:tcPr>
            <w:tcW w:type="dxa" w:w="4274"/>
            <w:vAlign w:val="center"/>
          </w:tcPr>
          <w:p>
            <w:pPr>
              <w:spacing w:before="30" w:after="30"/>
            </w:pPr>
            <w:r>
              <w:rPr>
                <w:rFonts w:ascii="DM Sans" w:hAnsi="DM Sans" w:cs="DM Sans"/>
                <w:b w:val="0"/>
                <w:i w:val="0"/>
                <w:color w:val="050C2A"/>
                <w:sz w:val="20"/>
                <w:u w:val="none"/>
              </w:rPr>
              <w:t>Students received anonymized results from Peer Evaluation #1 and employer mid-project survey; how to bring up results with your team, how to respond if feedback surprises you, how to move from feedback to concrete behavioral agreements; practical protocol; prepares students for the Team Processing Session (9.06)</w:t>
            </w:r>
          </w:p>
        </w:tc>
      </w:tr>
      <w:tr>
        <w:tc>
          <w:tcPr>
            <w:tcW w:type="dxa" w:w="387"/>
            <w:shd w:fill="F5F5F5" w:val="clear"/>
            <w:vAlign w:val="center"/>
          </w:tcPr>
          <w:p>
            <w:pPr>
              <w:spacing w:before="30" w:after="30"/>
            </w:pPr>
            <w:r>
              <w:rPr>
                <w:rFonts w:ascii="DM Sans" w:hAnsi="DM Sans" w:cs="DM Sans"/>
                <w:b w:val="0"/>
                <w:i w:val="0"/>
                <w:color w:val="050C2A"/>
                <w:sz w:val="20"/>
                <w:u w:val="none"/>
              </w:rPr>
              <w:t>9.06</w:t>
            </w:r>
          </w:p>
        </w:tc>
        <w:tc>
          <w:tcPr>
            <w:tcW w:type="dxa" w:w="967"/>
            <w:shd w:fill="F5F5F5" w:val="clear"/>
            <w:vAlign w:val="center"/>
          </w:tcPr>
          <w:p>
            <w:pPr>
              <w:spacing w:before="30" w:after="30"/>
            </w:pPr>
            <w:r>
              <w:rPr>
                <w:rFonts w:ascii="DM Sans" w:hAnsi="DM Sans" w:cs="DM Sans"/>
                <w:b w:val="0"/>
                <w:i w:val="0"/>
                <w:color w:val="050C2A"/>
                <w:sz w:val="20"/>
                <w:u w:val="none"/>
              </w:rPr>
              <w:t>Reflection &amp; Assessment</w:t>
            </w:r>
          </w:p>
        </w:tc>
        <w:tc>
          <w:tcPr>
            <w:tcW w:type="dxa" w:w="2215"/>
            <w:shd w:fill="F5F5F5" w:val="clear"/>
            <w:vAlign w:val="center"/>
          </w:tcPr>
          <w:p>
            <w:pPr>
              <w:spacing w:before="30" w:after="30"/>
            </w:pPr>
            <w:r>
              <w:rPr>
                <w:rFonts w:ascii="DM Sans" w:hAnsi="DM Sans" w:cs="DM Sans"/>
                <w:b w:val="0"/>
                <w:i w:val="0"/>
                <w:color w:val="050C2A"/>
                <w:sz w:val="20"/>
                <w:u w:val="none"/>
              </w:rPr>
              <w:t>Team Processing Session — discuss peer evaluation results and employer mid-project evaluation, agree on specific behavioral changes</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60</w:t>
            </w:r>
          </w:p>
        </w:tc>
        <w:tc>
          <w:tcPr>
            <w:tcW w:type="dxa" w:w="4274"/>
            <w:shd w:fill="F5F5F5" w:val="clear"/>
            <w:vAlign w:val="center"/>
          </w:tcPr>
          <w:p>
            <w:pPr>
              <w:spacing w:before="30" w:after="30"/>
            </w:pPr>
            <w:r>
              <w:rPr>
                <w:rFonts w:ascii="DM Sans" w:hAnsi="DM Sans" w:cs="DM Sans"/>
                <w:b w:val="0"/>
                <w:i w:val="0"/>
                <w:color w:val="050C2A"/>
                <w:sz w:val="20"/>
                <w:u w:val="none"/>
              </w:rPr>
              <w:t>Structured activity; teams process three feedback sources: anonymized peer eval qualitative feedback (Continue/Start/Adjust), aggregated BARS averages, and employer mid-project survey results; produce a brief written agreement documenting specific behavioral changes; agreement appended to Draft Deliverable submission; creates reference point for Peer Evaluation #2 in Week 15</w:t>
            </w:r>
          </w:p>
        </w:tc>
      </w:tr>
      <w:tr>
        <w:tc>
          <w:tcPr>
            <w:tcW w:type="dxa" w:w="387"/>
            <w:vAlign w:val="center"/>
          </w:tcPr>
          <w:p>
            <w:pPr>
              <w:spacing w:before="30" w:after="30"/>
            </w:pPr>
            <w:r>
              <w:rPr>
                <w:rFonts w:ascii="DM Sans" w:hAnsi="DM Sans" w:cs="DM Sans"/>
                <w:b w:val="0"/>
                <w:i w:val="0"/>
                <w:color w:val="050C2A"/>
                <w:sz w:val="20"/>
                <w:u w:val="none"/>
              </w:rPr>
              <w:t>9.07</w:t>
            </w:r>
          </w:p>
        </w:tc>
        <w:tc>
          <w:tcPr>
            <w:tcW w:type="dxa" w:w="967"/>
            <w:vAlign w:val="center"/>
          </w:tcPr>
          <w:p>
            <w:pPr>
              <w:spacing w:before="30" w:after="30"/>
            </w:pPr>
            <w:r>
              <w:rPr>
                <w:rFonts w:ascii="DM Sans" w:hAnsi="DM Sans" w:cs="DM Sans"/>
                <w:b w:val="0"/>
                <w:i w:val="0"/>
                <w:color w:val="050C2A"/>
                <w:sz w:val="20"/>
                <w:u w:val="none"/>
              </w:rPr>
              <w:t>Project Work</w:t>
            </w:r>
          </w:p>
        </w:tc>
        <w:tc>
          <w:tcPr>
            <w:tcW w:type="dxa" w:w="2215"/>
            <w:vAlign w:val="center"/>
          </w:tcPr>
          <w:p>
            <w:pPr>
              <w:spacing w:before="30" w:after="30"/>
            </w:pPr>
            <w:r>
              <w:rPr>
                <w:rFonts w:ascii="DM Sans" w:hAnsi="DM Sans" w:cs="DM Sans"/>
                <w:b w:val="0"/>
                <w:i w:val="0"/>
                <w:color w:val="050C2A"/>
                <w:sz w:val="20"/>
                <w:u w:val="none"/>
              </w:rPr>
              <w:t>Internal review gate — team reads assembled draft as a complete document before employer sees it</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60</w:t>
            </w:r>
          </w:p>
        </w:tc>
        <w:tc>
          <w:tcPr>
            <w:tcW w:type="dxa" w:w="4274"/>
            <w:vAlign w:val="center"/>
          </w:tcPr>
          <w:p>
            <w:pPr>
              <w:spacing w:before="30" w:after="30"/>
            </w:pPr>
            <w:r>
              <w:rPr>
                <w:rFonts w:ascii="DM Sans" w:hAnsi="DM Sans" w:cs="DM Sans"/>
                <w:b w:val="0"/>
                <w:i w:val="0"/>
                <w:color w:val="050C2A"/>
                <w:sz w:val="20"/>
                <w:u w:val="none"/>
              </w:rPr>
              <w:t>First instance of internal review gate (recurs before each subsequent checkpoint/graded submission); teams read the full draft end-to-end, not just their own sections; identify where sections don't connect, where arguments are weak; applies 9.02 module content directly; professional quality practice</w:t>
            </w:r>
          </w:p>
        </w:tc>
      </w:tr>
      <w:tr>
        <w:tc>
          <w:tcPr>
            <w:tcW w:type="dxa" w:w="387"/>
            <w:shd w:fill="F5F5F5" w:val="clear"/>
            <w:vAlign w:val="center"/>
          </w:tcPr>
          <w:p>
            <w:pPr>
              <w:spacing w:before="30" w:after="30"/>
            </w:pPr>
            <w:r>
              <w:rPr>
                <w:rFonts w:ascii="DM Sans" w:hAnsi="DM Sans" w:cs="DM Sans"/>
                <w:b w:val="0"/>
                <w:i w:val="0"/>
                <w:color w:val="050C2A"/>
                <w:sz w:val="20"/>
                <w:u w:val="none"/>
              </w:rPr>
              <w:t>9.08</w:t>
            </w:r>
          </w:p>
        </w:tc>
        <w:tc>
          <w:tcPr>
            <w:tcW w:type="dxa" w:w="967"/>
            <w:shd w:fill="F5F5F5" w:val="clear"/>
            <w:vAlign w:val="center"/>
          </w:tcPr>
          <w:p>
            <w:pPr>
              <w:spacing w:before="30" w:after="30"/>
            </w:pPr>
            <w:r>
              <w:rPr>
                <w:rFonts w:ascii="DM Sans" w:hAnsi="DM Sans" w:cs="DM Sans"/>
                <w:b w:val="0"/>
                <w:i w:val="0"/>
                <w:color w:val="050C2A"/>
                <w:sz w:val="20"/>
                <w:u w:val="none"/>
              </w:rPr>
              <w:t>Project Work</w:t>
            </w:r>
          </w:p>
        </w:tc>
        <w:tc>
          <w:tcPr>
            <w:tcW w:type="dxa" w:w="2215"/>
            <w:shd w:fill="F5F5F5" w:val="clear"/>
            <w:vAlign w:val="center"/>
          </w:tcPr>
          <w:p>
            <w:pPr>
              <w:spacing w:before="30" w:after="30"/>
            </w:pPr>
            <w:r>
              <w:rPr>
                <w:rFonts w:ascii="DM Sans" w:hAnsi="DM Sans" w:cs="DM Sans"/>
                <w:b w:val="0"/>
                <w:i w:val="0"/>
                <w:color w:val="050C2A"/>
                <w:sz w:val="20"/>
                <w:u w:val="none"/>
              </w:rPr>
              <w:t>Team prep session — develop questions and sticking points for Check-In #2, plan agenda</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45</w:t>
            </w:r>
          </w:p>
        </w:tc>
        <w:tc>
          <w:tcPr>
            <w:tcW w:type="dxa" w:w="4274"/>
            <w:shd w:fill="F5F5F5" w:val="clear"/>
            <w:vAlign w:val="center"/>
          </w:tcPr>
          <w:p>
            <w:pPr>
              <w:spacing w:before="30" w:after="30"/>
            </w:pPr>
            <w:r>
              <w:rPr>
                <w:rFonts w:ascii="DM Sans" w:hAnsi="DM Sans" w:cs="DM Sans"/>
                <w:b w:val="0"/>
                <w:i w:val="0"/>
                <w:color w:val="050C2A"/>
                <w:sz w:val="20"/>
                <w:u w:val="none"/>
              </w:rPr>
              <w:t>Internal preparation for Check-In #2; no presentation rehearsal needed — same questions-based format as Week 7; teams identify specific questions informed by production experience, peer evaluation feedback, and internal review findings; prepare brief status update; by Week 9, teams should be more practiced at preparing productive agendas for employer meetings</w:t>
            </w:r>
          </w:p>
        </w:tc>
      </w:tr>
      <w:tr>
        <w:tc>
          <w:tcPr>
            <w:tcW w:type="dxa" w:w="387"/>
            <w:vAlign w:val="center"/>
          </w:tcPr>
          <w:p>
            <w:pPr>
              <w:spacing w:before="30" w:after="30"/>
            </w:pPr>
            <w:r>
              <w:rPr>
                <w:rFonts w:ascii="DM Sans" w:hAnsi="DM Sans" w:cs="DM Sans"/>
                <w:b w:val="0"/>
                <w:i w:val="0"/>
                <w:color w:val="050C2A"/>
                <w:sz w:val="20"/>
                <w:u w:val="none"/>
              </w:rPr>
              <w:t>9.09</w:t>
            </w:r>
          </w:p>
        </w:tc>
        <w:tc>
          <w:tcPr>
            <w:tcW w:type="dxa" w:w="967"/>
            <w:vAlign w:val="center"/>
          </w:tcPr>
          <w:p>
            <w:pPr>
              <w:spacing w:before="30" w:after="30"/>
            </w:pPr>
            <w:r>
              <w:rPr>
                <w:rFonts w:ascii="DM Sans" w:hAnsi="DM Sans" w:cs="DM Sans"/>
                <w:b w:val="0"/>
                <w:i w:val="0"/>
                <w:color w:val="050C2A"/>
                <w:sz w:val="20"/>
                <w:u w:val="none"/>
              </w:rPr>
              <w:t>Employer Engagement</w:t>
            </w:r>
          </w:p>
        </w:tc>
        <w:tc>
          <w:tcPr>
            <w:tcW w:type="dxa" w:w="2215"/>
            <w:vAlign w:val="center"/>
          </w:tcPr>
          <w:p>
            <w:pPr>
              <w:spacing w:before="30" w:after="30"/>
            </w:pPr>
            <w:r>
              <w:rPr>
                <w:rFonts w:ascii="DM Sans" w:hAnsi="DM Sans" w:cs="DM Sans"/>
                <w:b w:val="0"/>
                <w:i w:val="0"/>
                <w:color w:val="050C2A"/>
                <w:sz w:val="20"/>
                <w:u w:val="none"/>
              </w:rPr>
              <w:t>Check-In #2 — bring questions and sticking points, employer as resource</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60</w:t>
            </w:r>
          </w:p>
        </w:tc>
        <w:tc>
          <w:tcPr>
            <w:tcW w:type="dxa" w:w="4274"/>
            <w:vAlign w:val="center"/>
          </w:tcPr>
          <w:p>
            <w:pPr>
              <w:spacing w:before="30" w:after="30"/>
            </w:pPr>
            <w:r>
              <w:rPr>
                <w:rFonts w:ascii="DM Sans" w:hAnsi="DM Sans" w:cs="DM Sans"/>
                <w:b w:val="0"/>
                <w:i w:val="0"/>
                <w:color w:val="050C2A"/>
                <w:sz w:val="20"/>
                <w:u w:val="none"/>
              </w:rPr>
              <w:t>60-min hold (may end early). No formal presentation — same questions-based format as Check-In #1 (Week 7). Brief status update (5 min), student questions covering production challenges, scope decisions, and quality concerns (35–40 min), employer observations (10 min), preview of what the near-final package will include (5 min). Students have now been through a peer evaluation cycle and draft deliverable process, so questions may be more refined than Week 7.</w:t>
            </w:r>
          </w:p>
        </w:tc>
      </w:tr>
      <w:tr>
        <w:tc>
          <w:tcPr>
            <w:tcW w:type="dxa" w:w="387"/>
            <w:shd w:fill="F5F5F5" w:val="clear"/>
            <w:vAlign w:val="center"/>
          </w:tcPr>
          <w:p>
            <w:pPr>
              <w:spacing w:before="30" w:after="30"/>
            </w:pPr>
            <w:r>
              <w:rPr>
                <w:rFonts w:ascii="DM Sans" w:hAnsi="DM Sans" w:cs="DM Sans"/>
                <w:b w:val="0"/>
                <w:i w:val="0"/>
                <w:color w:val="050C2A"/>
                <w:sz w:val="20"/>
                <w:u w:val="none"/>
              </w:rPr>
              <w:t>9.10</w:t>
            </w:r>
          </w:p>
        </w:tc>
        <w:tc>
          <w:tcPr>
            <w:tcW w:type="dxa" w:w="967"/>
            <w:shd w:fill="F5F5F5" w:val="clear"/>
            <w:vAlign w:val="center"/>
          </w:tcPr>
          <w:p>
            <w:pPr>
              <w:spacing w:before="30" w:after="30"/>
            </w:pPr>
            <w:r>
              <w:rPr>
                <w:rFonts w:ascii="DM Sans" w:hAnsi="DM Sans" w:cs="DM Sans"/>
                <w:b w:val="0"/>
                <w:i w:val="0"/>
                <w:color w:val="050C2A"/>
                <w:sz w:val="20"/>
                <w:u w:val="none"/>
              </w:rPr>
              <w:t>Project Work</w:t>
            </w:r>
          </w:p>
        </w:tc>
        <w:tc>
          <w:tcPr>
            <w:tcW w:type="dxa" w:w="2215"/>
            <w:shd w:fill="F5F5F5" w:val="clear"/>
            <w:vAlign w:val="center"/>
          </w:tcPr>
          <w:p>
            <w:pPr>
              <w:spacing w:before="30" w:after="30"/>
            </w:pPr>
            <w:r>
              <w:rPr>
                <w:rFonts w:ascii="DM Sans" w:hAnsi="DM Sans" w:cs="DM Sans"/>
                <w:b w:val="0"/>
                <w:i w:val="0"/>
                <w:color w:val="050C2A"/>
                <w:sz w:val="20"/>
                <w:u w:val="none"/>
              </w:rPr>
              <w:t>Post-meeting debrief — capture answers and decisions from Check-In #2, identify action items</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30</w:t>
            </w:r>
          </w:p>
        </w:tc>
        <w:tc>
          <w:tcPr>
            <w:tcW w:type="dxa" w:w="4274"/>
            <w:shd w:fill="F5F5F5" w:val="clear"/>
            <w:vAlign w:val="center"/>
          </w:tcPr>
          <w:p>
            <w:pPr>
              <w:spacing w:before="30" w:after="30"/>
            </w:pPr>
            <w:r>
              <w:rPr>
                <w:rFonts w:ascii="DM Sans" w:hAnsi="DM Sans" w:cs="DM Sans"/>
                <w:b w:val="0"/>
                <w:i w:val="0"/>
                <w:color w:val="050C2A"/>
                <w:sz w:val="20"/>
                <w:u w:val="none"/>
              </w:rPr>
              <w:t>Immediate team debrief while conversation is fresh; parallels Week 7 debrief and Week 5 debrief pattern; captures employer answers to questions, decisions made, and any new information; translates verbal input into written record and concrete next steps; seeds Change Log habit (formal intro in Week 10)</w:t>
            </w:r>
          </w:p>
        </w:tc>
      </w:tr>
      <w:tr>
        <w:tc>
          <w:tcPr>
            <w:tcW w:type="dxa" w:w="387"/>
            <w:vAlign w:val="center"/>
          </w:tcPr>
          <w:p>
            <w:pPr>
              <w:spacing w:before="30" w:after="30"/>
            </w:pPr>
            <w:r>
              <w:rPr>
                <w:rFonts w:ascii="DM Sans" w:hAnsi="DM Sans" w:cs="DM Sans"/>
                <w:b w:val="0"/>
                <w:i w:val="0"/>
                <w:color w:val="050C2A"/>
                <w:sz w:val="20"/>
                <w:u w:val="none"/>
              </w:rPr>
              <w:t>9.11</w:t>
            </w:r>
          </w:p>
        </w:tc>
        <w:tc>
          <w:tcPr>
            <w:tcW w:type="dxa" w:w="967"/>
            <w:vAlign w:val="center"/>
          </w:tcPr>
          <w:p>
            <w:pPr>
              <w:spacing w:before="30" w:after="30"/>
            </w:pPr>
            <w:r>
              <w:rPr>
                <w:rFonts w:ascii="DM Sans" w:hAnsi="DM Sans" w:cs="DM Sans"/>
                <w:b w:val="0"/>
                <w:i w:val="0"/>
                <w:color w:val="050C2A"/>
                <w:sz w:val="20"/>
                <w:u w:val="none"/>
              </w:rPr>
              <w:t>Reflection &amp; Assessment</w:t>
            </w:r>
          </w:p>
        </w:tc>
        <w:tc>
          <w:tcPr>
            <w:tcW w:type="dxa" w:w="2215"/>
            <w:vAlign w:val="center"/>
          </w:tcPr>
          <w:p>
            <w:pPr>
              <w:spacing w:before="30" w:after="30"/>
            </w:pPr>
            <w:r>
              <w:rPr>
                <w:rFonts w:ascii="DM Sans" w:hAnsi="DM Sans" w:cs="DM Sans"/>
                <w:b w:val="0"/>
                <w:i w:val="0"/>
                <w:color w:val="050C2A"/>
                <w:sz w:val="20"/>
                <w:u w:val="none"/>
              </w:rPr>
              <w:t>Finalize and submit Draft Deliverable checkpoint (including team processing agreement as appendix)</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20</w:t>
            </w:r>
          </w:p>
        </w:tc>
        <w:tc>
          <w:tcPr>
            <w:tcW w:type="dxa" w:w="4274"/>
            <w:vAlign w:val="center"/>
          </w:tcPr>
          <w:p>
            <w:pPr>
              <w:spacing w:before="30" w:after="30"/>
            </w:pPr>
            <w:r>
              <w:rPr>
                <w:rFonts w:ascii="DM Sans" w:hAnsi="DM Sans" w:cs="DM Sans"/>
                <w:b w:val="0"/>
                <w:i w:val="0"/>
                <w:color w:val="050C2A"/>
                <w:sz w:val="20"/>
                <w:u w:val="none"/>
              </w:rPr>
              <w:t>Team submits current draft with appended team processing agreement from 9.06; completion-based checkpoint; draft shows substantive progress and represents genuine work product, not an outline or placeholder; AI disclosure required</w:t>
            </w:r>
          </w:p>
        </w:tc>
      </w:tr>
      <w:tr>
        <w:tc>
          <w:tcPr>
            <w:tcW w:type="dxa" w:w="387"/>
            <w:shd w:fill="F5F5F5" w:val="clear"/>
            <w:vAlign w:val="center"/>
          </w:tcPr>
          <w:p>
            <w:pPr>
              <w:spacing w:before="30" w:after="30"/>
            </w:pPr>
            <w:r>
              <w:rPr>
                <w:rFonts w:ascii="DM Sans" w:hAnsi="DM Sans" w:cs="DM Sans"/>
                <w:b w:val="0"/>
                <w:i w:val="0"/>
                <w:color w:val="050C2A"/>
                <w:sz w:val="20"/>
                <w:u w:val="none"/>
              </w:rPr>
              <w:t>9.12</w:t>
            </w:r>
          </w:p>
        </w:tc>
        <w:tc>
          <w:tcPr>
            <w:tcW w:type="dxa" w:w="967"/>
            <w:shd w:fill="F5F5F5" w:val="clear"/>
            <w:vAlign w:val="center"/>
          </w:tcPr>
          <w:p>
            <w:pPr>
              <w:spacing w:before="30" w:after="30"/>
            </w:pPr>
            <w:r>
              <w:rPr>
                <w:rFonts w:ascii="DM Sans" w:hAnsi="DM Sans" w:cs="DM Sans"/>
                <w:b w:val="0"/>
                <w:i w:val="0"/>
                <w:color w:val="050C2A"/>
                <w:sz w:val="20"/>
                <w:u w:val="none"/>
              </w:rPr>
              <w:t>Project Work</w:t>
            </w:r>
          </w:p>
        </w:tc>
        <w:tc>
          <w:tcPr>
            <w:tcW w:type="dxa" w:w="2215"/>
            <w:shd w:fill="F5F5F5" w:val="clear"/>
            <w:vAlign w:val="center"/>
          </w:tcPr>
          <w:p>
            <w:pPr>
              <w:spacing w:before="30" w:after="30"/>
            </w:pPr>
            <w:r>
              <w:rPr>
                <w:rFonts w:ascii="DM Sans" w:hAnsi="DM Sans" w:cs="DM Sans"/>
                <w:b w:val="0"/>
                <w:i w:val="0"/>
                <w:color w:val="050C2A"/>
                <w:sz w:val="20"/>
                <w:u w:val="none"/>
              </w:rPr>
              <w:t>Continue project production — revisions, integration, and section development</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90</w:t>
            </w:r>
          </w:p>
        </w:tc>
        <w:tc>
          <w:tcPr>
            <w:tcW w:type="dxa" w:w="4274"/>
            <w:shd w:fill="F5F5F5" w:val="clear"/>
            <w:vAlign w:val="center"/>
          </w:tcPr>
          <w:p>
            <w:pPr>
              <w:spacing w:before="30" w:after="30"/>
            </w:pPr>
            <w:r>
              <w:rPr>
                <w:rFonts w:ascii="DM Sans" w:hAnsi="DM Sans" w:cs="DM Sans"/>
                <w:b w:val="0"/>
                <w:i w:val="0"/>
                <w:color w:val="050C2A"/>
                <w:sz w:val="20"/>
                <w:u w:val="none"/>
              </w:rPr>
              <w:t>Core production block; students apply PR#2 feedback where possible, continue integrating sections, address gaps identified in internal review gate (9.07); smaller than Week 8's production block (210 min) due to employer meeting and team processing consuming significant time</w:t>
            </w:r>
          </w:p>
        </w:tc>
      </w:tr>
      <w:tr>
        <w:tc>
          <w:tcPr>
            <w:tcW w:type="dxa" w:w="387"/>
            <w:vAlign w:val="center"/>
          </w:tcPr>
          <w:p>
            <w:pPr>
              <w:spacing w:before="30" w:after="30"/>
            </w:pPr>
            <w:r>
              <w:rPr>
                <w:rFonts w:ascii="DM Sans" w:hAnsi="DM Sans" w:cs="DM Sans"/>
                <w:b w:val="0"/>
                <w:i w:val="0"/>
                <w:color w:val="050C2A"/>
                <w:sz w:val="20"/>
                <w:u w:val="none"/>
              </w:rPr>
              <w:t>9.13</w:t>
            </w:r>
          </w:p>
        </w:tc>
        <w:tc>
          <w:tcPr>
            <w:tcW w:type="dxa" w:w="967"/>
            <w:vAlign w:val="center"/>
          </w:tcPr>
          <w:p>
            <w:pPr>
              <w:spacing w:before="30" w:after="30"/>
            </w:pPr>
            <w:r>
              <w:rPr>
                <w:rFonts w:ascii="DM Sans" w:hAnsi="DM Sans" w:cs="DM Sans"/>
                <w:b w:val="0"/>
                <w:i w:val="0"/>
                <w:color w:val="050C2A"/>
                <w:sz w:val="20"/>
                <w:u w:val="none"/>
              </w:rPr>
              <w:t>Project Work</w:t>
            </w:r>
          </w:p>
        </w:tc>
        <w:tc>
          <w:tcPr>
            <w:tcW w:type="dxa" w:w="2215"/>
            <w:vAlign w:val="center"/>
          </w:tcPr>
          <w:p>
            <w:pPr>
              <w:spacing w:before="30" w:after="30"/>
            </w:pPr>
            <w:r>
              <w:rPr>
                <w:rFonts w:ascii="DM Sans" w:hAnsi="DM Sans" w:cs="DM Sans"/>
                <w:b w:val="0"/>
                <w:i w:val="0"/>
                <w:color w:val="050C2A"/>
                <w:sz w:val="20"/>
                <w:u w:val="none"/>
              </w:rPr>
              <w:t>Async team communication across the week</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45</w:t>
            </w:r>
          </w:p>
        </w:tc>
        <w:tc>
          <w:tcPr>
            <w:tcW w:type="dxa" w:w="4274"/>
            <w:vAlign w:val="center"/>
          </w:tcPr>
          <w:p>
            <w:pPr>
              <w:spacing w:before="30" w:after="30"/>
            </w:pPr>
            <w:r>
              <w:rPr>
                <w:rFonts w:ascii="DM Sans" w:hAnsi="DM Sans" w:cs="DM Sans"/>
                <w:b w:val="0"/>
                <w:i w:val="0"/>
                <w:color w:val="050C2A"/>
                <w:sz w:val="20"/>
                <w:u w:val="none"/>
              </w:rPr>
              <w:t>Coordination, logistics, check-ins outside structured activities; includes standing prompts: Weekly Progress Check-In (continues from Week 7) and Status Update to Employer (brief between-reviews update if appropriate); contribution record relevant to Professional Engagement</w:t>
            </w:r>
          </w:p>
        </w:tc>
      </w:tr>
      <w:tr>
        <w:tc>
          <w:tcPr>
            <w:tcW w:type="dxa" w:w="387"/>
            <w:shd w:fill="F5F5F5" w:val="clear"/>
            <w:vAlign w:val="center"/>
          </w:tcPr>
          <w:p>
            <w:pPr>
              <w:spacing w:before="30" w:after="30"/>
            </w:pPr>
            <w:r>
              <w:rPr>
                <w:rFonts w:ascii="DM Sans" w:hAnsi="DM Sans" w:cs="DM Sans"/>
                <w:b w:val="0"/>
                <w:i w:val="0"/>
                <w:color w:val="050C2A"/>
                <w:sz w:val="20"/>
                <w:u w:val="none"/>
              </w:rPr>
              <w:t>9.14</w:t>
            </w:r>
          </w:p>
        </w:tc>
        <w:tc>
          <w:tcPr>
            <w:tcW w:type="dxa" w:w="96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215"/>
            <w:shd w:fill="F5F5F5" w:val="clear"/>
            <w:vAlign w:val="center"/>
          </w:tcPr>
          <w:p>
            <w:pPr>
              <w:spacing w:before="30" w:after="30"/>
            </w:pPr>
            <w:r>
              <w:rPr>
                <w:rFonts w:ascii="DM Sans" w:hAnsi="DM Sans" w:cs="DM Sans"/>
                <w:b w:val="0"/>
                <w:i w:val="0"/>
                <w:color w:val="050C2A"/>
                <w:sz w:val="20"/>
                <w:u w:val="none"/>
              </w:rPr>
              <w:t>Module: DEAL Reflection — Going Deeper</w:t>
            </w:r>
          </w:p>
        </w:tc>
        <w:tc>
          <w:tcPr>
            <w:tcW w:type="dxa" w:w="512"/>
            <w:shd w:fill="F5F5F5" w:val="clear"/>
            <w:vAlign w:val="center"/>
          </w:tcPr>
          <w:p>
            <w:pPr>
              <w:spacing w:before="30" w:after="30"/>
            </w:pPr>
            <w:r>
              <w:rPr>
                <w:rFonts w:ascii="DM Sans" w:hAnsi="DM Sans" w:cs="DM Sans"/>
                <w:b w:val="0"/>
                <w:i w:val="0"/>
                <w:color w:val="050C2A"/>
                <w:sz w:val="20"/>
                <w:u w:val="none"/>
              </w:rPr>
              <w:t>Module</w:t>
            </w:r>
          </w:p>
        </w:tc>
        <w:tc>
          <w:tcPr>
            <w:tcW w:type="dxa" w:w="1005"/>
            <w:shd w:fill="F5F5F5" w:val="clear"/>
            <w:vAlign w:val="center"/>
          </w:tcPr>
          <w:p>
            <w:pPr>
              <w:spacing w:before="30" w:after="30"/>
            </w:pPr>
            <w:r>
              <w:rPr>
                <w:rFonts w:ascii="DM Sans" w:hAnsi="DM Sans" w:cs="DM Sans"/>
                <w:b w:val="0"/>
                <w:i w:val="0"/>
                <w:color w:val="050C2A"/>
                <w:sz w:val="20"/>
                <w:u w:val="none"/>
              </w:rPr>
              <w:t>20</w:t>
            </w:r>
          </w:p>
        </w:tc>
        <w:tc>
          <w:tcPr>
            <w:tcW w:type="dxa" w:w="4274"/>
            <w:shd w:fill="F5F5F5" w:val="clear"/>
            <w:vAlign w:val="center"/>
          </w:tcPr>
          <w:p>
            <w:pPr>
              <w:spacing w:before="30" w:after="30"/>
            </w:pPr>
            <w:r>
              <w:rPr>
                <w:rFonts w:ascii="DM Sans" w:hAnsi="DM Sans" w:cs="DM Sans"/>
                <w:b w:val="0"/>
                <w:i w:val="0"/>
                <w:color w:val="050C2A"/>
                <w:sz w:val="20"/>
                <w:u w:val="none"/>
              </w:rPr>
              <w:t>Third time students use DEAL (after Weeks 3 and 6); the framework isn't new — the challenge is depth; moving beyond describe what happened to examining assumptions, patterns, and professional implications; concrete techniques for strengthening the Examine stage; just-in-time scaffolding before Reflection #3 due this week</w:t>
            </w:r>
          </w:p>
        </w:tc>
      </w:tr>
      <w:tr>
        <w:tc>
          <w:tcPr>
            <w:tcW w:type="dxa" w:w="387"/>
            <w:vAlign w:val="center"/>
          </w:tcPr>
          <w:p>
            <w:pPr>
              <w:spacing w:before="30" w:after="30"/>
            </w:pPr>
            <w:r>
              <w:rPr>
                <w:rFonts w:ascii="DM Sans" w:hAnsi="DM Sans" w:cs="DM Sans"/>
                <w:b w:val="0"/>
                <w:i w:val="0"/>
                <w:color w:val="050C2A"/>
                <w:sz w:val="20"/>
                <w:u w:val="none"/>
              </w:rPr>
              <w:t>9.15</w:t>
            </w:r>
          </w:p>
        </w:tc>
        <w:tc>
          <w:tcPr>
            <w:tcW w:type="dxa" w:w="967"/>
            <w:vAlign w:val="center"/>
          </w:tcPr>
          <w:p>
            <w:pPr>
              <w:spacing w:before="30" w:after="30"/>
            </w:pPr>
            <w:r>
              <w:rPr>
                <w:rFonts w:ascii="DM Sans" w:hAnsi="DM Sans" w:cs="DM Sans"/>
                <w:b w:val="0"/>
                <w:i w:val="0"/>
                <w:color w:val="050C2A"/>
                <w:sz w:val="20"/>
                <w:u w:val="none"/>
              </w:rPr>
              <w:t>Reflection &amp; Assessment</w:t>
            </w:r>
          </w:p>
        </w:tc>
        <w:tc>
          <w:tcPr>
            <w:tcW w:type="dxa" w:w="2215"/>
            <w:vAlign w:val="center"/>
          </w:tcPr>
          <w:p>
            <w:pPr>
              <w:spacing w:before="30" w:after="30"/>
            </w:pPr>
            <w:r>
              <w:rPr>
                <w:rFonts w:ascii="DM Sans" w:hAnsi="DM Sans" w:cs="DM Sans"/>
                <w:b w:val="0"/>
                <w:i w:val="0"/>
                <w:color w:val="050C2A"/>
                <w:sz w:val="20"/>
                <w:u w:val="none"/>
              </w:rPr>
              <w:t>Reflection #3 — draft and submit (DEAL model)</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90</w:t>
            </w:r>
          </w:p>
        </w:tc>
        <w:tc>
          <w:tcPr>
            <w:tcW w:type="dxa" w:w="4274"/>
            <w:vAlign w:val="center"/>
          </w:tcPr>
          <w:p>
            <w:pPr>
              <w:spacing w:before="30" w:after="30"/>
            </w:pPr>
            <w:r>
              <w:rPr>
                <w:rFonts w:ascii="DM Sans" w:hAnsi="DM Sans" w:cs="DM Sans"/>
                <w:b w:val="0"/>
                <w:i w:val="0"/>
                <w:color w:val="050C2A"/>
                <w:sz w:val="20"/>
                <w:u w:val="none"/>
              </w:rPr>
              <w:t>Third DEAL reflection; draws from Weeks 7-9 (most intensive feedback and production period); focus: a specific moment involving feedback or collaboration; 90 min reflects higher depth expectation; AI-as-Socratic-partner prompt embedded in assignment (reinforced from Week 3); submitted via Riipen; AI-assisted drafting off-limits for reflections</w:t>
            </w:r>
          </w:p>
        </w:tc>
      </w:tr>
      <w:tr>
        <w:tc>
          <w:tcPr>
            <w:tcW w:type="dxa" w:w="387"/>
            <w:shd w:fill="F5F5F5" w:val="clear"/>
            <w:vAlign w:val="center"/>
          </w:tcPr>
          <w:p>
            <w:pPr>
              <w:spacing w:before="30" w:after="30"/>
            </w:pPr>
          </w:p>
        </w:tc>
        <w:tc>
          <w:tcPr>
            <w:tcW w:type="dxa" w:w="967"/>
            <w:shd w:fill="F5F5F5" w:val="clear"/>
            <w:vAlign w:val="center"/>
          </w:tcPr>
          <w:p>
            <w:pPr>
              <w:spacing w:before="30" w:after="30"/>
            </w:pPr>
          </w:p>
        </w:tc>
        <w:tc>
          <w:tcPr>
            <w:tcW w:type="dxa" w:w="2215"/>
            <w:shd w:fill="F5F5F5" w:val="clear"/>
            <w:vAlign w:val="center"/>
          </w:tcPr>
          <w:p>
            <w:pPr>
              <w:spacing w:before="30" w:after="30"/>
            </w:pPr>
            <w:r>
              <w:rPr>
                <w:rFonts w:ascii="DM Sans" w:hAnsi="DM Sans" w:cs="DM Sans"/>
                <w:b/>
                <w:i w:val="0"/>
                <w:color w:val="050C2A"/>
                <w:sz w:val="20"/>
                <w:u w:val="none"/>
              </w:rPr>
              <w:t>TOTAL</w:t>
            </w:r>
          </w:p>
        </w:tc>
        <w:tc>
          <w:tcPr>
            <w:tcW w:type="dxa" w:w="512"/>
            <w:shd w:fill="F5F5F5" w:val="clear"/>
            <w:vAlign w:val="center"/>
          </w:tcPr>
          <w:p>
            <w:pPr>
              <w:spacing w:before="30" w:after="30"/>
            </w:pPr>
          </w:p>
        </w:tc>
        <w:tc>
          <w:tcPr>
            <w:tcW w:type="dxa" w:w="1005"/>
            <w:shd w:fill="F5F5F5" w:val="clear"/>
            <w:vAlign w:val="center"/>
          </w:tcPr>
          <w:p>
            <w:pPr>
              <w:spacing w:before="30" w:after="30"/>
            </w:pPr>
            <w:r>
              <w:rPr>
                <w:rFonts w:ascii="DM Sans" w:hAnsi="DM Sans" w:cs="DM Sans"/>
                <w:b/>
                <w:i w:val="0"/>
                <w:color w:val="050C2A"/>
                <w:sz w:val="20"/>
                <w:u w:val="none"/>
              </w:rPr>
              <w:t>575 min (~9 hrs 35 min)</w:t>
            </w:r>
          </w:p>
        </w:tc>
        <w:tc>
          <w:tcPr>
            <w:tcW w:type="dxa" w:w="4274"/>
            <w:shd w:fill="F5F5F5" w:val="clear"/>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354"/>
            <w:shd w:fill="FF7C0A" w:val="clear"/>
            <w:vAlign w:val="center"/>
          </w:tcPr>
          <w:p>
            <w:pPr>
              <w:jc w:val="left"/>
              <w:spacing w:before="40" w:after="40"/>
            </w:pPr>
            <w:r>
              <w:rPr>
                <w:rFonts w:ascii="DM Sans" w:hAnsi="DM Sans" w:cs="DM Sans"/>
                <w:b/>
                <w:i w:val="0"/>
                <w:color w:val="FFFFFF"/>
                <w:sz w:val="20"/>
                <w:u w:val="none"/>
              </w:rPr>
              <w:t>Competency Area</w:t>
            </w:r>
          </w:p>
        </w:tc>
        <w:tc>
          <w:tcPr>
            <w:tcW w:type="dxa" w:w="1354"/>
            <w:shd w:fill="FF7C0A" w:val="clear"/>
            <w:vAlign w:val="center"/>
          </w:tcPr>
          <w:p>
            <w:pPr>
              <w:jc w:val="left"/>
              <w:spacing w:before="40" w:after="40"/>
            </w:pPr>
            <w:r>
              <w:rPr>
                <w:rFonts w:ascii="DM Sans" w:hAnsi="DM Sans" w:cs="DM Sans"/>
                <w:b/>
                <w:i w:val="0"/>
                <w:color w:val="FFFFFF"/>
                <w:sz w:val="20"/>
                <w:u w:val="none"/>
              </w:rPr>
              <w:t>Subskill</w:t>
            </w:r>
          </w:p>
        </w:tc>
        <w:tc>
          <w:tcPr>
            <w:tcW w:type="dxa" w:w="6652"/>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354"/>
            <w:vAlign w:val="center"/>
          </w:tcPr>
          <w:p>
            <w:pPr>
              <w:spacing w:before="30" w:after="30"/>
            </w:pPr>
            <w:r>
              <w:rPr>
                <w:rFonts w:ascii="DM Sans" w:hAnsi="DM Sans" w:cs="DM Sans"/>
                <w:b/>
                <w:i w:val="0"/>
                <w:color w:val="050C2A"/>
                <w:sz w:val="20"/>
                <w:u w:val="none"/>
              </w:rPr>
              <w:t>Communication</w:t>
            </w:r>
          </w:p>
        </w:tc>
        <w:tc>
          <w:tcPr>
            <w:tcW w:type="dxa" w:w="1354"/>
            <w:vAlign w:val="center"/>
          </w:tcPr>
          <w:p>
            <w:pPr>
              <w:spacing w:before="30" w:after="30"/>
            </w:pPr>
            <w:r>
              <w:rPr>
                <w:rFonts w:ascii="DM Sans" w:hAnsi="DM Sans" w:cs="DM Sans"/>
                <w:b w:val="0"/>
                <w:i w:val="0"/>
                <w:color w:val="050C2A"/>
                <w:sz w:val="20"/>
                <w:u w:val="none"/>
              </w:rPr>
              <w:t>Written Clarity</w:t>
            </w:r>
          </w:p>
        </w:tc>
        <w:tc>
          <w:tcPr>
            <w:tcW w:type="dxa" w:w="6652"/>
            <w:vAlign w:val="center"/>
          </w:tcPr>
          <w:p>
            <w:pPr>
              <w:spacing w:before="30" w:after="30"/>
            </w:pPr>
            <w:r>
              <w:rPr>
                <w:rFonts w:ascii="DM Sans" w:hAnsi="DM Sans" w:cs="DM Sans"/>
                <w:b w:val="0"/>
                <w:i w:val="0"/>
                <w:color w:val="050C2A"/>
                <w:sz w:val="20"/>
                <w:u w:val="none"/>
              </w:rPr>
              <w:t>Module 9.02 (Making Your Sections Talk to Each Other) is the first explicit instruction on multi-author document integration — a skill students have been struggling with since Week 6 but haven't been taught. The internal review gate (9.07) is the immediate application site: teams read their assembled draft and identify exactly the problems the module describes. The Draft Deliverable checkpoint (9.11) creates accountability — the submitted draft either reads as a unified document or it doesn't, and the module gave students the tools to address it. This is also the first time the Communication dimension on the Final Deliverables rubric becomes directly relevant to what students are producing.</w:t>
            </w:r>
          </w:p>
        </w:tc>
      </w:tr>
      <w:tr>
        <w:tc>
          <w:tcPr>
            <w:tcW w:type="dxa" w:w="1354"/>
            <w:shd w:fill="F5F5F5" w:val="clear"/>
            <w:vAlign w:val="center"/>
          </w:tcPr>
          <w:p>
            <w:pPr>
              <w:spacing w:before="30" w:after="30"/>
            </w:pPr>
            <w:r>
              <w:rPr>
                <w:rFonts w:ascii="DM Sans" w:hAnsi="DM Sans" w:cs="DM Sans"/>
                <w:b/>
                <w:i w:val="0"/>
                <w:color w:val="050C2A"/>
                <w:sz w:val="20"/>
                <w:u w:val="none"/>
              </w:rPr>
              <w:t>Communication</w:t>
            </w:r>
          </w:p>
        </w:tc>
        <w:tc>
          <w:tcPr>
            <w:tcW w:type="dxa" w:w="1354"/>
            <w:shd w:fill="F5F5F5" w:val="clear"/>
            <w:vAlign w:val="center"/>
          </w:tcPr>
          <w:p>
            <w:pPr>
              <w:spacing w:before="30" w:after="30"/>
            </w:pPr>
            <w:r>
              <w:rPr>
                <w:rFonts w:ascii="DM Sans" w:hAnsi="DM Sans" w:cs="DM Sans"/>
                <w:b w:val="0"/>
                <w:i w:val="0"/>
                <w:color w:val="050C2A"/>
                <w:sz w:val="20"/>
                <w:u w:val="none"/>
              </w:rPr>
              <w:t>Oral Presentation</w:t>
            </w:r>
          </w:p>
        </w:tc>
        <w:tc>
          <w:tcPr>
            <w:tcW w:type="dxa" w:w="6652"/>
            <w:shd w:fill="F5F5F5" w:val="clear"/>
            <w:vAlign w:val="center"/>
          </w:tcPr>
          <w:p>
            <w:pPr>
              <w:spacing w:before="30" w:after="30"/>
            </w:pPr>
            <w:r>
              <w:rPr>
                <w:rFonts w:ascii="DM Sans" w:hAnsi="DM Sans" w:cs="DM Sans"/>
                <w:b w:val="0"/>
                <w:i w:val="0"/>
                <w:color w:val="050C2A"/>
                <w:sz w:val="20"/>
                <w:u w:val="none"/>
              </w:rPr>
              <w:t>Check-In #2 (9.09) follows the same questions-based format as Check-In #1 (Week 7) — students drive the agenda with specific questions and sticking points rather than presenting formal progress. By Week 9, teams should be more practiced at making these meetings productive: questions are informed by production experience, peer evaluation feedback, and internal review findings. The prep session (9.08) develops this skill through deliberate question development and agenda planning.</w:t>
            </w:r>
          </w:p>
        </w:tc>
      </w:tr>
      <w:tr>
        <w:tc>
          <w:tcPr>
            <w:tcW w:type="dxa" w:w="1354"/>
            <w:vAlign w:val="center"/>
          </w:tcPr>
          <w:p>
            <w:pPr>
              <w:spacing w:before="30" w:after="30"/>
            </w:pPr>
            <w:r>
              <w:rPr>
                <w:rFonts w:ascii="DM Sans" w:hAnsi="DM Sans" w:cs="DM Sans"/>
                <w:b/>
                <w:i w:val="0"/>
                <w:color w:val="050C2A"/>
                <w:sz w:val="20"/>
                <w:u w:val="none"/>
              </w:rPr>
              <w:t>Critical Thinking</w:t>
            </w:r>
          </w:p>
        </w:tc>
        <w:tc>
          <w:tcPr>
            <w:tcW w:type="dxa" w:w="1354"/>
            <w:vAlign w:val="center"/>
          </w:tcPr>
          <w:p>
            <w:pPr>
              <w:spacing w:before="30" w:after="30"/>
            </w:pPr>
            <w:r>
              <w:rPr>
                <w:rFonts w:ascii="DM Sans" w:hAnsi="DM Sans" w:cs="DM Sans"/>
                <w:b w:val="0"/>
                <w:i w:val="0"/>
                <w:color w:val="050C2A"/>
                <w:sz w:val="20"/>
                <w:u w:val="none"/>
              </w:rPr>
              <w:t>Prioritization</w:t>
            </w:r>
          </w:p>
        </w:tc>
        <w:tc>
          <w:tcPr>
            <w:tcW w:type="dxa" w:w="6652"/>
            <w:vAlign w:val="center"/>
          </w:tcPr>
          <w:p>
            <w:pPr>
              <w:spacing w:before="30" w:after="30"/>
            </w:pPr>
            <w:r>
              <w:rPr>
                <w:rFonts w:ascii="DM Sans" w:hAnsi="DM Sans" w:cs="DM Sans"/>
                <w:b w:val="0"/>
                <w:i w:val="0"/>
                <w:color w:val="050C2A"/>
                <w:sz w:val="20"/>
                <w:u w:val="none"/>
              </w:rPr>
              <w:t>This is the strongest Prioritization week in the course. Module 9.03 (The Actionability Test) asks students to prioritize which recommendations matter most and are most realistic. Module 9.04 (Scope Decisions) teaches students to prioritize what belongs in the deliverable versus what to defer. The internal review gate (9.07) forces teams to triage which problems in the draft to fix now versus later. All three activities require students to make explicit tradeoff decisions under time pressure — the essence of prioritization in professional work.</w:t>
            </w:r>
          </w:p>
        </w:tc>
      </w:tr>
      <w:tr>
        <w:tc>
          <w:tcPr>
            <w:tcW w:type="dxa" w:w="1354"/>
            <w:shd w:fill="F5F5F5" w:val="clear"/>
            <w:vAlign w:val="center"/>
          </w:tcPr>
          <w:p>
            <w:pPr>
              <w:spacing w:before="30" w:after="30"/>
            </w:pPr>
            <w:r>
              <w:rPr>
                <w:rFonts w:ascii="DM Sans" w:hAnsi="DM Sans" w:cs="DM Sans"/>
                <w:b/>
                <w:i w:val="0"/>
                <w:color w:val="050C2A"/>
                <w:sz w:val="20"/>
                <w:u w:val="none"/>
              </w:rPr>
              <w:t>Teamwork</w:t>
            </w:r>
          </w:p>
        </w:tc>
        <w:tc>
          <w:tcPr>
            <w:tcW w:type="dxa" w:w="1354"/>
            <w:shd w:fill="F5F5F5" w:val="clear"/>
            <w:vAlign w:val="center"/>
          </w:tcPr>
          <w:p>
            <w:pPr>
              <w:spacing w:before="30" w:after="30"/>
            </w:pPr>
            <w:r>
              <w:rPr>
                <w:rFonts w:ascii="DM Sans" w:hAnsi="DM Sans" w:cs="DM Sans"/>
                <w:b w:val="0"/>
                <w:i w:val="0"/>
                <w:color w:val="050C2A"/>
                <w:sz w:val="20"/>
                <w:u w:val="none"/>
              </w:rPr>
              <w:t>Constructive Feedback</w:t>
            </w:r>
          </w:p>
        </w:tc>
        <w:tc>
          <w:tcPr>
            <w:tcW w:type="dxa" w:w="6652"/>
            <w:shd w:fill="F5F5F5" w:val="clear"/>
            <w:vAlign w:val="center"/>
          </w:tcPr>
          <w:p>
            <w:pPr>
              <w:spacing w:before="30" w:after="30"/>
            </w:pPr>
            <w:r>
              <w:rPr>
                <w:rFonts w:ascii="DM Sans" w:hAnsi="DM Sans" w:cs="DM Sans"/>
                <w:b w:val="0"/>
                <w:i w:val="0"/>
                <w:color w:val="050C2A"/>
                <w:sz w:val="20"/>
                <w:u w:val="none"/>
              </w:rPr>
              <w:t>The Team Processing Session (9.06) closes the peer evaluation feedback loop opened in Week 8. Students received anonymized feedback — now they must discuss it face-to-face, which requires the ability to give and receive constructive feedback in real time. This is different from the written peer evaluation in Week 8; this is a live conversation where students negotiate behavioral changes. The written agreement makes the outcome concrete and creates a reference point for the summative evaluation in Week 15.</w:t>
            </w:r>
          </w:p>
        </w:tc>
      </w:tr>
      <w:tr>
        <w:tc>
          <w:tcPr>
            <w:tcW w:type="dxa" w:w="1354"/>
            <w:vAlign w:val="center"/>
          </w:tcPr>
          <w:p>
            <w:pPr>
              <w:spacing w:before="30" w:after="30"/>
            </w:pPr>
            <w:r>
              <w:rPr>
                <w:rFonts w:ascii="DM Sans" w:hAnsi="DM Sans" w:cs="DM Sans"/>
                <w:b/>
                <w:i w:val="0"/>
                <w:color w:val="050C2A"/>
                <w:sz w:val="20"/>
                <w:u w:val="none"/>
              </w:rPr>
              <w:t>Teamwork</w:t>
            </w:r>
          </w:p>
        </w:tc>
        <w:tc>
          <w:tcPr>
            <w:tcW w:type="dxa" w:w="1354"/>
            <w:vAlign w:val="center"/>
          </w:tcPr>
          <w:p>
            <w:pPr>
              <w:spacing w:before="30" w:after="30"/>
            </w:pPr>
            <w:r>
              <w:rPr>
                <w:rFonts w:ascii="DM Sans" w:hAnsi="DM Sans" w:cs="DM Sans"/>
                <w:b w:val="0"/>
                <w:i w:val="0"/>
                <w:color w:val="050C2A"/>
                <w:sz w:val="20"/>
                <w:u w:val="none"/>
              </w:rPr>
              <w:t>Shared Accountability</w:t>
            </w:r>
          </w:p>
        </w:tc>
        <w:tc>
          <w:tcPr>
            <w:tcW w:type="dxa" w:w="6652"/>
            <w:vAlign w:val="center"/>
          </w:tcPr>
          <w:p>
            <w:pPr>
              <w:spacing w:before="30" w:after="30"/>
            </w:pPr>
            <w:r>
              <w:rPr>
                <w:rFonts w:ascii="DM Sans" w:hAnsi="DM Sans" w:cs="DM Sans"/>
                <w:b w:val="0"/>
                <w:i w:val="0"/>
                <w:color w:val="050C2A"/>
                <w:sz w:val="20"/>
                <w:u w:val="none"/>
              </w:rPr>
              <w:t xml:space="preserve">The team processing agreement produced in 9.06 is an explicit shared accountability artifact — the team collectively names what needs to change and commits to specific actions. The internal review gate (9.07) reinforces shared accountability for the quality of the </w:t>
            </w:r>
            <w:r>
              <w:rPr>
                <w:rFonts w:ascii="DM Sans" w:hAnsi="DM Sans" w:cs="DM Sans"/>
                <w:b w:val="0"/>
                <w:i/>
                <w:color w:val="050C2A"/>
                <w:sz w:val="20"/>
                <w:u w:val="none"/>
              </w:rPr>
              <w:t>whole</w:t>
            </w:r>
            <w:r>
              <w:rPr>
                <w:rFonts w:ascii="DM Sans" w:hAnsi="DM Sans" w:cs="DM Sans"/>
                <w:b w:val="0"/>
                <w:i w:val="0"/>
                <w:color w:val="050C2A"/>
                <w:sz w:val="20"/>
                <w:u w:val="none"/>
              </w:rPr>
              <w:t xml:space="preserve"> document, not just individual sections. And the Draft Deliverable (9.11) is a team submission that represents everyone's work — you can't submit a strong draft if one section is missing or weak.</w:t>
            </w:r>
          </w:p>
        </w:tc>
      </w:tr>
      <w:tr>
        <w:tc>
          <w:tcPr>
            <w:tcW w:type="dxa" w:w="1354"/>
            <w:shd w:fill="F5F5F5" w:val="clear"/>
            <w:vAlign w:val="center"/>
          </w:tcPr>
          <w:p>
            <w:pPr>
              <w:spacing w:before="30" w:after="30"/>
            </w:pPr>
            <w:r>
              <w:rPr>
                <w:rFonts w:ascii="DM Sans" w:hAnsi="DM Sans" w:cs="DM Sans"/>
                <w:b/>
                <w:i w:val="0"/>
                <w:color w:val="050C2A"/>
                <w:sz w:val="20"/>
                <w:u w:val="none"/>
              </w:rPr>
              <w:t>Professionalism</w:t>
            </w:r>
          </w:p>
        </w:tc>
        <w:tc>
          <w:tcPr>
            <w:tcW w:type="dxa" w:w="1354"/>
            <w:shd w:fill="F5F5F5" w:val="clear"/>
            <w:vAlign w:val="center"/>
          </w:tcPr>
          <w:p>
            <w:pPr>
              <w:spacing w:before="30" w:after="30"/>
            </w:pPr>
            <w:r>
              <w:rPr>
                <w:rFonts w:ascii="DM Sans" w:hAnsi="DM Sans" w:cs="DM Sans"/>
                <w:b w:val="0"/>
                <w:i w:val="0"/>
                <w:color w:val="050C2A"/>
                <w:sz w:val="20"/>
                <w:u w:val="none"/>
              </w:rPr>
              <w:t>Feedback Reception</w:t>
            </w:r>
          </w:p>
        </w:tc>
        <w:tc>
          <w:tcPr>
            <w:tcW w:type="dxa" w:w="6652"/>
            <w:shd w:fill="F5F5F5" w:val="clear"/>
            <w:vAlign w:val="center"/>
          </w:tcPr>
          <w:p>
            <w:pPr>
              <w:spacing w:before="30" w:after="30"/>
            </w:pPr>
            <w:r>
              <w:rPr>
                <w:rFonts w:ascii="DM Sans" w:hAnsi="DM Sans" w:cs="DM Sans"/>
                <w:b w:val="0"/>
                <w:i w:val="0"/>
                <w:color w:val="050C2A"/>
                <w:sz w:val="20"/>
                <w:u w:val="none"/>
              </w:rPr>
              <w:t>Students are processing feedback from three sources this week: peer evaluation results, employer mid-project survey, and Check-In #2 verbal feedback. The volume and variety of feedback creates a genuine test of feedback reception skill. Module 9.05 provides a protocol for the peer eval conversation specifically, and the post-meeting debrief (9.10) applies the feedback capture protocol established in Weeks 5 and 7. The emotional dimension is real — some students will receive difficult peer feedback alongside employer critique in the same week.</w:t>
            </w:r>
          </w:p>
        </w:tc>
      </w:tr>
      <w:tr>
        <w:tc>
          <w:tcPr>
            <w:tcW w:type="dxa" w:w="1354"/>
            <w:vAlign w:val="center"/>
          </w:tcPr>
          <w:p>
            <w:pPr>
              <w:spacing w:before="30" w:after="30"/>
            </w:pPr>
            <w:r>
              <w:rPr>
                <w:rFonts w:ascii="DM Sans" w:hAnsi="DM Sans" w:cs="DM Sans"/>
                <w:b/>
                <w:i w:val="0"/>
                <w:color w:val="050C2A"/>
                <w:sz w:val="20"/>
                <w:u w:val="none"/>
              </w:rPr>
              <w:t>Career &amp; Self-Development</w:t>
            </w:r>
          </w:p>
        </w:tc>
        <w:tc>
          <w:tcPr>
            <w:tcW w:type="dxa" w:w="1354"/>
            <w:vAlign w:val="center"/>
          </w:tcPr>
          <w:p>
            <w:pPr>
              <w:spacing w:before="30" w:after="30"/>
            </w:pPr>
            <w:r>
              <w:rPr>
                <w:rFonts w:ascii="DM Sans" w:hAnsi="DM Sans" w:cs="DM Sans"/>
                <w:b w:val="0"/>
                <w:i w:val="0"/>
                <w:color w:val="050C2A"/>
                <w:sz w:val="20"/>
                <w:u w:val="none"/>
              </w:rPr>
              <w:t>Reflection</w:t>
            </w:r>
          </w:p>
        </w:tc>
        <w:tc>
          <w:tcPr>
            <w:tcW w:type="dxa" w:w="6652"/>
            <w:vAlign w:val="center"/>
          </w:tcPr>
          <w:p>
            <w:pPr>
              <w:spacing w:before="30" w:after="30"/>
            </w:pPr>
            <w:r>
              <w:rPr>
                <w:rFonts w:ascii="DM Sans" w:hAnsi="DM Sans" w:cs="DM Sans"/>
                <w:b w:val="0"/>
                <w:i w:val="0"/>
                <w:color w:val="050C2A"/>
                <w:sz w:val="20"/>
                <w:u w:val="none"/>
              </w:rPr>
              <w:t>Reflection #3 (9.15) is the third DEAL reflection, drawing from the most intensive feedback and production period (Weeks 7–9). Module 9.14 (DEAL Reflection — Going Deeper) provides just-in-time scaffolding focused on strengthening the Examine stage — moving beyond description to examining assumptions, patterns, and professional implications. The framework is no longer new; the expectation is depth.</w:t>
            </w:r>
          </w:p>
        </w:tc>
      </w:tr>
      <w:tr>
        <w:tc>
          <w:tcPr>
            <w:tcW w:type="dxa" w:w="1354"/>
            <w:shd w:fill="F5F5F5" w:val="clear"/>
            <w:vAlign w:val="center"/>
          </w:tcPr>
          <w:p>
            <w:pPr>
              <w:spacing w:before="30" w:after="30"/>
            </w:pPr>
            <w:r>
              <w:rPr>
                <w:rFonts w:ascii="DM Sans" w:hAnsi="DM Sans" w:cs="DM Sans"/>
                <w:b/>
                <w:i w:val="0"/>
                <w:color w:val="050C2A"/>
                <w:sz w:val="20"/>
                <w:u w:val="none"/>
              </w:rPr>
              <w:t>Professionalism</w:t>
            </w:r>
          </w:p>
        </w:tc>
        <w:tc>
          <w:tcPr>
            <w:tcW w:type="dxa" w:w="1354"/>
            <w:shd w:fill="F5F5F5" w:val="clear"/>
            <w:vAlign w:val="center"/>
          </w:tcPr>
          <w:p>
            <w:pPr>
              <w:spacing w:before="30" w:after="30"/>
            </w:pPr>
            <w:r>
              <w:rPr>
                <w:rFonts w:ascii="DM Sans" w:hAnsi="DM Sans" w:cs="DM Sans"/>
                <w:b w:val="0"/>
                <w:i w:val="0"/>
                <w:color w:val="050C2A"/>
                <w:sz w:val="20"/>
                <w:u w:val="none"/>
              </w:rPr>
              <w:t>Quality &amp; Attention to Detail</w:t>
            </w:r>
          </w:p>
        </w:tc>
        <w:tc>
          <w:tcPr>
            <w:tcW w:type="dxa" w:w="6652"/>
            <w:shd w:fill="F5F5F5" w:val="clear"/>
            <w:vAlign w:val="center"/>
          </w:tcPr>
          <w:p>
            <w:pPr>
              <w:spacing w:before="30" w:after="30"/>
            </w:pPr>
            <w:r>
              <w:rPr>
                <w:rFonts w:ascii="DM Sans" w:hAnsi="DM Sans" w:cs="DM Sans"/>
                <w:b w:val="0"/>
                <w:i w:val="0"/>
                <w:color w:val="050C2A"/>
                <w:sz w:val="20"/>
                <w:u w:val="none"/>
              </w:rPr>
              <w:t>The internal review gate (9.07) is fundamentally a quality assurance activity. It introduces the professional habit of reviewing assembled work before an external audience sees it — a practice that will recur before every subsequent checkpoint and graded submission. Module 9.02 gives students a quality lens for multi-author documents specifically. This builds on the professional document conventions introduced in Week 7 (module 7.03).</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Draft Deliverable (with team processing agreement) → Communication (Written Clarity) + Critical Thinking (Prioritization, Evidence-Based Reasoning)</w:t>
      </w:r>
    </w:p>
    <w:p>
      <w:pPr>
        <w:spacing w:before="0" w:after="120" w:line="276" w:lineRule="auto"/>
      </w:pPr>
      <w:r>
        <w:rPr>
          <w:rFonts w:ascii="DM Sans" w:hAnsi="DM Sans" w:cs="DM Sans"/>
          <w:b w:val="0"/>
          <w:i w:val="0"/>
          <w:color w:val="050C2A"/>
          <w:sz w:val="20"/>
          <w:u w:val="none"/>
        </w:rPr>
        <w:t>Checkpoint; completion-based. Team submission. The Draft Deliverable is the second-to-last checkpoint before the Final Deliverables submission in Week 13. It serves two functions: first, it creates a forcing function for teams to assemble their separate sections into a coherent whole — not just a collection of individually drafted parts, but a document that reads as a unified product. Second, it gives the employer substantive work to respond to in Check-In #2, enabling more specific and useful feedback than they could provide on the WIP Summary in Week 7.</w:t>
      </w:r>
    </w:p>
    <w:p>
      <w:pPr>
        <w:spacing w:before="0" w:after="120" w:line="276" w:lineRule="auto"/>
      </w:pPr>
      <w:r>
        <w:rPr>
          <w:rFonts w:ascii="DM Sans" w:hAnsi="DM Sans" w:cs="DM Sans"/>
          <w:b w:val="0"/>
          <w:i w:val="0"/>
          <w:color w:val="050C2A"/>
          <w:sz w:val="20"/>
          <w:u w:val="none"/>
        </w:rPr>
        <w:t>The checkpoint does not assess quality — it verifies that teams have made substantive progress and are producing genuine work product rather than outlines or placeholders. However, the module content this week (multi-author integration, actionability, scope management) is designed to raise the quality of what gets submitted. Teams that engage with the module content will produce a more coherent draft; teams that skip it will submit work that reads like "separate papers stapled together" and will receive exactly that feedback from the employer in Check-In #2.</w:t>
      </w:r>
    </w:p>
    <w:p>
      <w:pPr>
        <w:spacing w:before="0" w:after="120" w:line="276" w:lineRule="auto"/>
      </w:pPr>
      <w:r>
        <w:rPr>
          <w:rFonts w:ascii="DM Sans" w:hAnsi="DM Sans" w:cs="DM Sans"/>
          <w:b w:val="0"/>
          <w:i w:val="0"/>
          <w:color w:val="050C2A"/>
          <w:sz w:val="20"/>
          <w:u w:val="none"/>
        </w:rPr>
        <w:t>The team processing agreement is appended to the Draft Deliverable submission rather than submitted as a separate artifact. This collapses two potential submissions into one and frames the agreement as part of the team's working process rather than a standalone bureaucratic requirement. The agreement documents specific behavioral changes the team has committed to based on peer evaluation and employer feedback, creating a reference point for Peer Evaluation #2 in Week 15 — if the same issues surface in the summative evaluation, there is documented evidence that the behavior was named and not corrected.</w:t>
      </w:r>
    </w:p>
    <w:p>
      <w:pPr>
        <w:spacing w:before="0" w:after="120" w:line="276" w:lineRule="auto"/>
      </w:pPr>
      <w:r>
        <w:rPr>
          <w:rFonts w:ascii="DM Sans" w:hAnsi="DM Sans" w:cs="DM Sans"/>
          <w:b w:val="0"/>
          <w:i w:val="0"/>
          <w:color w:val="050C2A"/>
          <w:sz w:val="20"/>
          <w:u w:val="none"/>
        </w:rPr>
        <w:t>AI disclosure is required on the Draft Deliverable submission and on Reflection #3. AI-assisted drafting, structural review, and integration work are all permitted on the deliverable — the production-oriented AI guidance from Week 8 (module 8.05) applies. AI cannot substitute for the team's own judgment about what to include, how to prioritize recommendations, or what scope decisions to make.</w:t>
      </w:r>
    </w:p>
    <w:p>
      <w:pPr>
        <w:spacing w:before="0" w:after="120" w:line="276" w:lineRule="auto"/>
      </w:pPr>
      <w:r>
        <w:rPr>
          <w:rFonts w:ascii="DM Sans" w:hAnsi="DM Sans" w:cs="DM Sans"/>
          <w:b/>
          <w:i w:val="0"/>
          <w:color w:val="050C2A"/>
          <w:sz w:val="20"/>
          <w:u w:val="none"/>
        </w:rPr>
        <w:t>Reflection #3 → Career &amp; Self-Development (Reflection)</w:t>
      </w:r>
    </w:p>
    <w:p>
      <w:pPr>
        <w:spacing w:before="0" w:after="120" w:line="276" w:lineRule="auto"/>
      </w:pPr>
      <w:r>
        <w:rPr>
          <w:rFonts w:ascii="DM Sans" w:hAnsi="DM Sans" w:cs="DM Sans"/>
          <w:b w:val="0"/>
          <w:i w:val="0"/>
          <w:color w:val="050C2A"/>
          <w:sz w:val="20"/>
          <w:u w:val="none"/>
        </w:rPr>
        <w:t>Graded; rubric-based. Individual submission. Contributes ~5% of the final grade as part of the Reflection Portfolio (25% total, five reflections). Students draw from the most intensive feedback and production period (Weeks 7–9) — Check-In #1 feedback, peer evaluation, team dynamics under production pressure, or any moment of learning involving feedback or collaboration. Module 9.14 (DEAL Reflection — Going Deeper) provides scaffolding focused on the Examine stage. The expectation for depth is higher than Reflections #1 and #2; the framework is no longer new, and the material from this period is rich. AI-as-Socratic-partner prompt embedded in assignment. AI disclosure required. Submitted via Riipen.</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The production-oriented AI guidance introduced in Week 8 (module 8.05) continues to apply. Using AI for structural review of the assembled draft is especially appropriate this week — asking AI to identify where sections don't connect, where the argument flow breaks, or where different authorial voices create inconsistency mirrors the internal review gate activity (9.07) and extends students' ability to self-edit at scale. Using AI to stress-test recommendations for actionability is a powerful application of module 9.03: prompting AI with "read these recommendations and tell me which ones are too vague for a client to act on" is exactly how a professional might pressure-test their own work. Using AI to help organize the Check-In #2 debrief notes (9.10) into a prioritized action plan is consistent with the feedback processing guidance from Week 8 — converting raw notes into structured next steps. Using AI to check for consistency across sections during the production block (9.12) is encouraged, particularly for teams whose members have been drafting independently.</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 cannot generate the team processing agreement (9.06). The agreement must reflect the team's genuine discussion of their peer evaluation and employer feedback — what patterns they identified, what they agreed to change, and what specific behaviors they committed to. An AI-generated agreement defeats both the learning purpose (the conversation is the learning) and the accountability purpose (the agreement must reflect real commitments). AI cannot generate the substance of the Draft Deliverable — the research, analysis, findings, and recommendations must represent the team's genuine intellectual work. The test from the course AI policy applies: could you explain and defend every claim in your submission without referring back to what an AI told you? AI-generated content that students cannot verify or defend remains off-limits, and Check-In #2 is a live accountability mechanism where the employer will ask questions about the work. Reflection #3 (9.15) must reflect the student's own experience — AI cannot supply the experience, the examination, or the articulated learning; AI-as-Socratic-partner use is encouraged for deepening examination.</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both the Draft Deliverable and Reflection #3 submissions. If AI was not used, a one-sentence statement to that effect is sufficient.</w:t>
      </w:r>
    </w:p>
    <w:p>
      <w:pPr>
        <w:spacing w:before="0" w:after="120" w:line="276" w:lineRule="auto"/>
      </w:pPr>
      <w:r>
        <w:rPr>
          <w:rFonts w:ascii="DM Sans" w:hAnsi="DM Sans" w:cs="DM Sans"/>
          <w:b/>
          <w:i w:val="0"/>
          <w:color w:val="050C2A"/>
          <w:sz w:val="20"/>
          <w:u w:val="none"/>
        </w:rPr>
        <w:t>Prompt strategy reinforced this week — AI for Actionability Testing:</w:t>
      </w:r>
    </w:p>
    <w:p>
      <w:pPr>
        <w:spacing w:before="0" w:after="120" w:line="276" w:lineRule="auto"/>
      </w:pPr>
      <w:r>
        <w:rPr>
          <w:rFonts w:ascii="DM Sans" w:hAnsi="DM Sans" w:cs="DM Sans"/>
          <w:b w:val="0"/>
          <w:i w:val="0"/>
          <w:color w:val="050C2A"/>
          <w:sz w:val="20"/>
          <w:u w:val="none"/>
        </w:rPr>
        <w:t xml:space="preserve">No new AI concept is introduced this week — the production-oriented AI skills from Week 8 (module 8.05) find their most direct application here. Module 9.03 includes a specific prompt pattern for stress-testing draft recommendations: </w:t>
      </w:r>
      <w:r>
        <w:rPr>
          <w:rFonts w:ascii="DM Sans" w:hAnsi="DM Sans" w:cs="DM Sans"/>
          <w:b w:val="0"/>
          <w:i/>
          <w:color w:val="050C2A"/>
          <w:sz w:val="20"/>
          <w:u w:val="none"/>
        </w:rPr>
        <w:t>"Read these recommendations and tell me which ones are too vague for a client to act on. For each one, explain what's missing — is it specificity, feasibility, or prioritization?"</w:t>
      </w:r>
      <w:r>
        <w:rPr>
          <w:rFonts w:ascii="DM Sans" w:hAnsi="DM Sans" w:cs="DM Sans"/>
          <w:b w:val="0"/>
          <w:i w:val="0"/>
          <w:color w:val="050C2A"/>
          <w:sz w:val="20"/>
          <w:u w:val="none"/>
        </w:rPr>
        <w:t xml:space="preserve"> This extends the Week 8 structural review concept into evaluative territory: students are not just asking AI to check their writing, but to pressure-test whether their thinking meets a professional standard.</w:t>
      </w:r>
    </w:p>
    <w:p>
      <w:pPr>
        <w:spacing w:before="280" w:after="100"/>
      </w:pPr>
      <w:r>
        <w:rPr>
          <w:rFonts w:ascii="DM Sans" w:hAnsi="DM Sans" w:cs="DM Sans"/>
          <w:b/>
          <w:i w:val="0"/>
          <w:color w:val="050C2A"/>
          <w:sz w:val="28"/>
          <w:u w:val="none"/>
        </w:rPr>
        <w:t>Open Questions / Flags</w:t>
      </w:r>
    </w:p>
    <w:p>
      <w:pPr>
        <w:spacing w:before="0" w:after="120" w:line="276" w:lineRule="auto"/>
      </w:pPr>
      <w:r>
        <w:rPr>
          <w:rFonts w:ascii="DM Sans" w:hAnsi="DM Sans" w:cs="DM Sans"/>
          <w:b/>
          <w:i w:val="0"/>
          <w:color w:val="050C2A"/>
          <w:sz w:val="20"/>
          <w:u w:val="none"/>
        </w:rPr>
        <w:t>1. Peer evaluation and employer survey release timing.</w:t>
      </w:r>
      <w:r>
        <w:rPr>
          <w:rFonts w:ascii="DM Sans" w:hAnsi="DM Sans" w:cs="DM Sans"/>
          <w:b w:val="0"/>
          <w:i w:val="0"/>
          <w:color w:val="050C2A"/>
          <w:sz w:val="20"/>
          <w:u w:val="none"/>
        </w:rPr>
        <w:t xml:space="preserve"> The design assumes anonymized peer eval results (qualitative and aggregated BARS) and employer mid-project survey results are available to students before the Week 9 Team Processing Session. The mechanism for processing, anonymizing, and delivering this data needs to be defined. If the course runs at scale, this may require tooling rather than manual instructor processing. If results are delayed, the Team Processing Session loses its anchor data and becomes a less structured conversation. Affects: 9.06 activity design, instructor workload, platform requirements.</w:t>
      </w:r>
    </w:p>
    <w:p>
      <w:pPr>
        <w:spacing w:before="0" w:after="120" w:line="276" w:lineRule="auto"/>
      </w:pPr>
      <w:r>
        <w:rPr>
          <w:rFonts w:ascii="DM Sans" w:hAnsi="DM Sans" w:cs="DM Sans"/>
          <w:b/>
          <w:i w:val="0"/>
          <w:color w:val="050C2A"/>
          <w:sz w:val="20"/>
          <w:u w:val="none"/>
        </w:rPr>
        <w:t>2. Team processing agreement format.</w:t>
      </w:r>
      <w:r>
        <w:rPr>
          <w:rFonts w:ascii="DM Sans" w:hAnsi="DM Sans" w:cs="DM Sans"/>
          <w:b w:val="0"/>
          <w:i w:val="0"/>
          <w:color w:val="050C2A"/>
          <w:sz w:val="20"/>
          <w:u w:val="none"/>
        </w:rPr>
        <w:t xml:space="preserve"> The agreement is described as "a brief written agreement documenting specific behavioral changes." The format is intentionally unspecified — it could be a paragraph, a bulleted list, or a simple table of "What we agreed to change / Who owns it / How we'll know." Providing a lightweight template might reduce variance without over-prescribing. Alternatively, leaving it open tests whether teams can produce a useful working document without scaffolding. Affects: student instructions, submission review.</w:t>
      </w:r>
    </w:p>
    <w:p>
      <w:pPr>
        <w:spacing w:before="0" w:after="120" w:line="276" w:lineRule="auto"/>
      </w:pPr>
      <w:r>
        <w:rPr>
          <w:rFonts w:ascii="DM Sans" w:hAnsi="DM Sans" w:cs="DM Sans"/>
          <w:b/>
          <w:i w:val="0"/>
          <w:color w:val="050C2A"/>
          <w:sz w:val="20"/>
          <w:u w:val="none"/>
        </w:rPr>
        <w:t>3. Internal review gate duration in future weeks.</w:t>
      </w:r>
      <w:r>
        <w:rPr>
          <w:rFonts w:ascii="DM Sans" w:hAnsi="DM Sans" w:cs="DM Sans"/>
          <w:b w:val="0"/>
          <w:i w:val="0"/>
          <w:color w:val="050C2A"/>
          <w:sz w:val="20"/>
          <w:u w:val="none"/>
        </w:rPr>
        <w:t xml:space="preserve"> This week allocates 45 minutes for the first internal review gate because it's the first time teams read their assembled work end-to-end. Future instances (before Week 11 Near-Final Package and Week 13 Final Deliverables) may need less time if teams have established the habit, or more time if the deliverable has grown in complexity. The appropriate duration should be calibrated after the pilot. Affects: Weeks 11 and 13 time budgets.</w:t>
      </w:r>
    </w:p>
    <w:p>
      <w:pPr>
        <w:spacing w:before="0" w:after="120" w:line="276" w:lineRule="auto"/>
      </w:pPr>
      <w:r>
        <w:rPr>
          <w:rFonts w:ascii="DM Sans" w:hAnsi="DM Sans" w:cs="DM Sans"/>
          <w:b/>
          <w:i w:val="0"/>
          <w:color w:val="050C2A"/>
          <w:sz w:val="20"/>
          <w:u w:val="none"/>
        </w:rPr>
        <w:t>4. Draft Deliverable completion criteria.</w:t>
      </w:r>
      <w:r>
        <w:rPr>
          <w:rFonts w:ascii="DM Sans" w:hAnsi="DM Sans" w:cs="DM Sans"/>
          <w:b w:val="0"/>
          <w:i w:val="0"/>
          <w:color w:val="050C2A"/>
          <w:sz w:val="20"/>
          <w:u w:val="none"/>
        </w:rPr>
        <w:t xml:space="preserve"> "Substantive progress" and "genuine work product" are intentionally subjective completion criteria for a checkpoint. The question is whether to provide more specific guidance (e.g., "all major sections present in draft form, even if some are incomplete") or leave the standard open to accommodate variation across project types. More specific criteria reduce ambiguity for students and instructors but risk being wrong for certain project formats. Affects: student instructions, facilitator guidance.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