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10 — Connecting Theory and Practice</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031"/>
            <w:shd w:fill="FF7C0A" w:val="clear"/>
            <w:vAlign w:val="center"/>
          </w:tcPr>
          <w:p>
            <w:pPr>
              <w:jc w:val="left"/>
              <w:spacing w:before="40" w:after="40"/>
            </w:pPr>
            <w:r>
              <w:rPr>
                <w:rFonts w:ascii="DM Sans" w:hAnsi="DM Sans" w:cs="DM Sans"/>
                <w:b/>
                <w:i w:val="0"/>
                <w:color w:val="FFFFFF"/>
                <w:sz w:val="20"/>
                <w:u w:val="none"/>
              </w:rPr>
            </w:r>
          </w:p>
        </w:tc>
        <w:tc>
          <w:tcPr>
            <w:tcW w:type="dxa" w:w="6329"/>
            <w:shd w:fill="FF7C0A" w:val="clear"/>
            <w:vAlign w:val="center"/>
          </w:tcPr>
          <w:p>
            <w:pPr>
              <w:jc w:val="left"/>
              <w:spacing w:before="40" w:after="40"/>
            </w:pPr>
            <w:r>
              <w:rPr>
                <w:rFonts w:ascii="DM Sans" w:hAnsi="DM Sans" w:cs="DM Sans"/>
                <w:b/>
                <w:i w:val="0"/>
                <w:color w:val="FFFFFF"/>
                <w:sz w:val="20"/>
                <w:u w:val="none"/>
              </w:rPr>
            </w:r>
          </w:p>
        </w:tc>
      </w:tr>
      <w:tr>
        <w:tc>
          <w:tcPr>
            <w:tcW w:type="dxa" w:w="3031"/>
            <w:vAlign w:val="center"/>
          </w:tcPr>
          <w:p>
            <w:pPr>
              <w:spacing w:before="30" w:after="30"/>
            </w:pPr>
            <w:r>
              <w:rPr>
                <w:rFonts w:ascii="DM Sans" w:hAnsi="DM Sans" w:cs="DM Sans"/>
                <w:b/>
                <w:i w:val="0"/>
                <w:color w:val="050C2A"/>
                <w:sz w:val="20"/>
                <w:u w:val="none"/>
              </w:rPr>
              <w:t>Phase</w:t>
            </w:r>
          </w:p>
        </w:tc>
        <w:tc>
          <w:tcPr>
            <w:tcW w:type="dxa" w:w="6329"/>
            <w:vAlign w:val="center"/>
          </w:tcPr>
          <w:p>
            <w:pPr>
              <w:spacing w:before="30" w:after="30"/>
            </w:pPr>
            <w:r>
              <w:rPr>
                <w:rFonts w:ascii="DM Sans" w:hAnsi="DM Sans" w:cs="DM Sans"/>
                <w:b w:val="0"/>
                <w:i w:val="0"/>
                <w:color w:val="050C2A"/>
                <w:sz w:val="20"/>
                <w:u w:val="none"/>
              </w:rPr>
              <w:t>Development (final week)</w:t>
            </w:r>
          </w:p>
        </w:tc>
      </w:tr>
      <w:tr>
        <w:tc>
          <w:tcPr>
            <w:tcW w:type="dxa" w:w="3031"/>
            <w:shd w:fill="F5F5F5" w:val="clear"/>
            <w:vAlign w:val="center"/>
          </w:tcPr>
          <w:p>
            <w:pPr>
              <w:spacing w:before="30" w:after="30"/>
            </w:pPr>
            <w:r>
              <w:rPr>
                <w:rFonts w:ascii="DM Sans" w:hAnsi="DM Sans" w:cs="DM Sans"/>
                <w:b/>
                <w:i w:val="0"/>
                <w:color w:val="050C2A"/>
                <w:sz w:val="20"/>
                <w:u w:val="none"/>
              </w:rPr>
              <w:t>Module Title</w:t>
            </w:r>
          </w:p>
        </w:tc>
        <w:tc>
          <w:tcPr>
            <w:tcW w:type="dxa" w:w="6329"/>
            <w:shd w:fill="F5F5F5" w:val="clear"/>
            <w:vAlign w:val="center"/>
          </w:tcPr>
          <w:p>
            <w:pPr>
              <w:spacing w:before="30" w:after="30"/>
            </w:pPr>
            <w:r>
              <w:rPr>
                <w:rFonts w:ascii="DM Sans" w:hAnsi="DM Sans" w:cs="DM Sans"/>
                <w:b w:val="0"/>
                <w:i w:val="0"/>
                <w:color w:val="050C2A"/>
                <w:sz w:val="20"/>
                <w:u w:val="none"/>
              </w:rPr>
              <w:t>Connecting Theory and Practice</w:t>
            </w:r>
          </w:p>
        </w:tc>
      </w:tr>
      <w:tr>
        <w:tc>
          <w:tcPr>
            <w:tcW w:type="dxa" w:w="3031"/>
            <w:vAlign w:val="center"/>
          </w:tcPr>
          <w:p>
            <w:pPr>
              <w:spacing w:before="30" w:after="30"/>
            </w:pPr>
            <w:r>
              <w:rPr>
                <w:rFonts w:ascii="DM Sans" w:hAnsi="DM Sans" w:cs="DM Sans"/>
                <w:b/>
                <w:i w:val="0"/>
                <w:color w:val="050C2A"/>
                <w:sz w:val="20"/>
                <w:u w:val="none"/>
              </w:rPr>
              <w:t>Primary Function</w:t>
            </w:r>
          </w:p>
        </w:tc>
        <w:tc>
          <w:tcPr>
            <w:tcW w:type="dxa" w:w="6329"/>
            <w:vAlign w:val="center"/>
          </w:tcPr>
          <w:p>
            <w:pPr>
              <w:spacing w:before="30" w:after="30"/>
            </w:pPr>
            <w:r>
              <w:rPr>
                <w:rFonts w:ascii="DM Sans" w:hAnsi="DM Sans" w:cs="DM Sans"/>
                <w:b w:val="0"/>
                <w:i w:val="0"/>
                <w:color w:val="050C2A"/>
                <w:sz w:val="20"/>
                <w:u w:val="none"/>
              </w:rPr>
              <w:t>Conceptual framework + Change Log introduction + AI skill progression + major integration production block</w:t>
            </w:r>
          </w:p>
        </w:tc>
      </w:tr>
      <w:tr>
        <w:tc>
          <w:tcPr>
            <w:tcW w:type="dxa" w:w="3031"/>
            <w:shd w:fill="F5F5F5" w:val="clear"/>
            <w:vAlign w:val="center"/>
          </w:tcPr>
          <w:p>
            <w:pPr>
              <w:spacing w:before="30" w:after="30"/>
            </w:pPr>
            <w:r>
              <w:rPr>
                <w:rFonts w:ascii="DM Sans" w:hAnsi="DM Sans" w:cs="DM Sans"/>
                <w:b/>
                <w:i w:val="0"/>
                <w:color w:val="050C2A"/>
                <w:sz w:val="20"/>
                <w:u w:val="none"/>
              </w:rPr>
              <w:t>Total Student Time</w:t>
            </w:r>
          </w:p>
        </w:tc>
        <w:tc>
          <w:tcPr>
            <w:tcW w:type="dxa" w:w="6329"/>
            <w:shd w:fill="F5F5F5" w:val="clear"/>
            <w:vAlign w:val="center"/>
          </w:tcPr>
          <w:p>
            <w:pPr>
              <w:spacing w:before="30" w:after="30"/>
            </w:pPr>
            <w:r>
              <w:rPr>
                <w:rFonts w:ascii="DM Sans" w:hAnsi="DM Sans" w:cs="DM Sans"/>
                <w:b w:val="0"/>
                <w:i w:val="0"/>
                <w:color w:val="050C2A"/>
                <w:sz w:val="20"/>
                <w:u w:val="none"/>
              </w:rPr>
              <w:t>505 min (~8 hrs 25 min)</w:t>
            </w:r>
          </w:p>
        </w:tc>
      </w:tr>
      <w:tr>
        <w:tc>
          <w:tcPr>
            <w:tcW w:type="dxa" w:w="3031"/>
            <w:vAlign w:val="center"/>
          </w:tcPr>
          <w:p>
            <w:pPr>
              <w:spacing w:before="30" w:after="30"/>
            </w:pPr>
            <w:r>
              <w:rPr>
                <w:rFonts w:ascii="DM Sans" w:hAnsi="DM Sans" w:cs="DM Sans"/>
                <w:b/>
                <w:i w:val="0"/>
                <w:color w:val="050C2A"/>
                <w:sz w:val="20"/>
                <w:u w:val="none"/>
              </w:rPr>
              <w:t>Deliverable This Week</w:t>
            </w:r>
          </w:p>
        </w:tc>
        <w:tc>
          <w:tcPr>
            <w:tcW w:type="dxa" w:w="6329"/>
            <w:vAlign w:val="center"/>
          </w:tcPr>
          <w:p>
            <w:pPr>
              <w:spacing w:before="30" w:after="30"/>
            </w:pPr>
            <w:r>
              <w:rPr>
                <w:rFonts w:ascii="DM Sans" w:hAnsi="DM Sans" w:cs="DM Sans"/>
                <w:b w:val="0"/>
                <w:i w:val="0"/>
                <w:color w:val="050C2A"/>
                <w:sz w:val="20"/>
                <w:u w:val="none"/>
              </w:rPr>
              <w:t>None (Reflection #3 was submitted in Week 9; Week 11 opens Refinement with the Near-Final Package checkpoint)</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10,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790"/>
            <w:shd w:fill="FF7C0A" w:val="clear"/>
            <w:vAlign w:val="center"/>
          </w:tcPr>
          <w:p>
            <w:pPr>
              <w:jc w:val="left"/>
              <w:spacing w:before="40" w:after="40"/>
            </w:pPr>
            <w:r>
              <w:rPr>
                <w:rFonts w:ascii="DM Sans" w:hAnsi="DM Sans" w:cs="DM Sans"/>
                <w:b/>
                <w:i w:val="0"/>
                <w:color w:val="FFFFFF"/>
                <w:sz w:val="20"/>
                <w:u w:val="none"/>
              </w:rPr>
              <w:t>#</w:t>
            </w:r>
          </w:p>
        </w:tc>
        <w:tc>
          <w:tcPr>
            <w:tcW w:type="dxa" w:w="4372"/>
            <w:shd w:fill="FF7C0A" w:val="clear"/>
            <w:vAlign w:val="center"/>
          </w:tcPr>
          <w:p>
            <w:pPr>
              <w:jc w:val="left"/>
              <w:spacing w:before="40" w:after="40"/>
            </w:pPr>
            <w:r>
              <w:rPr>
                <w:rFonts w:ascii="DM Sans" w:hAnsi="DM Sans" w:cs="DM Sans"/>
                <w:b/>
                <w:i w:val="0"/>
                <w:color w:val="FFFFFF"/>
                <w:sz w:val="20"/>
                <w:u w:val="none"/>
              </w:rPr>
              <w:t>Objective</w:t>
            </w:r>
          </w:p>
        </w:tc>
        <w:tc>
          <w:tcPr>
            <w:tcW w:type="dxa" w:w="4198"/>
            <w:shd w:fill="FF7C0A" w:val="clear"/>
            <w:vAlign w:val="center"/>
          </w:tcPr>
          <w:p>
            <w:pPr>
              <w:jc w:val="left"/>
              <w:spacing w:before="40" w:after="40"/>
            </w:pPr>
            <w:r>
              <w:rPr>
                <w:rFonts w:ascii="DM Sans" w:hAnsi="DM Sans" w:cs="DM Sans"/>
                <w:b/>
                <w:i w:val="0"/>
                <w:color w:val="FFFFFF"/>
                <w:sz w:val="20"/>
                <w:u w:val="none"/>
              </w:rPr>
              <w:t>Competency</w:t>
            </w:r>
          </w:p>
        </w:tc>
      </w:tr>
      <w:tr>
        <w:tc>
          <w:tcPr>
            <w:tcW w:type="dxa" w:w="790"/>
            <w:vAlign w:val="center"/>
          </w:tcPr>
          <w:p>
            <w:pPr>
              <w:spacing w:before="30" w:after="30"/>
            </w:pPr>
            <w:r>
              <w:rPr>
                <w:rFonts w:ascii="DM Sans" w:hAnsi="DM Sans" w:cs="DM Sans"/>
                <w:b/>
                <w:i w:val="0"/>
                <w:color w:val="050C2A"/>
                <w:sz w:val="20"/>
                <w:u w:val="none"/>
              </w:rPr>
              <w:t>1</w:t>
            </w:r>
          </w:p>
        </w:tc>
        <w:tc>
          <w:tcPr>
            <w:tcW w:type="dxa" w:w="4372"/>
            <w:vAlign w:val="center"/>
          </w:tcPr>
          <w:p>
            <w:pPr>
              <w:spacing w:before="30" w:after="30"/>
            </w:pPr>
            <w:r>
              <w:rPr>
                <w:rFonts w:ascii="DM Sans" w:hAnsi="DM Sans" w:cs="DM Sans"/>
                <w:b w:val="0"/>
                <w:i w:val="0"/>
                <w:color w:val="050C2A"/>
                <w:sz w:val="20"/>
                <w:u w:val="none"/>
              </w:rPr>
              <w:t>Distinguish between project-specific knowledge and transferable professional competencies developed through the project experience.</w:t>
            </w:r>
          </w:p>
        </w:tc>
        <w:tc>
          <w:tcPr>
            <w:tcW w:type="dxa" w:w="4198"/>
            <w:vAlign w:val="center"/>
          </w:tcPr>
          <w:p>
            <w:pPr>
              <w:spacing w:before="30" w:after="30"/>
            </w:pPr>
            <w:r>
              <w:rPr>
                <w:rFonts w:ascii="DM Sans" w:hAnsi="DM Sans" w:cs="DM Sans"/>
                <w:b w:val="0"/>
                <w:i w:val="0"/>
                <w:color w:val="050C2A"/>
                <w:sz w:val="20"/>
                <w:u w:val="none"/>
              </w:rPr>
              <w:t>Career &amp; Self-Development → Self-Awareness</w:t>
            </w:r>
          </w:p>
        </w:tc>
      </w:tr>
      <w:tr>
        <w:tc>
          <w:tcPr>
            <w:tcW w:type="dxa" w:w="790"/>
            <w:shd w:fill="F5F5F5" w:val="clear"/>
            <w:vAlign w:val="center"/>
          </w:tcPr>
          <w:p>
            <w:pPr>
              <w:spacing w:before="30" w:after="30"/>
            </w:pPr>
            <w:r>
              <w:rPr>
                <w:rFonts w:ascii="DM Sans" w:hAnsi="DM Sans" w:cs="DM Sans"/>
                <w:b/>
                <w:i w:val="0"/>
                <w:color w:val="050C2A"/>
                <w:sz w:val="20"/>
                <w:u w:val="none"/>
              </w:rPr>
              <w:t>2</w:t>
            </w:r>
          </w:p>
        </w:tc>
        <w:tc>
          <w:tcPr>
            <w:tcW w:type="dxa" w:w="4372"/>
            <w:shd w:fill="F5F5F5" w:val="clear"/>
            <w:vAlign w:val="center"/>
          </w:tcPr>
          <w:p>
            <w:pPr>
              <w:spacing w:before="30" w:after="30"/>
            </w:pPr>
            <w:r>
              <w:rPr>
                <w:rFonts w:ascii="DM Sans" w:hAnsi="DM Sans" w:cs="DM Sans"/>
                <w:b w:val="0"/>
                <w:i w:val="0"/>
                <w:color w:val="050C2A"/>
                <w:sz w:val="20"/>
                <w:u w:val="none"/>
              </w:rPr>
              <w:t>Extract transferable principles from specific project experiences, articulating learning in terms that apply beyond this particular project and employer.</w:t>
            </w:r>
          </w:p>
        </w:tc>
        <w:tc>
          <w:tcPr>
            <w:tcW w:type="dxa" w:w="4198"/>
            <w:shd w:fill="F5F5F5" w:val="clear"/>
            <w:vAlign w:val="center"/>
          </w:tcPr>
          <w:p>
            <w:pPr>
              <w:spacing w:before="30" w:after="30"/>
            </w:pPr>
            <w:r>
              <w:rPr>
                <w:rFonts w:ascii="DM Sans" w:hAnsi="DM Sans" w:cs="DM Sans"/>
                <w:b w:val="0"/>
                <w:i w:val="0"/>
                <w:color w:val="050C2A"/>
                <w:sz w:val="20"/>
                <w:u w:val="none"/>
              </w:rPr>
              <w:t>Career &amp; Self-Development → Growth Orientation; Career &amp; Self-Development → Career Articulation; Critical Thinking → Evidence-Based Reasoning</w:t>
            </w:r>
          </w:p>
        </w:tc>
      </w:tr>
      <w:tr>
        <w:tc>
          <w:tcPr>
            <w:tcW w:type="dxa" w:w="790"/>
            <w:vAlign w:val="center"/>
          </w:tcPr>
          <w:p>
            <w:pPr>
              <w:spacing w:before="30" w:after="30"/>
            </w:pPr>
            <w:r>
              <w:rPr>
                <w:rFonts w:ascii="DM Sans" w:hAnsi="DM Sans" w:cs="DM Sans"/>
                <w:b/>
                <w:i w:val="0"/>
                <w:color w:val="050C2A"/>
                <w:sz w:val="20"/>
                <w:u w:val="none"/>
              </w:rPr>
              <w:t>3</w:t>
            </w:r>
          </w:p>
        </w:tc>
        <w:tc>
          <w:tcPr>
            <w:tcW w:type="dxa" w:w="4372"/>
            <w:vAlign w:val="center"/>
          </w:tcPr>
          <w:p>
            <w:pPr>
              <w:spacing w:before="30" w:after="30"/>
            </w:pPr>
            <w:r>
              <w:rPr>
                <w:rFonts w:ascii="DM Sans" w:hAnsi="DM Sans" w:cs="DM Sans"/>
                <w:b w:val="0"/>
                <w:i w:val="0"/>
                <w:color w:val="050C2A"/>
                <w:sz w:val="20"/>
                <w:u w:val="none"/>
              </w:rPr>
              <w:t>Maintain a change log that documents feedback received, how it was addressed, and rationale for feedback not incorporated.</w:t>
            </w:r>
          </w:p>
        </w:tc>
        <w:tc>
          <w:tcPr>
            <w:tcW w:type="dxa" w:w="4198"/>
            <w:vAlign w:val="center"/>
          </w:tcPr>
          <w:p>
            <w:pPr>
              <w:spacing w:before="30" w:after="30"/>
            </w:pPr>
            <w:r>
              <w:rPr>
                <w:rFonts w:ascii="DM Sans" w:hAnsi="DM Sans" w:cs="DM Sans"/>
                <w:b w:val="0"/>
                <w:i w:val="0"/>
                <w:color w:val="050C2A"/>
                <w:sz w:val="20"/>
                <w:u w:val="none"/>
              </w:rPr>
              <w:t>Professionalism → Feedback Reception; Professionalism → Quality &amp; Attention to Detail</w:t>
            </w:r>
          </w:p>
        </w:tc>
      </w:tr>
      <w:tr>
        <w:tc>
          <w:tcPr>
            <w:tcW w:type="dxa" w:w="790"/>
            <w:shd w:fill="F5F5F5" w:val="clear"/>
            <w:vAlign w:val="center"/>
          </w:tcPr>
          <w:p>
            <w:pPr>
              <w:spacing w:before="30" w:after="30"/>
            </w:pPr>
            <w:r>
              <w:rPr>
                <w:rFonts w:ascii="DM Sans" w:hAnsi="DM Sans" w:cs="DM Sans"/>
                <w:b/>
                <w:i w:val="0"/>
                <w:color w:val="050C2A"/>
                <w:sz w:val="20"/>
                <w:u w:val="none"/>
              </w:rPr>
              <w:t>4</w:t>
            </w:r>
          </w:p>
        </w:tc>
        <w:tc>
          <w:tcPr>
            <w:tcW w:type="dxa" w:w="4372"/>
            <w:shd w:fill="F5F5F5" w:val="clear"/>
            <w:vAlign w:val="center"/>
          </w:tcPr>
          <w:p>
            <w:pPr>
              <w:spacing w:before="30" w:after="30"/>
            </w:pPr>
            <w:r>
              <w:rPr>
                <w:rFonts w:ascii="DM Sans" w:hAnsi="DM Sans" w:cs="DM Sans"/>
                <w:b w:val="0"/>
                <w:i w:val="0"/>
                <w:color w:val="050C2A"/>
                <w:sz w:val="20"/>
                <w:u w:val="none"/>
              </w:rPr>
              <w:t>Use AI as a quality reviewer to evaluate their own draft work for consistency, logical gaps, tone mismatches, and reader confusion.</w:t>
            </w:r>
          </w:p>
        </w:tc>
        <w:tc>
          <w:tcPr>
            <w:tcW w:type="dxa" w:w="4198"/>
            <w:shd w:fill="F5F5F5" w:val="clear"/>
            <w:vAlign w:val="center"/>
          </w:tcPr>
          <w:p>
            <w:pPr>
              <w:spacing w:before="30" w:after="30"/>
            </w:pPr>
            <w:r>
              <w:rPr>
                <w:rFonts w:ascii="DM Sans" w:hAnsi="DM Sans" w:cs="DM Sans"/>
                <w:b w:val="0"/>
                <w:i w:val="0"/>
                <w:color w:val="050C2A"/>
                <w:sz w:val="20"/>
                <w:u w:val="none"/>
              </w:rPr>
              <w:t>Critical Thinking → Prioritization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10 is the final week of the Development phase, and it is intentionally lighter than Week 9 (~8.5 hrs vs. ~9 hrs). After the most intensive week in the course — Progress Review #2, Team Processing Session, Draft Deliverable submission, and Reflection #3 — students need room to regroup and focus on integration work. The lighter load is recovery by design, not a scheduling gap. The module content is heavier than recent weeks (65 min across four segments) because this week serves a distinct conceptual function: helping students step back from the daily production grind and connect what they're doing to what they're learning. This is the "making sense of your experience" week, and the conceptual modules (10.02, 10.03) prepare students for Reflection #4 in Week 12 and Reflection #5 in Week 15 — both of which require students to articulate transferable learning, not just describe events. The Change Log introduction (10.04) and AI as Quality Reviewer module (10.05) are practical tools that students will use through the remainder of the course. No employer touchpoint this week — the last was Progress Review #2 in Week 9 and the next is the Near-Final Review in Week 11.</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410"/>
            <w:shd w:fill="FF7C0A" w:val="clear"/>
            <w:vAlign w:val="center"/>
          </w:tcPr>
          <w:p>
            <w:pPr>
              <w:jc w:val="left"/>
              <w:spacing w:before="40" w:after="40"/>
            </w:pPr>
            <w:r>
              <w:rPr>
                <w:rFonts w:ascii="DM Sans" w:hAnsi="DM Sans" w:cs="DM Sans"/>
                <w:b/>
                <w:i w:val="0"/>
                <w:color w:val="FFFFFF"/>
                <w:sz w:val="20"/>
                <w:u w:val="none"/>
              </w:rPr>
              <w:t>#</w:t>
            </w:r>
          </w:p>
        </w:tc>
        <w:tc>
          <w:tcPr>
            <w:tcW w:type="dxa" w:w="917"/>
            <w:shd w:fill="FF7C0A" w:val="clear"/>
            <w:vAlign w:val="center"/>
          </w:tcPr>
          <w:p>
            <w:pPr>
              <w:jc w:val="left"/>
              <w:spacing w:before="40" w:after="40"/>
            </w:pPr>
            <w:r>
              <w:rPr>
                <w:rFonts w:ascii="DM Sans" w:hAnsi="DM Sans" w:cs="DM Sans"/>
                <w:b/>
                <w:i w:val="0"/>
                <w:color w:val="FFFFFF"/>
                <w:sz w:val="20"/>
                <w:u w:val="none"/>
              </w:rPr>
              <w:t>Category</w:t>
            </w:r>
          </w:p>
        </w:tc>
        <w:tc>
          <w:tcPr>
            <w:tcW w:type="dxa" w:w="1916"/>
            <w:shd w:fill="FF7C0A" w:val="clear"/>
            <w:vAlign w:val="center"/>
          </w:tcPr>
          <w:p>
            <w:pPr>
              <w:jc w:val="left"/>
              <w:spacing w:before="40" w:after="40"/>
            </w:pPr>
            <w:r>
              <w:rPr>
                <w:rFonts w:ascii="DM Sans" w:hAnsi="DM Sans" w:cs="DM Sans"/>
                <w:b/>
                <w:i w:val="0"/>
                <w:color w:val="FFFFFF"/>
                <w:sz w:val="20"/>
                <w:u w:val="none"/>
              </w:rPr>
              <w:t>Activity</w:t>
            </w:r>
          </w:p>
        </w:tc>
        <w:tc>
          <w:tcPr>
            <w:tcW w:type="dxa" w:w="485"/>
            <w:shd w:fill="FF7C0A" w:val="clear"/>
            <w:vAlign w:val="center"/>
          </w:tcPr>
          <w:p>
            <w:pPr>
              <w:jc w:val="left"/>
              <w:spacing w:before="40" w:after="40"/>
            </w:pPr>
            <w:r>
              <w:rPr>
                <w:rFonts w:ascii="DM Sans" w:hAnsi="DM Sans" w:cs="DM Sans"/>
                <w:b/>
                <w:i w:val="0"/>
                <w:color w:val="FFFFFF"/>
                <w:sz w:val="20"/>
                <w:u w:val="none"/>
              </w:rPr>
              <w:t>Format</w:t>
            </w:r>
          </w:p>
        </w:tc>
        <w:tc>
          <w:tcPr>
            <w:tcW w:type="dxa" w:w="953"/>
            <w:shd w:fill="FF7C0A" w:val="clear"/>
            <w:vAlign w:val="center"/>
          </w:tcPr>
          <w:p>
            <w:pPr>
              <w:jc w:val="left"/>
              <w:spacing w:before="40" w:after="40"/>
            </w:pPr>
            <w:r>
              <w:rPr>
                <w:rFonts w:ascii="DM Sans" w:hAnsi="DM Sans" w:cs="DM Sans"/>
                <w:b/>
                <w:i w:val="0"/>
                <w:color w:val="FFFFFF"/>
                <w:sz w:val="20"/>
                <w:u w:val="none"/>
              </w:rPr>
              <w:t>Min</w:t>
            </w:r>
          </w:p>
        </w:tc>
        <w:tc>
          <w:tcPr>
            <w:tcW w:type="dxa" w:w="4679"/>
            <w:shd w:fill="FF7C0A" w:val="clear"/>
            <w:vAlign w:val="center"/>
          </w:tcPr>
          <w:p>
            <w:pPr>
              <w:jc w:val="left"/>
              <w:spacing w:before="40" w:after="40"/>
            </w:pPr>
            <w:r>
              <w:rPr>
                <w:rFonts w:ascii="DM Sans" w:hAnsi="DM Sans" w:cs="DM Sans"/>
                <w:b/>
                <w:i w:val="0"/>
                <w:color w:val="FFFFFF"/>
                <w:sz w:val="20"/>
                <w:u w:val="none"/>
              </w:rPr>
              <w:t>Note</w:t>
            </w:r>
          </w:p>
        </w:tc>
      </w:tr>
      <w:tr>
        <w:tc>
          <w:tcPr>
            <w:tcW w:type="dxa" w:w="410"/>
            <w:vAlign w:val="center"/>
          </w:tcPr>
          <w:p>
            <w:pPr>
              <w:spacing w:before="30" w:after="30"/>
            </w:pPr>
            <w:r>
              <w:rPr>
                <w:rFonts w:ascii="DM Sans" w:hAnsi="DM Sans" w:cs="DM Sans"/>
                <w:b w:val="0"/>
                <w:i w:val="0"/>
                <w:color w:val="050C2A"/>
                <w:sz w:val="20"/>
                <w:u w:val="none"/>
              </w:rPr>
              <w:t>10.01</w:t>
            </w:r>
          </w:p>
        </w:tc>
        <w:tc>
          <w:tcPr>
            <w:tcW w:type="dxa" w:w="917"/>
            <w:vAlign w:val="center"/>
          </w:tcPr>
          <w:p>
            <w:pPr>
              <w:spacing w:before="30" w:after="30"/>
            </w:pPr>
            <w:r>
              <w:rPr>
                <w:rFonts w:ascii="DM Sans" w:hAnsi="DM Sans" w:cs="DM Sans"/>
                <w:b w:val="0"/>
                <w:i w:val="0"/>
                <w:color w:val="050C2A"/>
                <w:sz w:val="20"/>
                <w:u w:val="none"/>
              </w:rPr>
              <w:t>Course Orientation</w:t>
            </w:r>
          </w:p>
        </w:tc>
        <w:tc>
          <w:tcPr>
            <w:tcW w:type="dxa" w:w="1916"/>
            <w:vAlign w:val="center"/>
          </w:tcPr>
          <w:p>
            <w:pPr>
              <w:spacing w:before="30" w:after="30"/>
            </w:pPr>
            <w:r>
              <w:rPr>
                <w:rFonts w:ascii="DM Sans" w:hAnsi="DM Sans" w:cs="DM Sans"/>
                <w:b w:val="0"/>
                <w:i w:val="0"/>
                <w:color w:val="050C2A"/>
                <w:sz w:val="20"/>
                <w:u w:val="none"/>
              </w:rPr>
              <w:t>Week 10 Overview — objectives, what's happening this week, suggested order of completion</w:t>
            </w:r>
          </w:p>
        </w:tc>
        <w:tc>
          <w:tcPr>
            <w:tcW w:type="dxa" w:w="485"/>
            <w:vAlign w:val="center"/>
          </w:tcPr>
          <w:p>
            <w:pPr>
              <w:spacing w:before="30" w:after="30"/>
            </w:pPr>
            <w:r>
              <w:rPr>
                <w:rFonts w:ascii="DM Sans" w:hAnsi="DM Sans" w:cs="DM Sans"/>
                <w:b w:val="0"/>
                <w:i w:val="0"/>
                <w:color w:val="050C2A"/>
                <w:sz w:val="20"/>
                <w:u w:val="none"/>
              </w:rPr>
              <w:t>Module</w:t>
            </w:r>
          </w:p>
        </w:tc>
        <w:tc>
          <w:tcPr>
            <w:tcW w:type="dxa" w:w="953"/>
            <w:vAlign w:val="center"/>
          </w:tcPr>
          <w:p>
            <w:pPr>
              <w:spacing w:before="30" w:after="30"/>
            </w:pPr>
            <w:r>
              <w:rPr>
                <w:rFonts w:ascii="DM Sans" w:hAnsi="DM Sans" w:cs="DM Sans"/>
                <w:b w:val="0"/>
                <w:i w:val="0"/>
                <w:color w:val="050C2A"/>
                <w:sz w:val="20"/>
                <w:u w:val="none"/>
              </w:rPr>
              <w:t>5</w:t>
            </w:r>
          </w:p>
        </w:tc>
        <w:tc>
          <w:tcPr>
            <w:tcW w:type="dxa" w:w="4679"/>
            <w:vAlign w:val="center"/>
          </w:tcPr>
          <w:p>
            <w:pPr>
              <w:spacing w:before="30" w:after="30"/>
            </w:pPr>
            <w:r>
              <w:rPr>
                <w:rFonts w:ascii="DM Sans" w:hAnsi="DM Sans" w:cs="DM Sans"/>
                <w:b w:val="0"/>
                <w:i w:val="0"/>
                <w:color w:val="050C2A"/>
                <w:sz w:val="20"/>
                <w:u w:val="none"/>
              </w:rPr>
              <w:t>Final week of Development phase; no graded deliverable this week — Reflection #3 was submitted in Week 9; orients to the shift from building sections to assembling a coherent package; flags that Week 11 opens Refinement with the Near-Final Review and the Near-Final Package checkpoint; this week is intentionally lighter than Week 9 — after the most intensive week in the course (PR#2, Team Processing, Draft Deliverable, Reflection #3), students need room to regroup and focus on integration work</w:t>
            </w:r>
          </w:p>
        </w:tc>
      </w:tr>
      <w:tr>
        <w:tc>
          <w:tcPr>
            <w:tcW w:type="dxa" w:w="410"/>
            <w:shd w:fill="F5F5F5" w:val="clear"/>
            <w:vAlign w:val="center"/>
          </w:tcPr>
          <w:p>
            <w:pPr>
              <w:spacing w:before="30" w:after="30"/>
            </w:pPr>
            <w:r>
              <w:rPr>
                <w:rFonts w:ascii="DM Sans" w:hAnsi="DM Sans" w:cs="DM Sans"/>
                <w:b w:val="0"/>
                <w:i w:val="0"/>
                <w:color w:val="050C2A"/>
                <w:sz w:val="20"/>
                <w:u w:val="none"/>
              </w:rPr>
              <w:t>10.02</w:t>
            </w:r>
          </w:p>
        </w:tc>
        <w:tc>
          <w:tcPr>
            <w:tcW w:type="dxa" w:w="91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916"/>
            <w:shd w:fill="F5F5F5" w:val="clear"/>
            <w:vAlign w:val="center"/>
          </w:tcPr>
          <w:p>
            <w:pPr>
              <w:spacing w:before="30" w:after="30"/>
            </w:pPr>
            <w:r>
              <w:rPr>
                <w:rFonts w:ascii="DM Sans" w:hAnsi="DM Sans" w:cs="DM Sans"/>
                <w:b w:val="0"/>
                <w:i w:val="0"/>
                <w:color w:val="050C2A"/>
                <w:sz w:val="20"/>
                <w:u w:val="none"/>
              </w:rPr>
              <w:t>Module: What Are You Actually Learning?</w:t>
            </w:r>
          </w:p>
        </w:tc>
        <w:tc>
          <w:tcPr>
            <w:tcW w:type="dxa" w:w="485"/>
            <w:shd w:fill="F5F5F5" w:val="clear"/>
            <w:vAlign w:val="center"/>
          </w:tcPr>
          <w:p>
            <w:pPr>
              <w:spacing w:before="30" w:after="30"/>
            </w:pPr>
            <w:r>
              <w:rPr>
                <w:rFonts w:ascii="DM Sans" w:hAnsi="DM Sans" w:cs="DM Sans"/>
                <w:b w:val="0"/>
                <w:i w:val="0"/>
                <w:color w:val="050C2A"/>
                <w:sz w:val="20"/>
                <w:u w:val="none"/>
              </w:rPr>
              <w:t>Module</w:t>
            </w:r>
          </w:p>
        </w:tc>
        <w:tc>
          <w:tcPr>
            <w:tcW w:type="dxa" w:w="953"/>
            <w:shd w:fill="F5F5F5" w:val="clear"/>
            <w:vAlign w:val="center"/>
          </w:tcPr>
          <w:p>
            <w:pPr>
              <w:spacing w:before="30" w:after="30"/>
            </w:pPr>
            <w:r>
              <w:rPr>
                <w:rFonts w:ascii="DM Sans" w:hAnsi="DM Sans" w:cs="DM Sans"/>
                <w:b w:val="0"/>
                <w:i w:val="0"/>
                <w:color w:val="050C2A"/>
                <w:sz w:val="20"/>
                <w:u w:val="none"/>
              </w:rPr>
              <w:t>20</w:t>
            </w:r>
          </w:p>
        </w:tc>
        <w:tc>
          <w:tcPr>
            <w:tcW w:type="dxa" w:w="4679"/>
            <w:shd w:fill="F5F5F5" w:val="clear"/>
            <w:vAlign w:val="center"/>
          </w:tcPr>
          <w:p>
            <w:pPr>
              <w:spacing w:before="30" w:after="30"/>
            </w:pPr>
            <w:r>
              <w:rPr>
                <w:rFonts w:ascii="DM Sans" w:hAnsi="DM Sans" w:cs="DM Sans"/>
                <w:b w:val="0"/>
                <w:i w:val="0"/>
                <w:color w:val="050C2A"/>
                <w:sz w:val="20"/>
                <w:u w:val="none"/>
              </w:rPr>
              <w:t>Surfacing tacit learning — naming skills developing that weren't planned for; connecting daily project work to competencies; students are 10 weeks in and often can't articulate what they've gained beyond "we made a deliverable"; grounds the reflection by helping students see experience as a source of professional insight rather than just a task to complete</w:t>
            </w:r>
          </w:p>
        </w:tc>
      </w:tr>
      <w:tr>
        <w:tc>
          <w:tcPr>
            <w:tcW w:type="dxa" w:w="410"/>
            <w:vAlign w:val="center"/>
          </w:tcPr>
          <w:p>
            <w:pPr>
              <w:spacing w:before="30" w:after="30"/>
            </w:pPr>
            <w:r>
              <w:rPr>
                <w:rFonts w:ascii="DM Sans" w:hAnsi="DM Sans" w:cs="DM Sans"/>
                <w:b w:val="0"/>
                <w:i w:val="0"/>
                <w:color w:val="050C2A"/>
                <w:sz w:val="20"/>
                <w:u w:val="none"/>
              </w:rPr>
              <w:t>10.03</w:t>
            </w:r>
          </w:p>
        </w:tc>
        <w:tc>
          <w:tcPr>
            <w:tcW w:type="dxa" w:w="917"/>
            <w:vAlign w:val="center"/>
          </w:tcPr>
          <w:p>
            <w:pPr>
              <w:spacing w:before="30" w:after="30"/>
            </w:pPr>
            <w:r>
              <w:rPr>
                <w:rFonts w:ascii="DM Sans" w:hAnsi="DM Sans" w:cs="DM Sans"/>
                <w:b w:val="0"/>
                <w:i w:val="0"/>
                <w:color w:val="050C2A"/>
                <w:sz w:val="20"/>
                <w:u w:val="none"/>
              </w:rPr>
              <w:t>Professional Fundamentals</w:t>
            </w:r>
          </w:p>
        </w:tc>
        <w:tc>
          <w:tcPr>
            <w:tcW w:type="dxa" w:w="1916"/>
            <w:vAlign w:val="center"/>
          </w:tcPr>
          <w:p>
            <w:pPr>
              <w:spacing w:before="30" w:after="30"/>
            </w:pPr>
            <w:r>
              <w:rPr>
                <w:rFonts w:ascii="DM Sans" w:hAnsi="DM Sans" w:cs="DM Sans"/>
                <w:b w:val="0"/>
                <w:i w:val="0"/>
                <w:color w:val="050C2A"/>
                <w:sz w:val="20"/>
                <w:u w:val="none"/>
              </w:rPr>
              <w:t>Module: From Experience to Concept — Making Learning Transferable</w:t>
            </w:r>
          </w:p>
        </w:tc>
        <w:tc>
          <w:tcPr>
            <w:tcW w:type="dxa" w:w="485"/>
            <w:vAlign w:val="center"/>
          </w:tcPr>
          <w:p>
            <w:pPr>
              <w:spacing w:before="30" w:after="30"/>
            </w:pPr>
            <w:r>
              <w:rPr>
                <w:rFonts w:ascii="DM Sans" w:hAnsi="DM Sans" w:cs="DM Sans"/>
                <w:b w:val="0"/>
                <w:i w:val="0"/>
                <w:color w:val="050C2A"/>
                <w:sz w:val="20"/>
                <w:u w:val="none"/>
              </w:rPr>
              <w:t>Module</w:t>
            </w:r>
          </w:p>
        </w:tc>
        <w:tc>
          <w:tcPr>
            <w:tcW w:type="dxa" w:w="953"/>
            <w:vAlign w:val="center"/>
          </w:tcPr>
          <w:p>
            <w:pPr>
              <w:spacing w:before="30" w:after="30"/>
            </w:pPr>
            <w:r>
              <w:rPr>
                <w:rFonts w:ascii="DM Sans" w:hAnsi="DM Sans" w:cs="DM Sans"/>
                <w:b w:val="0"/>
                <w:i w:val="0"/>
                <w:color w:val="050C2A"/>
                <w:sz w:val="20"/>
                <w:u w:val="none"/>
              </w:rPr>
              <w:t>20</w:t>
            </w:r>
          </w:p>
        </w:tc>
        <w:tc>
          <w:tcPr>
            <w:tcW w:type="dxa" w:w="4679"/>
            <w:vAlign w:val="center"/>
          </w:tcPr>
          <w:p>
            <w:pPr>
              <w:spacing w:before="30" w:after="30"/>
            </w:pPr>
            <w:r>
              <w:rPr>
                <w:rFonts w:ascii="DM Sans" w:hAnsi="DM Sans" w:cs="DM Sans"/>
                <w:b w:val="0"/>
                <w:i w:val="0"/>
                <w:color w:val="050C2A"/>
                <w:sz w:val="20"/>
                <w:u w:val="none"/>
              </w:rPr>
              <w:t>How to extract principles from specific situations; the difference between "I learned to use Excel" and "I learned how to translate ambiguous client requests into a research plan"; what makes learning transferable vs. situation-specific; directly feeds the Articulation of Learning dimension in the reflection rubric and prepares students for Reflection #4 (Week 12) and Reflection #5 (Week 15)</w:t>
            </w:r>
          </w:p>
        </w:tc>
      </w:tr>
      <w:tr>
        <w:tc>
          <w:tcPr>
            <w:tcW w:type="dxa" w:w="410"/>
            <w:shd w:fill="F5F5F5" w:val="clear"/>
            <w:vAlign w:val="center"/>
          </w:tcPr>
          <w:p>
            <w:pPr>
              <w:spacing w:before="30" w:after="30"/>
            </w:pPr>
            <w:r>
              <w:rPr>
                <w:rFonts w:ascii="DM Sans" w:hAnsi="DM Sans" w:cs="DM Sans"/>
                <w:b w:val="0"/>
                <w:i w:val="0"/>
                <w:color w:val="050C2A"/>
                <w:sz w:val="20"/>
                <w:u w:val="none"/>
              </w:rPr>
              <w:t>10.04</w:t>
            </w:r>
          </w:p>
        </w:tc>
        <w:tc>
          <w:tcPr>
            <w:tcW w:type="dxa" w:w="91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916"/>
            <w:shd w:fill="F5F5F5" w:val="clear"/>
            <w:vAlign w:val="center"/>
          </w:tcPr>
          <w:p>
            <w:pPr>
              <w:spacing w:before="30" w:after="30"/>
            </w:pPr>
            <w:r>
              <w:rPr>
                <w:rFonts w:ascii="DM Sans" w:hAnsi="DM Sans" w:cs="DM Sans"/>
                <w:b w:val="0"/>
                <w:i w:val="0"/>
                <w:color w:val="050C2A"/>
                <w:sz w:val="20"/>
                <w:u w:val="none"/>
              </w:rPr>
              <w:t>Module: Introducing the Change Log</w:t>
            </w:r>
          </w:p>
        </w:tc>
        <w:tc>
          <w:tcPr>
            <w:tcW w:type="dxa" w:w="485"/>
            <w:shd w:fill="F5F5F5" w:val="clear"/>
            <w:vAlign w:val="center"/>
          </w:tcPr>
          <w:p>
            <w:pPr>
              <w:spacing w:before="30" w:after="30"/>
            </w:pPr>
            <w:r>
              <w:rPr>
                <w:rFonts w:ascii="DM Sans" w:hAnsi="DM Sans" w:cs="DM Sans"/>
                <w:b w:val="0"/>
                <w:i w:val="0"/>
                <w:color w:val="050C2A"/>
                <w:sz w:val="20"/>
                <w:u w:val="none"/>
              </w:rPr>
              <w:t>Module</w:t>
            </w:r>
          </w:p>
        </w:tc>
        <w:tc>
          <w:tcPr>
            <w:tcW w:type="dxa" w:w="953"/>
            <w:shd w:fill="F5F5F5" w:val="clear"/>
            <w:vAlign w:val="center"/>
          </w:tcPr>
          <w:p>
            <w:pPr>
              <w:spacing w:before="30" w:after="30"/>
            </w:pPr>
            <w:r>
              <w:rPr>
                <w:rFonts w:ascii="DM Sans" w:hAnsi="DM Sans" w:cs="DM Sans"/>
                <w:b w:val="0"/>
                <w:i w:val="0"/>
                <w:color w:val="050C2A"/>
                <w:sz w:val="20"/>
                <w:u w:val="none"/>
              </w:rPr>
              <w:t>15</w:t>
            </w:r>
          </w:p>
        </w:tc>
        <w:tc>
          <w:tcPr>
            <w:tcW w:type="dxa" w:w="4679"/>
            <w:shd w:fill="F5F5F5" w:val="clear"/>
            <w:vAlign w:val="center"/>
          </w:tcPr>
          <w:p>
            <w:pPr>
              <w:spacing w:before="30" w:after="30"/>
            </w:pPr>
            <w:r>
              <w:rPr>
                <w:rFonts w:ascii="DM Sans" w:hAnsi="DM Sans" w:cs="DM Sans"/>
                <w:b w:val="0"/>
                <w:i w:val="0"/>
                <w:color w:val="050C2A"/>
                <w:sz w:val="20"/>
                <w:u w:val="none"/>
              </w:rPr>
              <w:t>Formal introduction of the Change Log — a running record of feedback received, how it was addressed, and rationale for feedback not incorporated; includes a "what good entries look like" section with examples of strong vs. weak log entries; students have been informally tracking feedback since Week 7 debriefs; the Change Log is a required component of the Final Deliverables submission (Week 13, 30% of course grade) — without it, the Responsiveness to Feedback dimension (10%) scores as "Not Submitted" (0%); introducing now with 3 weeks of production remaining gives teams time to build the habit before it becomes high-stakes</w:t>
            </w:r>
          </w:p>
        </w:tc>
      </w:tr>
      <w:tr>
        <w:tc>
          <w:tcPr>
            <w:tcW w:type="dxa" w:w="410"/>
            <w:vAlign w:val="center"/>
          </w:tcPr>
          <w:p>
            <w:pPr>
              <w:spacing w:before="30" w:after="30"/>
            </w:pPr>
            <w:r>
              <w:rPr>
                <w:rFonts w:ascii="DM Sans" w:hAnsi="DM Sans" w:cs="DM Sans"/>
                <w:b w:val="0"/>
                <w:i w:val="0"/>
                <w:color w:val="050C2A"/>
                <w:sz w:val="20"/>
                <w:u w:val="none"/>
              </w:rPr>
              <w:t>10.05</w:t>
            </w:r>
          </w:p>
        </w:tc>
        <w:tc>
          <w:tcPr>
            <w:tcW w:type="dxa" w:w="917"/>
            <w:vAlign w:val="center"/>
          </w:tcPr>
          <w:p>
            <w:pPr>
              <w:spacing w:before="30" w:after="30"/>
            </w:pPr>
            <w:r>
              <w:rPr>
                <w:rFonts w:ascii="DM Sans" w:hAnsi="DM Sans" w:cs="DM Sans"/>
                <w:b w:val="0"/>
                <w:i w:val="0"/>
                <w:color w:val="050C2A"/>
                <w:sz w:val="20"/>
                <w:u w:val="none"/>
              </w:rPr>
              <w:t>Professional Fundamentals</w:t>
            </w:r>
          </w:p>
        </w:tc>
        <w:tc>
          <w:tcPr>
            <w:tcW w:type="dxa" w:w="1916"/>
            <w:vAlign w:val="center"/>
          </w:tcPr>
          <w:p>
            <w:pPr>
              <w:spacing w:before="30" w:after="30"/>
            </w:pPr>
            <w:r>
              <w:rPr>
                <w:rFonts w:ascii="DM Sans" w:hAnsi="DM Sans" w:cs="DM Sans"/>
                <w:b w:val="0"/>
                <w:i w:val="0"/>
                <w:color w:val="050C2A"/>
                <w:sz w:val="20"/>
                <w:u w:val="none"/>
              </w:rPr>
              <w:t>Module: AI as Quality Reviewer</w:t>
            </w:r>
          </w:p>
        </w:tc>
        <w:tc>
          <w:tcPr>
            <w:tcW w:type="dxa" w:w="485"/>
            <w:vAlign w:val="center"/>
          </w:tcPr>
          <w:p>
            <w:pPr>
              <w:spacing w:before="30" w:after="30"/>
            </w:pPr>
            <w:r>
              <w:rPr>
                <w:rFonts w:ascii="DM Sans" w:hAnsi="DM Sans" w:cs="DM Sans"/>
                <w:b w:val="0"/>
                <w:i w:val="0"/>
                <w:color w:val="050C2A"/>
                <w:sz w:val="20"/>
                <w:u w:val="none"/>
              </w:rPr>
              <w:t>Module</w:t>
            </w:r>
          </w:p>
        </w:tc>
        <w:tc>
          <w:tcPr>
            <w:tcW w:type="dxa" w:w="953"/>
            <w:vAlign w:val="center"/>
          </w:tcPr>
          <w:p>
            <w:pPr>
              <w:spacing w:before="30" w:after="30"/>
            </w:pPr>
            <w:r>
              <w:rPr>
                <w:rFonts w:ascii="DM Sans" w:hAnsi="DM Sans" w:cs="DM Sans"/>
                <w:b w:val="0"/>
                <w:i w:val="0"/>
                <w:color w:val="050C2A"/>
                <w:sz w:val="20"/>
                <w:u w:val="none"/>
              </w:rPr>
              <w:t>10</w:t>
            </w:r>
          </w:p>
        </w:tc>
        <w:tc>
          <w:tcPr>
            <w:tcW w:type="dxa" w:w="4679"/>
            <w:vAlign w:val="center"/>
          </w:tcPr>
          <w:p>
            <w:pPr>
              <w:spacing w:before="30" w:after="30"/>
            </w:pPr>
            <w:r>
              <w:rPr>
                <w:rFonts w:ascii="DM Sans" w:hAnsi="DM Sans" w:cs="DM Sans"/>
                <w:b w:val="0"/>
                <w:i w:val="0"/>
                <w:color w:val="050C2A"/>
                <w:sz w:val="20"/>
                <w:u w:val="none"/>
              </w:rPr>
              <w:t>Deepening AI skills for the refinement and integration phases; using AI to review your own draft for consistency, logical gaps, tone mismatches, and reader confusion; distinct from Week 9's actionability test (which was content-specific) — this is about using AI as a fresh-eyes reader of the full document; prompt strategies: ask AI to read your document as someone unfamiliar with the project and flag where they get lost; builds on the AI skill progression (policy → research prompting → Socratic partner → production partner → quality reviewer); final AI skill-building module before students apply these skills independently through Weeks 11–15</w:t>
            </w:r>
          </w:p>
        </w:tc>
      </w:tr>
      <w:tr>
        <w:tc>
          <w:tcPr>
            <w:tcW w:type="dxa" w:w="410"/>
            <w:shd w:fill="F5F5F5" w:val="clear"/>
            <w:vAlign w:val="center"/>
          </w:tcPr>
          <w:p>
            <w:pPr>
              <w:spacing w:before="30" w:after="30"/>
            </w:pPr>
            <w:r>
              <w:rPr>
                <w:rFonts w:ascii="DM Sans" w:hAnsi="DM Sans" w:cs="DM Sans"/>
                <w:b w:val="0"/>
                <w:i w:val="0"/>
                <w:color w:val="050C2A"/>
                <w:sz w:val="20"/>
                <w:u w:val="none"/>
              </w:rPr>
              <w:t>10.06</w:t>
            </w:r>
          </w:p>
        </w:tc>
        <w:tc>
          <w:tcPr>
            <w:tcW w:type="dxa" w:w="917"/>
            <w:shd w:fill="F5F5F5" w:val="clear"/>
            <w:vAlign w:val="center"/>
          </w:tcPr>
          <w:p>
            <w:pPr>
              <w:spacing w:before="30" w:after="30"/>
            </w:pPr>
            <w:r>
              <w:rPr>
                <w:rFonts w:ascii="DM Sans" w:hAnsi="DM Sans" w:cs="DM Sans"/>
                <w:b w:val="0"/>
                <w:i w:val="0"/>
                <w:color w:val="050C2A"/>
                <w:sz w:val="20"/>
                <w:u w:val="none"/>
              </w:rPr>
              <w:t>Project Work</w:t>
            </w:r>
          </w:p>
        </w:tc>
        <w:tc>
          <w:tcPr>
            <w:tcW w:type="dxa" w:w="1916"/>
            <w:shd w:fill="F5F5F5" w:val="clear"/>
            <w:vAlign w:val="center"/>
          </w:tcPr>
          <w:p>
            <w:pPr>
              <w:spacing w:before="30" w:after="30"/>
            </w:pPr>
            <w:r>
              <w:rPr>
                <w:rFonts w:ascii="DM Sans" w:hAnsi="DM Sans" w:cs="DM Sans"/>
                <w:b w:val="0"/>
                <w:i w:val="0"/>
                <w:color w:val="050C2A"/>
                <w:sz w:val="20"/>
                <w:u w:val="none"/>
              </w:rPr>
              <w:t>Team sync — review Check-In #2 feedback action items, assess deliverable status, plan integration work</w:t>
            </w:r>
          </w:p>
        </w:tc>
        <w:tc>
          <w:tcPr>
            <w:tcW w:type="dxa" w:w="485"/>
            <w:shd w:fill="F5F5F5" w:val="clear"/>
            <w:vAlign w:val="center"/>
          </w:tcPr>
          <w:p>
            <w:pPr>
              <w:spacing w:before="30" w:after="30"/>
            </w:pPr>
            <w:r>
              <w:rPr>
                <w:rFonts w:ascii="DM Sans" w:hAnsi="DM Sans" w:cs="DM Sans"/>
                <w:b w:val="0"/>
                <w:i w:val="0"/>
                <w:color w:val="050C2A"/>
                <w:sz w:val="20"/>
                <w:u w:val="none"/>
              </w:rPr>
              <w:t>Project</w:t>
            </w:r>
          </w:p>
        </w:tc>
        <w:tc>
          <w:tcPr>
            <w:tcW w:type="dxa" w:w="953"/>
            <w:shd w:fill="F5F5F5" w:val="clear"/>
            <w:vAlign w:val="center"/>
          </w:tcPr>
          <w:p>
            <w:pPr>
              <w:spacing w:before="30" w:after="30"/>
            </w:pPr>
            <w:r>
              <w:rPr>
                <w:rFonts w:ascii="DM Sans" w:hAnsi="DM Sans" w:cs="DM Sans"/>
                <w:b w:val="0"/>
                <w:i w:val="0"/>
                <w:color w:val="050C2A"/>
                <w:sz w:val="20"/>
                <w:u w:val="none"/>
              </w:rPr>
              <w:t>45</w:t>
            </w:r>
          </w:p>
        </w:tc>
        <w:tc>
          <w:tcPr>
            <w:tcW w:type="dxa" w:w="4679"/>
            <w:shd w:fill="F5F5F5" w:val="clear"/>
            <w:vAlign w:val="center"/>
          </w:tcPr>
          <w:p>
            <w:pPr>
              <w:spacing w:before="30" w:after="30"/>
            </w:pPr>
            <w:r>
              <w:rPr>
                <w:rFonts w:ascii="DM Sans" w:hAnsi="DM Sans" w:cs="DM Sans"/>
                <w:b w:val="0"/>
                <w:i w:val="0"/>
                <w:color w:val="050C2A"/>
                <w:sz w:val="20"/>
                <w:u w:val="none"/>
              </w:rPr>
              <w:t>Primary coordination meeting; teams revisit Check-In #2 debrief notes (9.10) and team processing agreement (9.06) to check: what feedback has been addressed, what remains, what's the plan for assembling a complete package; heavier than a 30-min check-in because the conversation requires both backward review (what did we agree to change?) and forward planning across the Development-to-Refinement transition (what needs to happen before Week 11?)</w:t>
            </w:r>
          </w:p>
        </w:tc>
      </w:tr>
      <w:tr>
        <w:tc>
          <w:tcPr>
            <w:tcW w:type="dxa" w:w="410"/>
            <w:vAlign w:val="center"/>
          </w:tcPr>
          <w:p>
            <w:pPr>
              <w:spacing w:before="30" w:after="30"/>
            </w:pPr>
            <w:r>
              <w:rPr>
                <w:rFonts w:ascii="DM Sans" w:hAnsi="DM Sans" w:cs="DM Sans"/>
                <w:b w:val="0"/>
                <w:i w:val="0"/>
                <w:color w:val="050C2A"/>
                <w:sz w:val="20"/>
                <w:u w:val="none"/>
              </w:rPr>
              <w:t>10.07</w:t>
            </w:r>
          </w:p>
        </w:tc>
        <w:tc>
          <w:tcPr>
            <w:tcW w:type="dxa" w:w="917"/>
            <w:vAlign w:val="center"/>
          </w:tcPr>
          <w:p>
            <w:pPr>
              <w:spacing w:before="30" w:after="30"/>
            </w:pPr>
            <w:r>
              <w:rPr>
                <w:rFonts w:ascii="DM Sans" w:hAnsi="DM Sans" w:cs="DM Sans"/>
                <w:b w:val="0"/>
                <w:i w:val="0"/>
                <w:color w:val="050C2A"/>
                <w:sz w:val="20"/>
                <w:u w:val="none"/>
              </w:rPr>
              <w:t>Project Work</w:t>
            </w:r>
          </w:p>
        </w:tc>
        <w:tc>
          <w:tcPr>
            <w:tcW w:type="dxa" w:w="1916"/>
            <w:vAlign w:val="center"/>
          </w:tcPr>
          <w:p>
            <w:pPr>
              <w:spacing w:before="30" w:after="30"/>
            </w:pPr>
            <w:r>
              <w:rPr>
                <w:rFonts w:ascii="DM Sans" w:hAnsi="DM Sans" w:cs="DM Sans"/>
                <w:b w:val="0"/>
                <w:i w:val="0"/>
                <w:color w:val="050C2A"/>
                <w:sz w:val="20"/>
                <w:u w:val="none"/>
              </w:rPr>
              <w:t>Continue project production — integration, section development, and gap-filling</w:t>
            </w:r>
          </w:p>
        </w:tc>
        <w:tc>
          <w:tcPr>
            <w:tcW w:type="dxa" w:w="485"/>
            <w:vAlign w:val="center"/>
          </w:tcPr>
          <w:p>
            <w:pPr>
              <w:spacing w:before="30" w:after="30"/>
            </w:pPr>
            <w:r>
              <w:rPr>
                <w:rFonts w:ascii="DM Sans" w:hAnsi="DM Sans" w:cs="DM Sans"/>
                <w:b w:val="0"/>
                <w:i w:val="0"/>
                <w:color w:val="050C2A"/>
                <w:sz w:val="20"/>
                <w:u w:val="none"/>
              </w:rPr>
              <w:t>Project</w:t>
            </w:r>
          </w:p>
        </w:tc>
        <w:tc>
          <w:tcPr>
            <w:tcW w:type="dxa" w:w="953"/>
            <w:vAlign w:val="center"/>
          </w:tcPr>
          <w:p>
            <w:pPr>
              <w:spacing w:before="30" w:after="30"/>
            </w:pPr>
            <w:r>
              <w:rPr>
                <w:rFonts w:ascii="DM Sans" w:hAnsi="DM Sans" w:cs="DM Sans"/>
                <w:b w:val="0"/>
                <w:i w:val="0"/>
                <w:color w:val="050C2A"/>
                <w:sz w:val="20"/>
                <w:u w:val="none"/>
              </w:rPr>
              <w:t>300</w:t>
            </w:r>
          </w:p>
        </w:tc>
        <w:tc>
          <w:tcPr>
            <w:tcW w:type="dxa" w:w="4679"/>
            <w:vAlign w:val="center"/>
          </w:tcPr>
          <w:p>
            <w:pPr>
              <w:spacing w:before="30" w:after="30"/>
            </w:pPr>
            <w:r>
              <w:rPr>
                <w:rFonts w:ascii="DM Sans" w:hAnsi="DM Sans" w:cs="DM Sans"/>
                <w:b w:val="0"/>
                <w:i w:val="0"/>
                <w:color w:val="050C2A"/>
                <w:sz w:val="20"/>
                <w:u w:val="none"/>
              </w:rPr>
              <w:t>Largest production block in the course; with Reflection #3 moved to Week 9, this week has substantially more room for integration work; emphasis shifts from drafting new content to integrating existing sections into a coherent whole; teams address gaps identified in the internal review gate (9.07) and incorporate Check-In #2 feedback; applies integration skills from module 9.02; 300 min reflects that this is the last major production week before Refinement — teams need to emerge from Week 10 with a package that is substantially complete, not still in pieces</w:t>
            </w:r>
          </w:p>
        </w:tc>
      </w:tr>
      <w:tr>
        <w:tc>
          <w:tcPr>
            <w:tcW w:type="dxa" w:w="410"/>
            <w:shd w:fill="F5F5F5" w:val="clear"/>
            <w:vAlign w:val="center"/>
          </w:tcPr>
          <w:p>
            <w:pPr>
              <w:spacing w:before="30" w:after="30"/>
            </w:pPr>
            <w:r>
              <w:rPr>
                <w:rFonts w:ascii="DM Sans" w:hAnsi="DM Sans" w:cs="DM Sans"/>
                <w:b w:val="0"/>
                <w:i w:val="0"/>
                <w:color w:val="050C2A"/>
                <w:sz w:val="20"/>
                <w:u w:val="none"/>
              </w:rPr>
              <w:t>10.08</w:t>
            </w:r>
          </w:p>
        </w:tc>
        <w:tc>
          <w:tcPr>
            <w:tcW w:type="dxa" w:w="917"/>
            <w:shd w:fill="F5F5F5" w:val="clear"/>
            <w:vAlign w:val="center"/>
          </w:tcPr>
          <w:p>
            <w:pPr>
              <w:spacing w:before="30" w:after="30"/>
            </w:pPr>
            <w:r>
              <w:rPr>
                <w:rFonts w:ascii="DM Sans" w:hAnsi="DM Sans" w:cs="DM Sans"/>
                <w:b w:val="0"/>
                <w:i w:val="0"/>
                <w:color w:val="050C2A"/>
                <w:sz w:val="20"/>
                <w:u w:val="none"/>
              </w:rPr>
              <w:t>Project Work</w:t>
            </w:r>
          </w:p>
        </w:tc>
        <w:tc>
          <w:tcPr>
            <w:tcW w:type="dxa" w:w="1916"/>
            <w:shd w:fill="F5F5F5" w:val="clear"/>
            <w:vAlign w:val="center"/>
          </w:tcPr>
          <w:p>
            <w:pPr>
              <w:spacing w:before="30" w:after="30"/>
            </w:pPr>
            <w:r>
              <w:rPr>
                <w:rFonts w:ascii="DM Sans" w:hAnsi="DM Sans" w:cs="DM Sans"/>
                <w:b w:val="0"/>
                <w:i w:val="0"/>
                <w:color w:val="050C2A"/>
                <w:sz w:val="20"/>
                <w:u w:val="none"/>
              </w:rPr>
              <w:t>Internal review gate — team reads current draft end-to-end, identifies remaining gaps before Refinement phase</w:t>
            </w:r>
          </w:p>
        </w:tc>
        <w:tc>
          <w:tcPr>
            <w:tcW w:type="dxa" w:w="485"/>
            <w:shd w:fill="F5F5F5" w:val="clear"/>
            <w:vAlign w:val="center"/>
          </w:tcPr>
          <w:p>
            <w:pPr>
              <w:spacing w:before="30" w:after="30"/>
            </w:pPr>
            <w:r>
              <w:rPr>
                <w:rFonts w:ascii="DM Sans" w:hAnsi="DM Sans" w:cs="DM Sans"/>
                <w:b w:val="0"/>
                <w:i w:val="0"/>
                <w:color w:val="050C2A"/>
                <w:sz w:val="20"/>
                <w:u w:val="none"/>
              </w:rPr>
              <w:t>Project</w:t>
            </w:r>
          </w:p>
        </w:tc>
        <w:tc>
          <w:tcPr>
            <w:tcW w:type="dxa" w:w="953"/>
            <w:shd w:fill="F5F5F5" w:val="clear"/>
            <w:vAlign w:val="center"/>
          </w:tcPr>
          <w:p>
            <w:pPr>
              <w:spacing w:before="30" w:after="30"/>
            </w:pPr>
            <w:r>
              <w:rPr>
                <w:rFonts w:ascii="DM Sans" w:hAnsi="DM Sans" w:cs="DM Sans"/>
                <w:b w:val="0"/>
                <w:i w:val="0"/>
                <w:color w:val="050C2A"/>
                <w:sz w:val="20"/>
                <w:u w:val="none"/>
              </w:rPr>
              <w:t>30</w:t>
            </w:r>
          </w:p>
        </w:tc>
        <w:tc>
          <w:tcPr>
            <w:tcW w:type="dxa" w:w="4679"/>
            <w:shd w:fill="F5F5F5" w:val="clear"/>
            <w:vAlign w:val="center"/>
          </w:tcPr>
          <w:p>
            <w:pPr>
              <w:spacing w:before="30" w:after="30"/>
            </w:pPr>
            <w:r>
              <w:rPr>
                <w:rFonts w:ascii="DM Sans" w:hAnsi="DM Sans" w:cs="DM Sans"/>
                <w:b w:val="0"/>
                <w:i w:val="0"/>
                <w:color w:val="050C2A"/>
                <w:sz w:val="20"/>
                <w:u w:val="none"/>
              </w:rPr>
              <w:t>Second instance of the internal review gate (introduced in 9.07); shorter than Week 9 (30 vs. 45 min) because teams have done this once before; this instance focuses on identifying what needs to happen in Weeks 11–12 to get the package to near-final state; the gate's output is a concrete list of remaining work that feeds into the Week 11 team sync</w:t>
            </w:r>
          </w:p>
        </w:tc>
      </w:tr>
      <w:tr>
        <w:tc>
          <w:tcPr>
            <w:tcW w:type="dxa" w:w="410"/>
            <w:vAlign w:val="center"/>
          </w:tcPr>
          <w:p>
            <w:pPr>
              <w:spacing w:before="30" w:after="30"/>
            </w:pPr>
            <w:r>
              <w:rPr>
                <w:rFonts w:ascii="DM Sans" w:hAnsi="DM Sans" w:cs="DM Sans"/>
                <w:b w:val="0"/>
                <w:i w:val="0"/>
                <w:color w:val="050C2A"/>
                <w:sz w:val="20"/>
                <w:u w:val="none"/>
              </w:rPr>
              <w:t>10.09</w:t>
            </w:r>
          </w:p>
        </w:tc>
        <w:tc>
          <w:tcPr>
            <w:tcW w:type="dxa" w:w="917"/>
            <w:vAlign w:val="center"/>
          </w:tcPr>
          <w:p>
            <w:pPr>
              <w:spacing w:before="30" w:after="30"/>
            </w:pPr>
            <w:r>
              <w:rPr>
                <w:rFonts w:ascii="DM Sans" w:hAnsi="DM Sans" w:cs="DM Sans"/>
                <w:b w:val="0"/>
                <w:i w:val="0"/>
                <w:color w:val="050C2A"/>
                <w:sz w:val="20"/>
                <w:u w:val="none"/>
              </w:rPr>
              <w:t>Reflection &amp; Assessment</w:t>
            </w:r>
          </w:p>
        </w:tc>
        <w:tc>
          <w:tcPr>
            <w:tcW w:type="dxa" w:w="1916"/>
            <w:vAlign w:val="center"/>
          </w:tcPr>
          <w:p>
            <w:pPr>
              <w:spacing w:before="30" w:after="30"/>
            </w:pPr>
            <w:r>
              <w:rPr>
                <w:rFonts w:ascii="DM Sans" w:hAnsi="DM Sans" w:cs="DM Sans"/>
                <w:b w:val="0"/>
                <w:i w:val="0"/>
                <w:color w:val="050C2A"/>
                <w:sz w:val="20"/>
                <w:u w:val="none"/>
              </w:rPr>
              <w:t>Review Reflection #4 prompt and Final Deliverables rubric</w:t>
            </w:r>
          </w:p>
        </w:tc>
        <w:tc>
          <w:tcPr>
            <w:tcW w:type="dxa" w:w="485"/>
            <w:vAlign w:val="center"/>
          </w:tcPr>
          <w:p>
            <w:pPr>
              <w:spacing w:before="30" w:after="30"/>
            </w:pPr>
            <w:r>
              <w:rPr>
                <w:rFonts w:ascii="DM Sans" w:hAnsi="DM Sans" w:cs="DM Sans"/>
                <w:b w:val="0"/>
                <w:i w:val="0"/>
                <w:color w:val="050C2A"/>
                <w:sz w:val="20"/>
                <w:u w:val="none"/>
              </w:rPr>
              <w:t>Text</w:t>
            </w:r>
          </w:p>
        </w:tc>
        <w:tc>
          <w:tcPr>
            <w:tcW w:type="dxa" w:w="953"/>
            <w:vAlign w:val="center"/>
          </w:tcPr>
          <w:p>
            <w:pPr>
              <w:spacing w:before="30" w:after="30"/>
            </w:pPr>
            <w:r>
              <w:rPr>
                <w:rFonts w:ascii="DM Sans" w:hAnsi="DM Sans" w:cs="DM Sans"/>
                <w:b w:val="0"/>
                <w:i w:val="0"/>
                <w:color w:val="050C2A"/>
                <w:sz w:val="20"/>
                <w:u w:val="none"/>
              </w:rPr>
              <w:t>15</w:t>
            </w:r>
          </w:p>
        </w:tc>
        <w:tc>
          <w:tcPr>
            <w:tcW w:type="dxa" w:w="4679"/>
            <w:vAlign w:val="center"/>
          </w:tcPr>
          <w:p>
            <w:pPr>
              <w:spacing w:before="30" w:after="30"/>
            </w:pPr>
            <w:r>
              <w:rPr>
                <w:rFonts w:ascii="DM Sans" w:hAnsi="DM Sans" w:cs="DM Sans"/>
                <w:b w:val="0"/>
                <w:i w:val="0"/>
                <w:color w:val="050C2A"/>
                <w:sz w:val="20"/>
                <w:u w:val="none"/>
              </w:rPr>
              <w:t>Forward prep for the Refinement phase; reading the Reflection #4 prompt now (due Week 12) helps students start noticing the gap between plan and reality the prompt asks about — this noticing is easier when students are still in the middle of the work rather than looking back on it; reviewing the Final Deliverables rubric gives teams a concrete standard for what "near-final" means entering Week 11; scoped as preview only — not instruction, just early exposure</w:t>
            </w:r>
          </w:p>
        </w:tc>
      </w:tr>
      <w:tr>
        <w:tc>
          <w:tcPr>
            <w:tcW w:type="dxa" w:w="410"/>
            <w:shd w:fill="F5F5F5" w:val="clear"/>
            <w:vAlign w:val="center"/>
          </w:tcPr>
          <w:p>
            <w:pPr>
              <w:spacing w:before="30" w:after="30"/>
            </w:pPr>
            <w:r>
              <w:rPr>
                <w:rFonts w:ascii="DM Sans" w:hAnsi="DM Sans" w:cs="DM Sans"/>
                <w:b w:val="0"/>
                <w:i w:val="0"/>
                <w:color w:val="050C2A"/>
                <w:sz w:val="20"/>
                <w:u w:val="none"/>
              </w:rPr>
              <w:t>10.10</w:t>
            </w:r>
          </w:p>
        </w:tc>
        <w:tc>
          <w:tcPr>
            <w:tcW w:type="dxa" w:w="917"/>
            <w:shd w:fill="F5F5F5" w:val="clear"/>
            <w:vAlign w:val="center"/>
          </w:tcPr>
          <w:p>
            <w:pPr>
              <w:spacing w:before="30" w:after="30"/>
            </w:pPr>
            <w:r>
              <w:rPr>
                <w:rFonts w:ascii="DM Sans" w:hAnsi="DM Sans" w:cs="DM Sans"/>
                <w:b w:val="0"/>
                <w:i w:val="0"/>
                <w:color w:val="050C2A"/>
                <w:sz w:val="20"/>
                <w:u w:val="none"/>
              </w:rPr>
              <w:t>Project Work</w:t>
            </w:r>
          </w:p>
        </w:tc>
        <w:tc>
          <w:tcPr>
            <w:tcW w:type="dxa" w:w="1916"/>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485"/>
            <w:shd w:fill="F5F5F5" w:val="clear"/>
            <w:vAlign w:val="center"/>
          </w:tcPr>
          <w:p>
            <w:pPr>
              <w:spacing w:before="30" w:after="30"/>
            </w:pPr>
            <w:r>
              <w:rPr>
                <w:rFonts w:ascii="DM Sans" w:hAnsi="DM Sans" w:cs="DM Sans"/>
                <w:b w:val="0"/>
                <w:i w:val="0"/>
                <w:color w:val="050C2A"/>
                <w:sz w:val="20"/>
                <w:u w:val="none"/>
              </w:rPr>
              <w:t>Project</w:t>
            </w:r>
          </w:p>
        </w:tc>
        <w:tc>
          <w:tcPr>
            <w:tcW w:type="dxa" w:w="953"/>
            <w:shd w:fill="F5F5F5" w:val="clear"/>
            <w:vAlign w:val="center"/>
          </w:tcPr>
          <w:p>
            <w:pPr>
              <w:spacing w:before="30" w:after="30"/>
            </w:pPr>
            <w:r>
              <w:rPr>
                <w:rFonts w:ascii="DM Sans" w:hAnsi="DM Sans" w:cs="DM Sans"/>
                <w:b w:val="0"/>
                <w:i w:val="0"/>
                <w:color w:val="050C2A"/>
                <w:sz w:val="20"/>
                <w:u w:val="none"/>
              </w:rPr>
              <w:t>45</w:t>
            </w:r>
          </w:p>
        </w:tc>
        <w:tc>
          <w:tcPr>
            <w:tcW w:type="dxa" w:w="4679"/>
            <w:shd w:fill="F5F5F5" w:val="clear"/>
            <w:vAlign w:val="center"/>
          </w:tcPr>
          <w:p>
            <w:pPr>
              <w:spacing w:before="30" w:after="30"/>
            </w:pPr>
            <w:r>
              <w:rPr>
                <w:rFonts w:ascii="DM Sans" w:hAnsi="DM Sans" w:cs="DM Sans"/>
                <w:b w:val="0"/>
                <w:i w:val="0"/>
                <w:color w:val="050C2A"/>
                <w:sz w:val="20"/>
                <w:u w:val="none"/>
              </w:rPr>
              <w:t>Coordination, logistics, check-ins outside structured activities; includes standing prompts: Weekly Progress Check-In (continues from Week 7), Status Update to Employer (between-reviews update appropriate since the Near-Final Review isn't until Week 11), and Change Log entry (first instance of new habit from 10.04); contribution record relevant to Professional Engagement</w:t>
            </w:r>
          </w:p>
        </w:tc>
      </w:tr>
      <w:tr>
        <w:tc>
          <w:tcPr>
            <w:tcW w:type="dxa" w:w="410"/>
            <w:vAlign w:val="center"/>
          </w:tcPr>
          <w:p>
            <w:pPr>
              <w:spacing w:before="30" w:after="30"/>
            </w:pPr>
          </w:p>
        </w:tc>
        <w:tc>
          <w:tcPr>
            <w:tcW w:type="dxa" w:w="917"/>
            <w:vAlign w:val="center"/>
          </w:tcPr>
          <w:p>
            <w:pPr>
              <w:spacing w:before="30" w:after="30"/>
            </w:pPr>
          </w:p>
        </w:tc>
        <w:tc>
          <w:tcPr>
            <w:tcW w:type="dxa" w:w="1916"/>
            <w:vAlign w:val="center"/>
          </w:tcPr>
          <w:p>
            <w:pPr>
              <w:spacing w:before="30" w:after="30"/>
            </w:pPr>
            <w:r>
              <w:rPr>
                <w:rFonts w:ascii="DM Sans" w:hAnsi="DM Sans" w:cs="DM Sans"/>
                <w:b/>
                <w:i w:val="0"/>
                <w:color w:val="050C2A"/>
                <w:sz w:val="20"/>
                <w:u w:val="none"/>
              </w:rPr>
              <w:t>TOTAL</w:t>
            </w:r>
          </w:p>
        </w:tc>
        <w:tc>
          <w:tcPr>
            <w:tcW w:type="dxa" w:w="485"/>
            <w:vAlign w:val="center"/>
          </w:tcPr>
          <w:p>
            <w:pPr>
              <w:spacing w:before="30" w:after="30"/>
            </w:pPr>
          </w:p>
        </w:tc>
        <w:tc>
          <w:tcPr>
            <w:tcW w:type="dxa" w:w="953"/>
            <w:vAlign w:val="center"/>
          </w:tcPr>
          <w:p>
            <w:pPr>
              <w:spacing w:before="30" w:after="30"/>
            </w:pPr>
            <w:r>
              <w:rPr>
                <w:rFonts w:ascii="DM Sans" w:hAnsi="DM Sans" w:cs="DM Sans"/>
                <w:b/>
                <w:i w:val="0"/>
                <w:color w:val="050C2A"/>
                <w:sz w:val="20"/>
                <w:u w:val="none"/>
              </w:rPr>
              <w:t>505 min (~8 hrs 25 min)</w:t>
            </w:r>
          </w:p>
        </w:tc>
        <w:tc>
          <w:tcPr>
            <w:tcW w:type="dxa" w:w="4679"/>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611"/>
            <w:shd w:fill="FF7C0A" w:val="clear"/>
            <w:vAlign w:val="center"/>
          </w:tcPr>
          <w:p>
            <w:pPr>
              <w:jc w:val="left"/>
              <w:spacing w:before="40" w:after="40"/>
            </w:pPr>
            <w:r>
              <w:rPr>
                <w:rFonts w:ascii="DM Sans" w:hAnsi="DM Sans" w:cs="DM Sans"/>
                <w:b/>
                <w:i w:val="0"/>
                <w:color w:val="FFFFFF"/>
                <w:sz w:val="20"/>
                <w:u w:val="none"/>
              </w:rPr>
              <w:t>Competency Area</w:t>
            </w:r>
          </w:p>
        </w:tc>
        <w:tc>
          <w:tcPr>
            <w:tcW w:type="dxa" w:w="1269"/>
            <w:shd w:fill="FF7C0A" w:val="clear"/>
            <w:vAlign w:val="center"/>
          </w:tcPr>
          <w:p>
            <w:pPr>
              <w:jc w:val="left"/>
              <w:spacing w:before="40" w:after="40"/>
            </w:pPr>
            <w:r>
              <w:rPr>
                <w:rFonts w:ascii="DM Sans" w:hAnsi="DM Sans" w:cs="DM Sans"/>
                <w:b/>
                <w:i w:val="0"/>
                <w:color w:val="FFFFFF"/>
                <w:sz w:val="20"/>
                <w:u w:val="none"/>
              </w:rPr>
              <w:t>Subskill</w:t>
            </w:r>
          </w:p>
        </w:tc>
        <w:tc>
          <w:tcPr>
            <w:tcW w:type="dxa" w:w="6480"/>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611"/>
            <w:vAlign w:val="center"/>
          </w:tcPr>
          <w:p>
            <w:pPr>
              <w:spacing w:before="30" w:after="30"/>
            </w:pPr>
            <w:r>
              <w:rPr>
                <w:rFonts w:ascii="DM Sans" w:hAnsi="DM Sans" w:cs="DM Sans"/>
                <w:b/>
                <w:i w:val="0"/>
                <w:color w:val="050C2A"/>
                <w:sz w:val="20"/>
                <w:u w:val="none"/>
              </w:rPr>
              <w:t>Career &amp; Self-Development</w:t>
            </w:r>
          </w:p>
        </w:tc>
        <w:tc>
          <w:tcPr>
            <w:tcW w:type="dxa" w:w="1269"/>
            <w:vAlign w:val="center"/>
          </w:tcPr>
          <w:p>
            <w:pPr>
              <w:spacing w:before="30" w:after="30"/>
            </w:pPr>
            <w:r>
              <w:rPr>
                <w:rFonts w:ascii="DM Sans" w:hAnsi="DM Sans" w:cs="DM Sans"/>
                <w:b w:val="0"/>
                <w:i w:val="0"/>
                <w:color w:val="050C2A"/>
                <w:sz w:val="20"/>
                <w:u w:val="none"/>
              </w:rPr>
              <w:t>Self-Awareness</w:t>
            </w:r>
          </w:p>
        </w:tc>
        <w:tc>
          <w:tcPr>
            <w:tcW w:type="dxa" w:w="6480"/>
            <w:vAlign w:val="center"/>
          </w:tcPr>
          <w:p>
            <w:pPr>
              <w:spacing w:before="30" w:after="30"/>
            </w:pPr>
            <w:r>
              <w:rPr>
                <w:rFonts w:ascii="DM Sans" w:hAnsi="DM Sans" w:cs="DM Sans"/>
                <w:b w:val="0"/>
                <w:i w:val="0"/>
                <w:color w:val="050C2A"/>
                <w:sz w:val="20"/>
                <w:u w:val="none"/>
              </w:rPr>
              <w:t>Module 10.02 directly addresses the gap between what students are doing and what they know they're learning. Ten weeks into the project, most students can describe what they've produced but struggle to name the professional competencies they're developing. This module makes tacit learning visible — a prerequisite for the reflection work that follows in Weeks 12 and 15.</w:t>
            </w:r>
          </w:p>
        </w:tc>
      </w:tr>
      <w:tr>
        <w:tc>
          <w:tcPr>
            <w:tcW w:type="dxa" w:w="1611"/>
            <w:shd w:fill="F5F5F5" w:val="clear"/>
            <w:vAlign w:val="center"/>
          </w:tcPr>
          <w:p>
            <w:pPr>
              <w:spacing w:before="30" w:after="30"/>
            </w:pPr>
            <w:r>
              <w:rPr>
                <w:rFonts w:ascii="DM Sans" w:hAnsi="DM Sans" w:cs="DM Sans"/>
                <w:b/>
                <w:i w:val="0"/>
                <w:color w:val="050C2A"/>
                <w:sz w:val="20"/>
                <w:u w:val="none"/>
              </w:rPr>
              <w:t>Career &amp; Self-Development</w:t>
            </w:r>
          </w:p>
        </w:tc>
        <w:tc>
          <w:tcPr>
            <w:tcW w:type="dxa" w:w="1269"/>
            <w:shd w:fill="F5F5F5" w:val="clear"/>
            <w:vAlign w:val="center"/>
          </w:tcPr>
          <w:p>
            <w:pPr>
              <w:spacing w:before="30" w:after="30"/>
            </w:pPr>
            <w:r>
              <w:rPr>
                <w:rFonts w:ascii="DM Sans" w:hAnsi="DM Sans" w:cs="DM Sans"/>
                <w:b w:val="0"/>
                <w:i w:val="0"/>
                <w:color w:val="050C2A"/>
                <w:sz w:val="20"/>
                <w:u w:val="none"/>
              </w:rPr>
              <w:t>Growth Orientation</w:t>
            </w:r>
          </w:p>
        </w:tc>
        <w:tc>
          <w:tcPr>
            <w:tcW w:type="dxa" w:w="6480"/>
            <w:shd w:fill="F5F5F5" w:val="clear"/>
            <w:vAlign w:val="center"/>
          </w:tcPr>
          <w:p>
            <w:pPr>
              <w:spacing w:before="30" w:after="30"/>
            </w:pPr>
            <w:r>
              <w:rPr>
                <w:rFonts w:ascii="DM Sans" w:hAnsi="DM Sans" w:cs="DM Sans"/>
                <w:b w:val="0"/>
                <w:i w:val="0"/>
                <w:color w:val="050C2A"/>
                <w:sz w:val="20"/>
                <w:u w:val="none"/>
              </w:rPr>
              <w:t>Module 10.03 teaches the move from specific experience to transferable principle — the core skill that Reflections #4 and #5 assess. Students who absorb this module will produce stronger Articulation of Learning statements because they'll know the difference between "I learned about credit unions" and "I learned how to translate ambiguous client needs into a research plan." This is the conceptual preparation that makes the later reflections possible.</w:t>
            </w:r>
          </w:p>
        </w:tc>
      </w:tr>
      <w:tr>
        <w:tc>
          <w:tcPr>
            <w:tcW w:type="dxa" w:w="1611"/>
            <w:vAlign w:val="center"/>
          </w:tcPr>
          <w:p>
            <w:pPr>
              <w:spacing w:before="30" w:after="30"/>
            </w:pPr>
            <w:r>
              <w:rPr>
                <w:rFonts w:ascii="DM Sans" w:hAnsi="DM Sans" w:cs="DM Sans"/>
                <w:b/>
                <w:i w:val="0"/>
                <w:color w:val="050C2A"/>
                <w:sz w:val="20"/>
                <w:u w:val="none"/>
              </w:rPr>
              <w:t>Professionalism</w:t>
            </w:r>
          </w:p>
        </w:tc>
        <w:tc>
          <w:tcPr>
            <w:tcW w:type="dxa" w:w="1269"/>
            <w:vAlign w:val="center"/>
          </w:tcPr>
          <w:p>
            <w:pPr>
              <w:spacing w:before="30" w:after="30"/>
            </w:pPr>
            <w:r>
              <w:rPr>
                <w:rFonts w:ascii="DM Sans" w:hAnsi="DM Sans" w:cs="DM Sans"/>
                <w:b w:val="0"/>
                <w:i w:val="0"/>
                <w:color w:val="050C2A"/>
                <w:sz w:val="20"/>
                <w:u w:val="none"/>
              </w:rPr>
              <w:t>Feedback Reception</w:t>
            </w:r>
          </w:p>
        </w:tc>
        <w:tc>
          <w:tcPr>
            <w:tcW w:type="dxa" w:w="6480"/>
            <w:vAlign w:val="center"/>
          </w:tcPr>
          <w:p>
            <w:pPr>
              <w:spacing w:before="30" w:after="30"/>
            </w:pPr>
            <w:r>
              <w:rPr>
                <w:rFonts w:ascii="DM Sans" w:hAnsi="DM Sans" w:cs="DM Sans"/>
                <w:b w:val="0"/>
                <w:i w:val="0"/>
                <w:color w:val="050C2A"/>
                <w:sz w:val="20"/>
                <w:u w:val="none"/>
              </w:rPr>
              <w:t>Module 10.04 formalizes the Change Log as a professional practice. The shift from informally tracking feedback (which teams have been doing since Week 7 debriefs) to maintaining a structured record changes how students think about feedback: it's not just something to react to but something to document, respond to, and explain. The Change Log is required in the Final Deliverables (Week 13) and assessed through the Responsiveness to Feedback dimension (10% of grade).</w:t>
            </w:r>
          </w:p>
        </w:tc>
      </w:tr>
      <w:tr>
        <w:tc>
          <w:tcPr>
            <w:tcW w:type="dxa" w:w="1611"/>
            <w:shd w:fill="F5F5F5" w:val="clear"/>
            <w:vAlign w:val="center"/>
          </w:tcPr>
          <w:p>
            <w:pPr>
              <w:spacing w:before="30" w:after="30"/>
            </w:pPr>
            <w:r>
              <w:rPr>
                <w:rFonts w:ascii="DM Sans" w:hAnsi="DM Sans" w:cs="DM Sans"/>
                <w:b/>
                <w:i w:val="0"/>
                <w:color w:val="050C2A"/>
                <w:sz w:val="20"/>
                <w:u w:val="none"/>
              </w:rPr>
              <w:t>Critical Thinking</w:t>
            </w:r>
          </w:p>
        </w:tc>
        <w:tc>
          <w:tcPr>
            <w:tcW w:type="dxa" w:w="1269"/>
            <w:shd w:fill="F5F5F5" w:val="clear"/>
            <w:vAlign w:val="center"/>
          </w:tcPr>
          <w:p>
            <w:pPr>
              <w:spacing w:before="30" w:after="30"/>
            </w:pPr>
            <w:r>
              <w:rPr>
                <w:rFonts w:ascii="DM Sans" w:hAnsi="DM Sans" w:cs="DM Sans"/>
                <w:b w:val="0"/>
                <w:i w:val="0"/>
                <w:color w:val="050C2A"/>
                <w:sz w:val="20"/>
                <w:u w:val="none"/>
              </w:rPr>
              <w:t>Prioritization</w:t>
            </w:r>
          </w:p>
        </w:tc>
        <w:tc>
          <w:tcPr>
            <w:tcW w:type="dxa" w:w="6480"/>
            <w:shd w:fill="F5F5F5" w:val="clear"/>
            <w:vAlign w:val="center"/>
          </w:tcPr>
          <w:p>
            <w:pPr>
              <w:spacing w:before="30" w:after="30"/>
            </w:pPr>
            <w:r>
              <w:rPr>
                <w:rFonts w:ascii="DM Sans" w:hAnsi="DM Sans" w:cs="DM Sans"/>
                <w:b w:val="0"/>
                <w:i w:val="0"/>
                <w:color w:val="050C2A"/>
                <w:sz w:val="20"/>
                <w:u w:val="none"/>
              </w:rPr>
              <w:t>The team sync (10.06) requires explicit prioritization of remaining work as the Development phase closes. With the Refinement phase starting next week, teams must distinguish between work that needs to be finished now and work that can be refined later — a judgment that becomes more consequential as deadlines approach. The internal review gate (10.08) produces the concrete list that this prioritization operates on.</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No graded deliverable this week.</w:t>
      </w:r>
      <w:r>
        <w:rPr>
          <w:rFonts w:ascii="DM Sans" w:hAnsi="DM Sans" w:cs="DM Sans"/>
          <w:b w:val="0"/>
          <w:i w:val="0"/>
          <w:color w:val="050C2A"/>
          <w:sz w:val="20"/>
          <w:u w:val="none"/>
        </w:rPr>
        <w:t xml:space="preserve"> Reflection #3 was submitted in Week 9; the next graded submission is Reflection #4 in Week 12. The next checkpoint is the Near-Final Package in Week 11.</w:t>
      </w:r>
    </w:p>
    <w:p>
      <w:pPr>
        <w:spacing w:before="0" w:after="120" w:line="276" w:lineRule="auto"/>
      </w:pPr>
      <w:r>
        <w:rPr>
          <w:rFonts w:ascii="DM Sans" w:hAnsi="DM Sans" w:cs="DM Sans"/>
          <w:b w:val="0"/>
          <w:i w:val="0"/>
          <w:color w:val="050C2A"/>
          <w:sz w:val="20"/>
          <w:u w:val="none"/>
        </w:rPr>
        <w:t>The forward prep activity (10.09) previews both the Reflection #4 prompt and the Final Deliverables rubric. This is not assessment — it's early exposure designed to shape how students think about their work over the next several weeks.</w:t>
      </w:r>
    </w:p>
    <w:p>
      <w:pPr>
        <w:spacing w:before="0" w:after="120" w:line="276" w:lineRule="auto"/>
      </w:pPr>
      <w:r>
        <w:rPr>
          <w:rFonts w:ascii="DM Sans" w:hAnsi="DM Sans" w:cs="DM Sans"/>
          <w:b w:val="0"/>
          <w:i w:val="0"/>
          <w:color w:val="050C2A"/>
          <w:sz w:val="20"/>
          <w:u w:val="none"/>
        </w:rPr>
        <w:t>The Change Log (introduced in 10.04) is not a standalone deliverable but a required component of the Final Deliverables package in Week 13. Teams begin building it this week; it becomes a standing practice through Weeks 11–13.</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Module 10.05 introduces the final AI skill-building application: using AI as a quality reviewer. This is the capstone of the AI skill progression that has developed across the course — from policy orientation (Week 1) to research prompting (Weeks 2–4) to Socratic partner for reflection (Week 3+) to production partner (Week 8+) to quality reviewer (Week 10+). The quality reviewer application asks students to use AI differently than in production: instead of generating or editing content, students prompt AI to read their draft as an unfamiliar reader and identify where the document is confusing, inconsistent, or logically weak. This mirrors the professional practice of having a colleague review your work before it goes to a client.</w:t>
      </w:r>
    </w:p>
    <w:p>
      <w:pPr>
        <w:spacing w:before="0" w:after="120" w:line="276" w:lineRule="auto"/>
      </w:pPr>
      <w:r>
        <w:rPr>
          <w:rFonts w:ascii="DM Sans" w:hAnsi="DM Sans" w:cs="DM Sans"/>
          <w:b w:val="0"/>
          <w:i w:val="0"/>
          <w:color w:val="050C2A"/>
          <w:sz w:val="20"/>
          <w:u w:val="none"/>
        </w:rPr>
        <w:t>Production-oriented AI use from Week 8 continues for the integration work (10.07). Using AI to help identify inconsistencies across sections written by different teammates, check that terminology is used consistently, and flag transitions that don't work is particularly appropriate during integration. Using AI to help set up and organize the Change Log (10.04) is permitted — structuring the log, categorizing feedback by source and type, and drafting initial entries are reasonable applications.</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No specific prohibitions beyond the standing course policy. The standing caution applies with particular force as integration work intensifies: AI-generated content that students cannot explain or defend remains off-limits, and the Near-Final Review in Week 11 is the next accountability check.</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will be required on the Near-Final Package checkpoint submission in Week 11. Teams should be tracking their AI use as part of the emerging Change Log habit.</w:t>
      </w:r>
    </w:p>
    <w:p>
      <w:pPr>
        <w:spacing w:before="0" w:after="120" w:line="276" w:lineRule="auto"/>
      </w:pPr>
      <w:r>
        <w:rPr>
          <w:rFonts w:ascii="DM Sans" w:hAnsi="DM Sans" w:cs="DM Sans"/>
          <w:b/>
          <w:i w:val="0"/>
          <w:color w:val="050C2A"/>
          <w:sz w:val="20"/>
          <w:u w:val="none"/>
        </w:rPr>
        <w:t>Prompt strategy introduced — AI as Quality Reviewer:</w:t>
      </w:r>
      <w:r>
        <w:rPr>
          <w:rFonts w:ascii="DM Sans" w:hAnsi="DM Sans" w:cs="DM Sans"/>
          <w:b w:val="0"/>
          <w:i w:val="0"/>
          <w:color w:val="050C2A"/>
          <w:sz w:val="20"/>
          <w:u w:val="none"/>
        </w:rPr>
        <w:t xml:space="preserve"> Module 10.05 introduces the quality reviewer strategy. Students prompt AI with their draft and ask it to read as an unfamiliar reader: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"Read this section as someone who has never heard of this project. Where do you get lost or confused?"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"Does this document read like one coherent piece, or does it feel like sections written by different people? Where are the seams?"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"What are the three weakest points in this argument? Why?"</w:t>
      </w:r>
    </w:p>
    <w:p>
      <w:pPr>
        <w:spacing w:before="0" w:after="120" w:line="276" w:lineRule="auto"/>
      </w:pPr>
      <w:r>
        <w:rPr>
          <w:rFonts w:ascii="DM Sans" w:hAnsi="DM Sans" w:cs="DM Sans"/>
          <w:b w:val="0"/>
          <w:i w:val="0"/>
          <w:color w:val="050C2A"/>
          <w:sz w:val="20"/>
          <w:u w:val="none"/>
        </w:rPr>
        <w:t>This strategy extends through Weeks 11–15 and is referenced in the self-review protocol (11.03) and the final submission checklist (13.02).</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Conceptual modules serve the reflection arc, not just this week.</w:t>
      </w:r>
      <w:r>
        <w:rPr>
          <w:rFonts w:ascii="DM Sans" w:hAnsi="DM Sans" w:cs="DM Sans"/>
          <w:b w:val="0"/>
          <w:i w:val="0"/>
          <w:color w:val="050C2A"/>
          <w:sz w:val="20"/>
          <w:u w:val="none"/>
        </w:rPr>
        <w:t xml:space="preserve"> Modules 10.02 and 10.03 are not about Week 10 activities — they're about preparing students for Reflections #4 and #5. The "What Are You Actually Learning?" and "From Experience to Concept" modules teach the analytical move that both prompts require: connecting specific project experiences to transferable professional principles. Placing them here — two weeks before Reflection #4 and five weeks before Reflection #5 — gives students time to absorb the concepts and begin noticing their own learning before they're asked to write about it.</w:t>
      </w:r>
    </w:p>
    <w:p>
      <w:pPr>
        <w:spacing w:before="0" w:after="120" w:line="276" w:lineRule="auto"/>
      </w:pPr>
      <w:r>
        <w:rPr>
          <w:rFonts w:ascii="DM Sans" w:hAnsi="DM Sans" w:cs="DM Sans"/>
          <w:b/>
          <w:i w:val="0"/>
          <w:color w:val="050C2A"/>
          <w:sz w:val="20"/>
          <w:u w:val="none"/>
        </w:rPr>
        <w:t>2. Change Log introduced with three weeks of runway.</w:t>
      </w:r>
      <w:r>
        <w:rPr>
          <w:rFonts w:ascii="DM Sans" w:hAnsi="DM Sans" w:cs="DM Sans"/>
          <w:b w:val="0"/>
          <w:i w:val="0"/>
          <w:color w:val="050C2A"/>
          <w:sz w:val="20"/>
          <w:u w:val="none"/>
        </w:rPr>
        <w:t xml:space="preserve"> The Change Log could have been introduced in Week 7 alongside the first employer feedback or in Week 11 when it becomes immediately relevant to the Near-Final Review. Week 10 is the deliberate middle ground: students have enough feedback history to populate initial entries (from Progress Reviews #1 and #2), but there are still three production weeks before the Final Deliverables submission where the Change Log is assessed. This gives teams time to develop the habit without the pressure of an imminent submission.</w:t>
      </w:r>
    </w:p>
    <w:p>
      <w:pPr>
        <w:spacing w:before="0" w:after="120" w:line="276" w:lineRule="auto"/>
      </w:pPr>
      <w:r>
        <w:rPr>
          <w:rFonts w:ascii="DM Sans" w:hAnsi="DM Sans" w:cs="DM Sans"/>
          <w:b/>
          <w:i w:val="0"/>
          <w:color w:val="050C2A"/>
          <w:sz w:val="20"/>
          <w:u w:val="none"/>
        </w:rPr>
        <w:t>3. The 300-minute production block is the largest in the course.</w:t>
      </w:r>
      <w:r>
        <w:rPr>
          <w:rFonts w:ascii="DM Sans" w:hAnsi="DM Sans" w:cs="DM Sans"/>
          <w:b w:val="0"/>
          <w:i w:val="0"/>
          <w:color w:val="050C2A"/>
          <w:sz w:val="20"/>
          <w:u w:val="none"/>
        </w:rPr>
        <w:t xml:space="preserve"> Moving Reflection #3 to Week 9 freed substantial time in Week 10 for integration work. The 300-minute block reflects a specific design judgment: this is the last week where teams have uninterrupted production time before Refinement begins. Week 11 introduces the Near-Final Review (which consumes synchronous time and shifts focus to quality), and Weeks 12–13 are revision and submission weeks. Teams need to emerge from Week 10 with a substantially complete package. The time allocation makes this expectation explicit.</w:t>
      </w:r>
    </w:p>
    <w:p>
      <w:pPr>
        <w:spacing w:before="0" w:after="120" w:line="276" w:lineRule="auto"/>
      </w:pPr>
      <w:r>
        <w:rPr>
          <w:rFonts w:ascii="DM Sans" w:hAnsi="DM Sans" w:cs="DM Sans"/>
          <w:b/>
          <w:i w:val="0"/>
          <w:color w:val="050C2A"/>
          <w:sz w:val="20"/>
          <w:u w:val="none"/>
        </w:rPr>
        <w:t>4. AI skill progression reaches its final stage.</w:t>
      </w:r>
      <w:r>
        <w:rPr>
          <w:rFonts w:ascii="DM Sans" w:hAnsi="DM Sans" w:cs="DM Sans"/>
          <w:b w:val="0"/>
          <w:i w:val="0"/>
          <w:color w:val="050C2A"/>
          <w:sz w:val="20"/>
          <w:u w:val="none"/>
        </w:rPr>
        <w:t xml:space="preserve"> Module 10.05 is the last AI skill-building module in the course. After this week, students apply the full toolkit — research prompting, Socratic partner, production partner, and quality reviewer — independently. The quality reviewer application is positioned here because it maps to what students need at this stage: they have draft content that needs critical assessment, not generation. The progression from "AI helps me make things" to "AI helps me evaluate things" is a deliberate developmental arc.</w:t>
      </w:r>
    </w:p>
    <w:p>
      <w:pPr>
        <w:spacing w:before="0" w:after="120" w:line="276" w:lineRule="auto"/>
      </w:pPr>
      <w:r>
        <w:rPr>
          <w:rFonts w:ascii="DM Sans" w:hAnsi="DM Sans" w:cs="DM Sans"/>
          <w:b/>
          <w:i w:val="0"/>
          <w:color w:val="050C2A"/>
          <w:sz w:val="20"/>
          <w:u w:val="none"/>
        </w:rPr>
        <w:t>5. Recovery by design.</w:t>
      </w:r>
      <w:r>
        <w:rPr>
          <w:rFonts w:ascii="DM Sans" w:hAnsi="DM Sans" w:cs="DM Sans"/>
          <w:b w:val="0"/>
          <w:i w:val="0"/>
          <w:color w:val="050C2A"/>
          <w:sz w:val="20"/>
          <w:u w:val="none"/>
        </w:rPr>
        <w:t xml:space="preserve"> The week is intentionally lighter than Week 9 (505 min vs. ~540 min) and has no graded deliverable. After the most intensive week in the course — which included Progress Review #2, the Team Processing Session, Draft Deliverable submission, and Reflection #3 — students need a week where they can focus on the work itself rather than on checkpoints and submissions. The module content is reflective and practical rather than high-pressure, and the production block is large but self-directed. This is the breathing room before the Refinement phase tightens.</w:t>
      </w:r>
    </w:p>
    <w:p>
      <w:pPr>
        <w:spacing w:before="0" w:after="120" w:line="276" w:lineRule="auto"/>
      </w:pPr>
      <w:r>
        <w:rPr>
          <w:rFonts w:ascii="DM Sans" w:hAnsi="DM Sans" w:cs="DM Sans"/>
          <w:b/>
          <w:i w:val="0"/>
          <w:color w:val="050C2A"/>
          <w:sz w:val="20"/>
          <w:u w:val="none"/>
        </w:rPr>
        <w:t>6. Forward prep creates a two-week lead on Reflection #4.</w:t>
      </w:r>
      <w:r>
        <w:rPr>
          <w:rFonts w:ascii="DM Sans" w:hAnsi="DM Sans" w:cs="DM Sans"/>
          <w:b w:val="0"/>
          <w:i w:val="0"/>
          <w:color w:val="050C2A"/>
          <w:sz w:val="20"/>
          <w:u w:val="none"/>
        </w:rPr>
        <w:t xml:space="preserve"> Activity 10.09 previews the Reflection #4 prompt (due Week 12) two weeks early. The prompt asks students to examine the gap between the plan they made in Week 4 and the work they've actually produced — a gap that is most visible while students are still producing. Reading the prompt now, while the gap is live, helps students begin the noticing that makes a strong reflection possible.</w:t>
      </w:r>
    </w:p>
    <w:p>
      <w:pPr>
        <w:spacing w:before="0" w:after="120" w:line="276" w:lineRule="auto"/>
      </w:pPr>
      <w:r>
        <w:rPr>
          <w:rFonts w:ascii="DM Sans" w:hAnsi="DM Sans" w:cs="DM Sans"/>
          <w:b/>
          <w:i w:val="0"/>
          <w:color w:val="050C2A"/>
          <w:sz w:val="20"/>
          <w:u w:val="none"/>
        </w:rPr>
        <w:t>7. No employer touchpoint.</w:t>
      </w:r>
      <w:r>
        <w:rPr>
          <w:rFonts w:ascii="DM Sans" w:hAnsi="DM Sans" w:cs="DM Sans"/>
          <w:b w:val="0"/>
          <w:i w:val="0"/>
          <w:color w:val="050C2A"/>
          <w:sz w:val="20"/>
          <w:u w:val="none"/>
        </w:rPr>
        <w:t xml:space="preserve"> Week 10 has no employer meeting. The last was Progress Review #2 in Week 9; the next is the Near-Final Review in Week 11. This creates an uninterrupted work week, which is what teams need to get the package to a state that's ready for the Refinement phase.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