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11 — Quality and Craft</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369"/>
            <w:shd w:fill="FF7C0A" w:val="clear"/>
            <w:vAlign w:val="center"/>
          </w:tcPr>
          <w:p>
            <w:pPr>
              <w:jc w:val="left"/>
              <w:spacing w:before="40" w:after="40"/>
            </w:pPr>
            <w:r>
              <w:rPr>
                <w:rFonts w:ascii="DM Sans" w:hAnsi="DM Sans" w:cs="DM Sans"/>
                <w:b/>
                <w:i w:val="0"/>
                <w:color w:val="FFFFFF"/>
                <w:sz w:val="20"/>
                <w:u w:val="none"/>
              </w:rPr>
            </w:r>
          </w:p>
        </w:tc>
        <w:tc>
          <w:tcPr>
            <w:tcW w:type="dxa" w:w="5991"/>
            <w:shd w:fill="FF7C0A" w:val="clear"/>
            <w:vAlign w:val="center"/>
          </w:tcPr>
          <w:p>
            <w:pPr>
              <w:jc w:val="left"/>
              <w:spacing w:before="40" w:after="40"/>
            </w:pPr>
            <w:r>
              <w:rPr>
                <w:rFonts w:ascii="DM Sans" w:hAnsi="DM Sans" w:cs="DM Sans"/>
                <w:b/>
                <w:i w:val="0"/>
                <w:color w:val="FFFFFF"/>
                <w:sz w:val="20"/>
                <w:u w:val="none"/>
              </w:rPr>
            </w:r>
          </w:p>
        </w:tc>
      </w:tr>
      <w:tr>
        <w:tc>
          <w:tcPr>
            <w:tcW w:type="dxa" w:w="3369"/>
            <w:vAlign w:val="center"/>
          </w:tcPr>
          <w:p>
            <w:pPr>
              <w:spacing w:before="30" w:after="30"/>
            </w:pPr>
            <w:r>
              <w:rPr>
                <w:rFonts w:ascii="DM Sans" w:hAnsi="DM Sans" w:cs="DM Sans"/>
                <w:b/>
                <w:i w:val="0"/>
                <w:color w:val="050C2A"/>
                <w:sz w:val="20"/>
                <w:u w:val="none"/>
              </w:rPr>
              <w:t>Phase</w:t>
            </w:r>
          </w:p>
        </w:tc>
        <w:tc>
          <w:tcPr>
            <w:tcW w:type="dxa" w:w="5991"/>
            <w:vAlign w:val="center"/>
          </w:tcPr>
          <w:p>
            <w:pPr>
              <w:spacing w:before="30" w:after="30"/>
            </w:pPr>
            <w:r>
              <w:rPr>
                <w:rFonts w:ascii="DM Sans" w:hAnsi="DM Sans" w:cs="DM Sans"/>
                <w:b w:val="0"/>
                <w:i w:val="0"/>
                <w:color w:val="050C2A"/>
                <w:sz w:val="20"/>
                <w:u w:val="none"/>
              </w:rPr>
              <w:t>Refinement</w:t>
            </w:r>
          </w:p>
        </w:tc>
      </w:tr>
      <w:tr>
        <w:tc>
          <w:tcPr>
            <w:tcW w:type="dxa" w:w="3369"/>
            <w:shd w:fill="F5F5F5" w:val="clear"/>
            <w:vAlign w:val="center"/>
          </w:tcPr>
          <w:p>
            <w:pPr>
              <w:spacing w:before="30" w:after="30"/>
            </w:pPr>
            <w:r>
              <w:rPr>
                <w:rFonts w:ascii="DM Sans" w:hAnsi="DM Sans" w:cs="DM Sans"/>
                <w:b/>
                <w:i w:val="0"/>
                <w:color w:val="050C2A"/>
                <w:sz w:val="20"/>
                <w:u w:val="none"/>
              </w:rPr>
              <w:t>Module Title</w:t>
            </w:r>
          </w:p>
        </w:tc>
        <w:tc>
          <w:tcPr>
            <w:tcW w:type="dxa" w:w="5991"/>
            <w:shd w:fill="F5F5F5" w:val="clear"/>
            <w:vAlign w:val="center"/>
          </w:tcPr>
          <w:p>
            <w:pPr>
              <w:spacing w:before="30" w:after="30"/>
            </w:pPr>
            <w:r>
              <w:rPr>
                <w:rFonts w:ascii="DM Sans" w:hAnsi="DM Sans" w:cs="DM Sans"/>
                <w:b w:val="0"/>
                <w:i w:val="0"/>
                <w:color w:val="050C2A"/>
                <w:sz w:val="20"/>
                <w:u w:val="none"/>
              </w:rPr>
              <w:t>Quality and Craft</w:t>
            </w:r>
          </w:p>
        </w:tc>
      </w:tr>
      <w:tr>
        <w:tc>
          <w:tcPr>
            <w:tcW w:type="dxa" w:w="3369"/>
            <w:vAlign w:val="center"/>
          </w:tcPr>
          <w:p>
            <w:pPr>
              <w:spacing w:before="30" w:after="30"/>
            </w:pPr>
            <w:r>
              <w:rPr>
                <w:rFonts w:ascii="DM Sans" w:hAnsi="DM Sans" w:cs="DM Sans"/>
                <w:b/>
                <w:i w:val="0"/>
                <w:color w:val="050C2A"/>
                <w:sz w:val="20"/>
                <w:u w:val="none"/>
              </w:rPr>
              <w:t>Primary Function</w:t>
            </w:r>
          </w:p>
        </w:tc>
        <w:tc>
          <w:tcPr>
            <w:tcW w:type="dxa" w:w="5991"/>
            <w:vAlign w:val="center"/>
          </w:tcPr>
          <w:p>
            <w:pPr>
              <w:spacing w:before="30" w:after="30"/>
            </w:pPr>
            <w:r>
              <w:rPr>
                <w:rFonts w:ascii="DM Sans" w:hAnsi="DM Sans" w:cs="DM Sans"/>
                <w:b w:val="0"/>
                <w:i w:val="0"/>
                <w:color w:val="050C2A"/>
                <w:sz w:val="20"/>
                <w:u w:val="none"/>
              </w:rPr>
              <w:t>Quality skill-building + employer document review + near-final package assembly</w:t>
            </w:r>
          </w:p>
        </w:tc>
      </w:tr>
      <w:tr>
        <w:tc>
          <w:tcPr>
            <w:tcW w:type="dxa" w:w="3369"/>
            <w:shd w:fill="F5F5F5" w:val="clear"/>
            <w:vAlign w:val="center"/>
          </w:tcPr>
          <w:p>
            <w:pPr>
              <w:spacing w:before="30" w:after="30"/>
            </w:pPr>
            <w:r>
              <w:rPr>
                <w:rFonts w:ascii="DM Sans" w:hAnsi="DM Sans" w:cs="DM Sans"/>
                <w:b/>
                <w:i w:val="0"/>
                <w:color w:val="050C2A"/>
                <w:sz w:val="20"/>
                <w:u w:val="none"/>
              </w:rPr>
              <w:t>Total Student Time</w:t>
            </w:r>
          </w:p>
        </w:tc>
        <w:tc>
          <w:tcPr>
            <w:tcW w:type="dxa" w:w="5991"/>
            <w:shd w:fill="F5F5F5" w:val="clear"/>
            <w:vAlign w:val="center"/>
          </w:tcPr>
          <w:p>
            <w:pPr>
              <w:spacing w:before="30" w:after="30"/>
            </w:pPr>
            <w:r>
              <w:rPr>
                <w:rFonts w:ascii="DM Sans" w:hAnsi="DM Sans" w:cs="DM Sans"/>
                <w:b w:val="0"/>
                <w:i w:val="0"/>
                <w:color w:val="050C2A"/>
                <w:sz w:val="20"/>
                <w:u w:val="none"/>
              </w:rPr>
              <w:t>520 min (~8 hrs 40 min)</w:t>
            </w:r>
          </w:p>
        </w:tc>
      </w:tr>
      <w:tr>
        <w:tc>
          <w:tcPr>
            <w:tcW w:type="dxa" w:w="3369"/>
            <w:vAlign w:val="center"/>
          </w:tcPr>
          <w:p>
            <w:pPr>
              <w:spacing w:before="30" w:after="30"/>
            </w:pPr>
            <w:r>
              <w:rPr>
                <w:rFonts w:ascii="DM Sans" w:hAnsi="DM Sans" w:cs="DM Sans"/>
                <w:b/>
                <w:i w:val="0"/>
                <w:color w:val="050C2A"/>
                <w:sz w:val="20"/>
                <w:u w:val="none"/>
              </w:rPr>
              <w:t>Deliverable This Week</w:t>
            </w:r>
          </w:p>
        </w:tc>
        <w:tc>
          <w:tcPr>
            <w:tcW w:type="dxa" w:w="5991"/>
            <w:vAlign w:val="center"/>
          </w:tcPr>
          <w:p>
            <w:pPr>
              <w:spacing w:before="30" w:after="30"/>
            </w:pPr>
            <w:r>
              <w:rPr>
                <w:rFonts w:ascii="DM Sans" w:hAnsi="DM Sans" w:cs="DM Sans"/>
                <w:b w:val="0"/>
                <w:i w:val="0"/>
                <w:color w:val="050C2A"/>
                <w:sz w:val="20"/>
                <w:u w:val="none"/>
              </w:rPr>
              <w:t>Near-Final Package (Checkpoint — team submission)</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11,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849"/>
            <w:shd w:fill="FF7C0A" w:val="clear"/>
            <w:vAlign w:val="center"/>
          </w:tcPr>
          <w:p>
            <w:pPr>
              <w:jc w:val="left"/>
              <w:spacing w:before="40" w:after="40"/>
            </w:pPr>
            <w:r>
              <w:rPr>
                <w:rFonts w:ascii="DM Sans" w:hAnsi="DM Sans" w:cs="DM Sans"/>
                <w:b/>
                <w:i w:val="0"/>
                <w:color w:val="FFFFFF"/>
                <w:sz w:val="20"/>
                <w:u w:val="none"/>
              </w:rPr>
              <w:t>#</w:t>
            </w:r>
          </w:p>
        </w:tc>
        <w:tc>
          <w:tcPr>
            <w:tcW w:type="dxa" w:w="5051"/>
            <w:shd w:fill="FF7C0A" w:val="clear"/>
            <w:vAlign w:val="center"/>
          </w:tcPr>
          <w:p>
            <w:pPr>
              <w:jc w:val="left"/>
              <w:spacing w:before="40" w:after="40"/>
            </w:pPr>
            <w:r>
              <w:rPr>
                <w:rFonts w:ascii="DM Sans" w:hAnsi="DM Sans" w:cs="DM Sans"/>
                <w:b/>
                <w:i w:val="0"/>
                <w:color w:val="FFFFFF"/>
                <w:sz w:val="20"/>
                <w:u w:val="none"/>
              </w:rPr>
              <w:t>Objective</w:t>
            </w:r>
          </w:p>
        </w:tc>
        <w:tc>
          <w:tcPr>
            <w:tcW w:type="dxa" w:w="3460"/>
            <w:shd w:fill="FF7C0A" w:val="clear"/>
            <w:vAlign w:val="center"/>
          </w:tcPr>
          <w:p>
            <w:pPr>
              <w:jc w:val="left"/>
              <w:spacing w:before="40" w:after="40"/>
            </w:pPr>
            <w:r>
              <w:rPr>
                <w:rFonts w:ascii="DM Sans" w:hAnsi="DM Sans" w:cs="DM Sans"/>
                <w:b/>
                <w:i w:val="0"/>
                <w:color w:val="FFFFFF"/>
                <w:sz w:val="20"/>
                <w:u w:val="none"/>
              </w:rPr>
              <w:t>Competency</w:t>
            </w:r>
          </w:p>
        </w:tc>
      </w:tr>
      <w:tr>
        <w:tc>
          <w:tcPr>
            <w:tcW w:type="dxa" w:w="849"/>
            <w:vAlign w:val="center"/>
          </w:tcPr>
          <w:p>
            <w:pPr>
              <w:spacing w:before="30" w:after="30"/>
            </w:pPr>
            <w:r>
              <w:rPr>
                <w:rFonts w:ascii="DM Sans" w:hAnsi="DM Sans" w:cs="DM Sans"/>
                <w:b/>
                <w:i w:val="0"/>
                <w:color w:val="050C2A"/>
                <w:sz w:val="20"/>
                <w:u w:val="none"/>
              </w:rPr>
              <w:t>1</w:t>
            </w:r>
          </w:p>
        </w:tc>
        <w:tc>
          <w:tcPr>
            <w:tcW w:type="dxa" w:w="5051"/>
            <w:vAlign w:val="center"/>
          </w:tcPr>
          <w:p>
            <w:pPr>
              <w:spacing w:before="30" w:after="30"/>
            </w:pPr>
            <w:r>
              <w:rPr>
                <w:rFonts w:ascii="DM Sans" w:hAnsi="DM Sans" w:cs="DM Sans"/>
                <w:b w:val="0"/>
                <w:i w:val="0"/>
                <w:color w:val="050C2A"/>
                <w:sz w:val="20"/>
                <w:u w:val="none"/>
              </w:rPr>
              <w:t>Distinguish between work that is complete and work that is polished, applying professional quality standards to evaluate their own deliverable package.</w:t>
            </w:r>
          </w:p>
        </w:tc>
        <w:tc>
          <w:tcPr>
            <w:tcW w:type="dxa" w:w="3460"/>
            <w:vAlign w:val="center"/>
          </w:tcPr>
          <w:p>
            <w:pPr>
              <w:spacing w:before="30" w:after="30"/>
            </w:pPr>
            <w:r>
              <w:rPr>
                <w:rFonts w:ascii="DM Sans" w:hAnsi="DM Sans" w:cs="DM Sans"/>
                <w:b w:val="0"/>
                <w:i w:val="0"/>
                <w:color w:val="050C2A"/>
                <w:sz w:val="20"/>
                <w:u w:val="none"/>
              </w:rPr>
              <w:t>Professionalism → Quality &amp; Attention to Detail</w:t>
            </w:r>
          </w:p>
        </w:tc>
      </w:tr>
      <w:tr>
        <w:tc>
          <w:tcPr>
            <w:tcW w:type="dxa" w:w="849"/>
            <w:shd w:fill="F5F5F5" w:val="clear"/>
            <w:vAlign w:val="center"/>
          </w:tcPr>
          <w:p>
            <w:pPr>
              <w:spacing w:before="30" w:after="30"/>
            </w:pPr>
            <w:r>
              <w:rPr>
                <w:rFonts w:ascii="DM Sans" w:hAnsi="DM Sans" w:cs="DM Sans"/>
                <w:b/>
                <w:i w:val="0"/>
                <w:color w:val="050C2A"/>
                <w:sz w:val="20"/>
                <w:u w:val="none"/>
              </w:rPr>
              <w:t>2</w:t>
            </w:r>
          </w:p>
        </w:tc>
        <w:tc>
          <w:tcPr>
            <w:tcW w:type="dxa" w:w="5051"/>
            <w:shd w:fill="F5F5F5" w:val="clear"/>
            <w:vAlign w:val="center"/>
          </w:tcPr>
          <w:p>
            <w:pPr>
              <w:spacing w:before="30" w:after="30"/>
            </w:pPr>
            <w:r>
              <w:rPr>
                <w:rFonts w:ascii="DM Sans" w:hAnsi="DM Sans" w:cs="DM Sans"/>
                <w:b w:val="0"/>
                <w:i w:val="0"/>
                <w:color w:val="050C2A"/>
                <w:sz w:val="20"/>
                <w:u w:val="none"/>
              </w:rPr>
              <w:t>Conduct a systematic self-review of a multi-section deliverable, identifying errors, inconsistencies, and alignment gaps that undermine credibility with a professional audience.</w:t>
            </w:r>
          </w:p>
        </w:tc>
        <w:tc>
          <w:tcPr>
            <w:tcW w:type="dxa" w:w="3460"/>
            <w:shd w:fill="F5F5F5" w:val="clear"/>
            <w:vAlign w:val="center"/>
          </w:tcPr>
          <w:p>
            <w:pPr>
              <w:spacing w:before="30" w:after="30"/>
            </w:pPr>
            <w:r>
              <w:rPr>
                <w:rFonts w:ascii="DM Sans" w:hAnsi="DM Sans" w:cs="DM Sans"/>
                <w:b w:val="0"/>
                <w:i w:val="0"/>
                <w:color w:val="050C2A"/>
                <w:sz w:val="20"/>
                <w:u w:val="none"/>
              </w:rPr>
              <w:t>Professionalism → Quality &amp; Attention to Detail; Critical Thinking → Prioritization</w:t>
            </w:r>
          </w:p>
        </w:tc>
      </w:tr>
      <w:tr>
        <w:tc>
          <w:tcPr>
            <w:tcW w:type="dxa" w:w="849"/>
            <w:vAlign w:val="center"/>
          </w:tcPr>
          <w:p>
            <w:pPr>
              <w:spacing w:before="30" w:after="30"/>
            </w:pPr>
            <w:r>
              <w:rPr>
                <w:rFonts w:ascii="DM Sans" w:hAnsi="DM Sans" w:cs="DM Sans"/>
                <w:b/>
                <w:i w:val="0"/>
                <w:color w:val="050C2A"/>
                <w:sz w:val="20"/>
                <w:u w:val="none"/>
              </w:rPr>
              <w:t>3</w:t>
            </w:r>
          </w:p>
        </w:tc>
        <w:tc>
          <w:tcPr>
            <w:tcW w:type="dxa" w:w="5051"/>
            <w:vAlign w:val="center"/>
          </w:tcPr>
          <w:p>
            <w:pPr>
              <w:spacing w:before="30" w:after="30"/>
            </w:pPr>
            <w:r>
              <w:rPr>
                <w:rFonts w:ascii="DM Sans" w:hAnsi="DM Sans" w:cs="DM Sans"/>
                <w:b w:val="0"/>
                <w:i w:val="0"/>
                <w:color w:val="050C2A"/>
                <w:sz w:val="20"/>
                <w:u w:val="none"/>
              </w:rPr>
              <w:t>Prepare a deliverable package for employer review and develop targeted questions appropriate to the near-final stage of a project.</w:t>
            </w:r>
          </w:p>
        </w:tc>
        <w:tc>
          <w:tcPr>
            <w:tcW w:type="dxa" w:w="3460"/>
            <w:vAlign w:val="center"/>
          </w:tcPr>
          <w:p>
            <w:pPr>
              <w:spacing w:before="30" w:after="30"/>
            </w:pPr>
            <w:r>
              <w:rPr>
                <w:rFonts w:ascii="DM Sans" w:hAnsi="DM Sans" w:cs="DM Sans"/>
                <w:b w:val="0"/>
                <w:i w:val="0"/>
                <w:color w:val="050C2A"/>
                <w:sz w:val="20"/>
                <w:u w:val="none"/>
              </w:rPr>
              <w:t>Communication → Active Listening; Professionalism → Feedback Reception</w:t>
            </w:r>
          </w:p>
        </w:tc>
      </w:tr>
      <w:tr>
        <w:tc>
          <w:tcPr>
            <w:tcW w:type="dxa" w:w="849"/>
            <w:shd w:fill="F5F5F5" w:val="clear"/>
            <w:vAlign w:val="center"/>
          </w:tcPr>
          <w:p>
            <w:pPr>
              <w:spacing w:before="30" w:after="30"/>
            </w:pPr>
            <w:r>
              <w:rPr>
                <w:rFonts w:ascii="DM Sans" w:hAnsi="DM Sans" w:cs="DM Sans"/>
                <w:b/>
                <w:i w:val="0"/>
                <w:color w:val="050C2A"/>
                <w:sz w:val="20"/>
                <w:u w:val="none"/>
              </w:rPr>
              <w:t>4</w:t>
            </w:r>
          </w:p>
        </w:tc>
        <w:tc>
          <w:tcPr>
            <w:tcW w:type="dxa" w:w="5051"/>
            <w:shd w:fill="F5F5F5" w:val="clear"/>
            <w:vAlign w:val="center"/>
          </w:tcPr>
          <w:p>
            <w:pPr>
              <w:spacing w:before="30" w:after="30"/>
            </w:pPr>
            <w:r>
              <w:rPr>
                <w:rFonts w:ascii="DM Sans" w:hAnsi="DM Sans" w:cs="DM Sans"/>
                <w:b w:val="0"/>
                <w:i w:val="0"/>
                <w:color w:val="050C2A"/>
                <w:sz w:val="20"/>
                <w:u w:val="none"/>
              </w:rPr>
              <w:t>Discuss near-final deliverables with the employer, demonstrating how prior feedback was incorporated and surfacing specific remaining questions about quality and completeness.</w:t>
            </w:r>
          </w:p>
        </w:tc>
        <w:tc>
          <w:tcPr>
            <w:tcW w:type="dxa" w:w="3460"/>
            <w:shd w:fill="F5F5F5" w:val="clear"/>
            <w:vAlign w:val="center"/>
          </w:tcPr>
          <w:p>
            <w:pPr>
              <w:spacing w:before="30" w:after="30"/>
            </w:pPr>
            <w:r>
              <w:rPr>
                <w:rFonts w:ascii="DM Sans" w:hAnsi="DM Sans" w:cs="DM Sans"/>
                <w:b w:val="0"/>
                <w:i w:val="0"/>
                <w:color w:val="050C2A"/>
                <w:sz w:val="20"/>
                <w:u w:val="none"/>
              </w:rPr>
              <w:t>Communication → Professional Correspondence; Professionalism → Feedback Reception</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11 opens the Refinement phase. The shift from Development is deliberate: students are no longer building new content but polishing, integrating, and defending what they have. The module content is light (50 min across four segments) and focused entirely on the quality standard students need to meet — what "polished" means in a professional context, how to self-review before a client sees the work, and how to seek the right kind of feedback at this late stage. The anchor is the Near-Final Review, where teams share their deliverable package with the employer for review and bring targeted questions — this is a document-sharing meeting, not a formal presentation. Only Weeks 5 and 15 involve formal student presentations. Production time is substantial (210 min) but scoped to refinement rather than generation. The Near-Final Package checkpoint submission creates accountability for having the work in reviewable condition.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425"/>
            <w:shd w:fill="FF7C0A" w:val="clear"/>
            <w:vAlign w:val="center"/>
          </w:tcPr>
          <w:p>
            <w:pPr>
              <w:jc w:val="left"/>
              <w:spacing w:before="40" w:after="40"/>
            </w:pPr>
            <w:r>
              <w:rPr>
                <w:rFonts w:ascii="DM Sans" w:hAnsi="DM Sans" w:cs="DM Sans"/>
                <w:b/>
                <w:i w:val="0"/>
                <w:color w:val="FFFFFF"/>
                <w:sz w:val="20"/>
                <w:u w:val="none"/>
              </w:rPr>
              <w:t>#</w:t>
            </w:r>
          </w:p>
        </w:tc>
        <w:tc>
          <w:tcPr>
            <w:tcW w:type="dxa" w:w="950"/>
            <w:shd w:fill="FF7C0A" w:val="clear"/>
            <w:vAlign w:val="center"/>
          </w:tcPr>
          <w:p>
            <w:pPr>
              <w:jc w:val="left"/>
              <w:spacing w:before="40" w:after="40"/>
            </w:pPr>
            <w:r>
              <w:rPr>
                <w:rFonts w:ascii="DM Sans" w:hAnsi="DM Sans" w:cs="DM Sans"/>
                <w:b/>
                <w:i w:val="0"/>
                <w:color w:val="FFFFFF"/>
                <w:sz w:val="20"/>
                <w:u w:val="none"/>
              </w:rPr>
              <w:t>Category</w:t>
            </w:r>
          </w:p>
        </w:tc>
        <w:tc>
          <w:tcPr>
            <w:tcW w:type="dxa" w:w="2074"/>
            <w:shd w:fill="FF7C0A" w:val="clear"/>
            <w:vAlign w:val="center"/>
          </w:tcPr>
          <w:p>
            <w:pPr>
              <w:jc w:val="left"/>
              <w:spacing w:before="40" w:after="40"/>
            </w:pPr>
            <w:r>
              <w:rPr>
                <w:rFonts w:ascii="DM Sans" w:hAnsi="DM Sans" w:cs="DM Sans"/>
                <w:b/>
                <w:i w:val="0"/>
                <w:color w:val="FFFFFF"/>
                <w:sz w:val="20"/>
                <w:u w:val="none"/>
              </w:rPr>
              <w:t>Activity</w:t>
            </w:r>
          </w:p>
        </w:tc>
        <w:tc>
          <w:tcPr>
            <w:tcW w:type="dxa" w:w="503"/>
            <w:shd w:fill="FF7C0A" w:val="clear"/>
            <w:vAlign w:val="center"/>
          </w:tcPr>
          <w:p>
            <w:pPr>
              <w:jc w:val="left"/>
              <w:spacing w:before="40" w:after="40"/>
            </w:pPr>
            <w:r>
              <w:rPr>
                <w:rFonts w:ascii="DM Sans" w:hAnsi="DM Sans" w:cs="DM Sans"/>
                <w:b/>
                <w:i w:val="0"/>
                <w:color w:val="FFFFFF"/>
                <w:sz w:val="20"/>
                <w:u w:val="none"/>
              </w:rPr>
              <w:t>Format</w:t>
            </w:r>
          </w:p>
        </w:tc>
        <w:tc>
          <w:tcPr>
            <w:tcW w:type="dxa" w:w="988"/>
            <w:shd w:fill="FF7C0A" w:val="clear"/>
            <w:vAlign w:val="center"/>
          </w:tcPr>
          <w:p>
            <w:pPr>
              <w:jc w:val="left"/>
              <w:spacing w:before="40" w:after="40"/>
            </w:pPr>
            <w:r>
              <w:rPr>
                <w:rFonts w:ascii="DM Sans" w:hAnsi="DM Sans" w:cs="DM Sans"/>
                <w:b/>
                <w:i w:val="0"/>
                <w:color w:val="FFFFFF"/>
                <w:sz w:val="20"/>
                <w:u w:val="none"/>
              </w:rPr>
              <w:t>Min</w:t>
            </w:r>
          </w:p>
        </w:tc>
        <w:tc>
          <w:tcPr>
            <w:tcW w:type="dxa" w:w="4420"/>
            <w:shd w:fill="FF7C0A" w:val="clear"/>
            <w:vAlign w:val="center"/>
          </w:tcPr>
          <w:p>
            <w:pPr>
              <w:jc w:val="left"/>
              <w:spacing w:before="40" w:after="40"/>
            </w:pPr>
            <w:r>
              <w:rPr>
                <w:rFonts w:ascii="DM Sans" w:hAnsi="DM Sans" w:cs="DM Sans"/>
                <w:b/>
                <w:i w:val="0"/>
                <w:color w:val="FFFFFF"/>
                <w:sz w:val="20"/>
                <w:u w:val="none"/>
              </w:rPr>
              <w:t>Note</w:t>
            </w:r>
          </w:p>
        </w:tc>
      </w:tr>
      <w:tr>
        <w:tc>
          <w:tcPr>
            <w:tcW w:type="dxa" w:w="425"/>
            <w:vAlign w:val="center"/>
          </w:tcPr>
          <w:p>
            <w:pPr>
              <w:spacing w:before="30" w:after="30"/>
            </w:pPr>
            <w:r>
              <w:rPr>
                <w:rFonts w:ascii="DM Sans" w:hAnsi="DM Sans" w:cs="DM Sans"/>
                <w:b w:val="0"/>
                <w:i w:val="0"/>
                <w:color w:val="050C2A"/>
                <w:sz w:val="20"/>
                <w:u w:val="none"/>
              </w:rPr>
              <w:t>11.01</w:t>
            </w:r>
          </w:p>
        </w:tc>
        <w:tc>
          <w:tcPr>
            <w:tcW w:type="dxa" w:w="950"/>
            <w:vAlign w:val="center"/>
          </w:tcPr>
          <w:p>
            <w:pPr>
              <w:spacing w:before="30" w:after="30"/>
            </w:pPr>
            <w:r>
              <w:rPr>
                <w:rFonts w:ascii="DM Sans" w:hAnsi="DM Sans" w:cs="DM Sans"/>
                <w:b w:val="0"/>
                <w:i w:val="0"/>
                <w:color w:val="050C2A"/>
                <w:sz w:val="20"/>
                <w:u w:val="none"/>
              </w:rPr>
              <w:t>Course Orientation</w:t>
            </w:r>
          </w:p>
        </w:tc>
        <w:tc>
          <w:tcPr>
            <w:tcW w:type="dxa" w:w="2074"/>
            <w:vAlign w:val="center"/>
          </w:tcPr>
          <w:p>
            <w:pPr>
              <w:spacing w:before="30" w:after="30"/>
            </w:pPr>
            <w:r>
              <w:rPr>
                <w:rFonts w:ascii="DM Sans" w:hAnsi="DM Sans" w:cs="DM Sans"/>
                <w:b w:val="0"/>
                <w:i w:val="0"/>
                <w:color w:val="050C2A"/>
                <w:sz w:val="20"/>
                <w:u w:val="none"/>
              </w:rPr>
              <w:t>Week 11 Overview — objectives, what's happening this week, suggested order of completion</w:t>
            </w:r>
          </w:p>
        </w:tc>
        <w:tc>
          <w:tcPr>
            <w:tcW w:type="dxa" w:w="503"/>
            <w:vAlign w:val="center"/>
          </w:tcPr>
          <w:p>
            <w:pPr>
              <w:spacing w:before="30" w:after="30"/>
            </w:pPr>
            <w:r>
              <w:rPr>
                <w:rFonts w:ascii="DM Sans" w:hAnsi="DM Sans" w:cs="DM Sans"/>
                <w:b w:val="0"/>
                <w:i w:val="0"/>
                <w:color w:val="050C2A"/>
                <w:sz w:val="20"/>
                <w:u w:val="none"/>
              </w:rPr>
              <w:t>Module</w:t>
            </w:r>
          </w:p>
        </w:tc>
        <w:tc>
          <w:tcPr>
            <w:tcW w:type="dxa" w:w="988"/>
            <w:vAlign w:val="center"/>
          </w:tcPr>
          <w:p>
            <w:pPr>
              <w:spacing w:before="30" w:after="30"/>
            </w:pPr>
            <w:r>
              <w:rPr>
                <w:rFonts w:ascii="DM Sans" w:hAnsi="DM Sans" w:cs="DM Sans"/>
                <w:b w:val="0"/>
                <w:i w:val="0"/>
                <w:color w:val="050C2A"/>
                <w:sz w:val="20"/>
                <w:u w:val="none"/>
              </w:rPr>
              <w:t>5</w:t>
            </w:r>
          </w:p>
        </w:tc>
        <w:tc>
          <w:tcPr>
            <w:tcW w:type="dxa" w:w="4420"/>
            <w:vAlign w:val="center"/>
          </w:tcPr>
          <w:p>
            <w:pPr>
              <w:spacing w:before="30" w:after="30"/>
            </w:pPr>
            <w:r>
              <w:rPr>
                <w:rFonts w:ascii="DM Sans" w:hAnsi="DM Sans" w:cs="DM Sans"/>
                <w:b w:val="0"/>
                <w:i w:val="0"/>
                <w:color w:val="050C2A"/>
                <w:sz w:val="20"/>
                <w:u w:val="none"/>
              </w:rPr>
              <w:t>First week of Refinement phase; names Near-Final Review and Near-Final Package checkpoint as the week's anchor; orients students to the shift from building to polishing; this is a document-sharing meeting, not a formal presentation — only Weeks 5 and 15 involve formal presentations; flags that the Final Deliverables rubric (previewed in 10.09) is the standard the package will be evaluated against in Week 13</w:t>
            </w:r>
          </w:p>
        </w:tc>
      </w:tr>
      <w:tr>
        <w:tc>
          <w:tcPr>
            <w:tcW w:type="dxa" w:w="425"/>
            <w:shd w:fill="F5F5F5" w:val="clear"/>
            <w:vAlign w:val="center"/>
          </w:tcPr>
          <w:p>
            <w:pPr>
              <w:spacing w:before="30" w:after="30"/>
            </w:pPr>
            <w:r>
              <w:rPr>
                <w:rFonts w:ascii="DM Sans" w:hAnsi="DM Sans" w:cs="DM Sans"/>
                <w:b w:val="0"/>
                <w:i w:val="0"/>
                <w:color w:val="050C2A"/>
                <w:sz w:val="20"/>
                <w:u w:val="none"/>
              </w:rPr>
              <w:t>11.02</w:t>
            </w:r>
          </w:p>
        </w:tc>
        <w:tc>
          <w:tcPr>
            <w:tcW w:type="dxa" w:w="950"/>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074"/>
            <w:shd w:fill="F5F5F5" w:val="clear"/>
            <w:vAlign w:val="center"/>
          </w:tcPr>
          <w:p>
            <w:pPr>
              <w:spacing w:before="30" w:after="30"/>
            </w:pPr>
            <w:r>
              <w:rPr>
                <w:rFonts w:ascii="DM Sans" w:hAnsi="DM Sans" w:cs="DM Sans"/>
                <w:b w:val="0"/>
                <w:i w:val="0"/>
                <w:color w:val="050C2A"/>
                <w:sz w:val="20"/>
                <w:u w:val="none"/>
              </w:rPr>
              <w:t>Module: What Does "Quality" Mean?</w:t>
            </w:r>
          </w:p>
        </w:tc>
        <w:tc>
          <w:tcPr>
            <w:tcW w:type="dxa" w:w="503"/>
            <w:shd w:fill="F5F5F5" w:val="clear"/>
            <w:vAlign w:val="center"/>
          </w:tcPr>
          <w:p>
            <w:pPr>
              <w:spacing w:before="30" w:after="30"/>
            </w:pPr>
            <w:r>
              <w:rPr>
                <w:rFonts w:ascii="DM Sans" w:hAnsi="DM Sans" w:cs="DM Sans"/>
                <w:b w:val="0"/>
                <w:i w:val="0"/>
                <w:color w:val="050C2A"/>
                <w:sz w:val="20"/>
                <w:u w:val="none"/>
              </w:rPr>
              <w:t>Module</w:t>
            </w:r>
          </w:p>
        </w:tc>
        <w:tc>
          <w:tcPr>
            <w:tcW w:type="dxa" w:w="988"/>
            <w:shd w:fill="F5F5F5" w:val="clear"/>
            <w:vAlign w:val="center"/>
          </w:tcPr>
          <w:p>
            <w:pPr>
              <w:spacing w:before="30" w:after="30"/>
            </w:pPr>
            <w:r>
              <w:rPr>
                <w:rFonts w:ascii="DM Sans" w:hAnsi="DM Sans" w:cs="DM Sans"/>
                <w:b w:val="0"/>
                <w:i w:val="0"/>
                <w:color w:val="050C2A"/>
                <w:sz w:val="20"/>
                <w:u w:val="none"/>
              </w:rPr>
              <w:t>15</w:t>
            </w:r>
          </w:p>
        </w:tc>
        <w:tc>
          <w:tcPr>
            <w:tcW w:type="dxa" w:w="4420"/>
            <w:shd w:fill="F5F5F5" w:val="clear"/>
            <w:vAlign w:val="center"/>
          </w:tcPr>
          <w:p>
            <w:pPr>
              <w:spacing w:before="30" w:after="30"/>
            </w:pPr>
            <w:r>
              <w:rPr>
                <w:rFonts w:ascii="DM Sans" w:hAnsi="DM Sans" w:cs="DM Sans"/>
                <w:b w:val="0"/>
                <w:i w:val="0"/>
                <w:color w:val="050C2A"/>
                <w:sz w:val="20"/>
                <w:u w:val="none"/>
              </w:rPr>
              <w:t>The difference between "done" and "polished" in a professional context; what employers notice — formatting consistency, error-free prose, visual coherence, logical flow; connects to the Deliverable Quality dimension on the Final Deliverables rubric (30% of grade); builds on the quality orientation seeded in Week 7 (7.03 — From Plan to Product) but shifts focus from completeness to craft</w:t>
            </w:r>
          </w:p>
        </w:tc>
      </w:tr>
      <w:tr>
        <w:tc>
          <w:tcPr>
            <w:tcW w:type="dxa" w:w="425"/>
            <w:vAlign w:val="center"/>
          </w:tcPr>
          <w:p>
            <w:pPr>
              <w:spacing w:before="30" w:after="30"/>
            </w:pPr>
            <w:r>
              <w:rPr>
                <w:rFonts w:ascii="DM Sans" w:hAnsi="DM Sans" w:cs="DM Sans"/>
                <w:b w:val="0"/>
                <w:i w:val="0"/>
                <w:color w:val="050C2A"/>
                <w:sz w:val="20"/>
                <w:u w:val="none"/>
              </w:rPr>
              <w:t>11.03</w:t>
            </w:r>
          </w:p>
        </w:tc>
        <w:tc>
          <w:tcPr>
            <w:tcW w:type="dxa" w:w="950"/>
            <w:vAlign w:val="center"/>
          </w:tcPr>
          <w:p>
            <w:pPr>
              <w:spacing w:before="30" w:after="30"/>
            </w:pPr>
            <w:r>
              <w:rPr>
                <w:rFonts w:ascii="DM Sans" w:hAnsi="DM Sans" w:cs="DM Sans"/>
                <w:b w:val="0"/>
                <w:i w:val="0"/>
                <w:color w:val="050C2A"/>
                <w:sz w:val="20"/>
                <w:u w:val="none"/>
              </w:rPr>
              <w:t>Professional Fundamentals</w:t>
            </w:r>
          </w:p>
        </w:tc>
        <w:tc>
          <w:tcPr>
            <w:tcW w:type="dxa" w:w="2074"/>
            <w:vAlign w:val="center"/>
          </w:tcPr>
          <w:p>
            <w:pPr>
              <w:spacing w:before="30" w:after="30"/>
            </w:pPr>
            <w:r>
              <w:rPr>
                <w:rFonts w:ascii="DM Sans" w:hAnsi="DM Sans" w:cs="DM Sans"/>
                <w:b w:val="0"/>
                <w:i w:val="0"/>
                <w:color w:val="050C2A"/>
                <w:sz w:val="20"/>
                <w:u w:val="none"/>
              </w:rPr>
              <w:t>Module: Self-Review Before Client Review</w:t>
            </w:r>
          </w:p>
        </w:tc>
        <w:tc>
          <w:tcPr>
            <w:tcW w:type="dxa" w:w="503"/>
            <w:vAlign w:val="center"/>
          </w:tcPr>
          <w:p>
            <w:pPr>
              <w:spacing w:before="30" w:after="30"/>
            </w:pPr>
            <w:r>
              <w:rPr>
                <w:rFonts w:ascii="DM Sans" w:hAnsi="DM Sans" w:cs="DM Sans"/>
                <w:b w:val="0"/>
                <w:i w:val="0"/>
                <w:color w:val="050C2A"/>
                <w:sz w:val="20"/>
                <w:u w:val="none"/>
              </w:rPr>
              <w:t>Module</w:t>
            </w:r>
          </w:p>
        </w:tc>
        <w:tc>
          <w:tcPr>
            <w:tcW w:type="dxa" w:w="988"/>
            <w:vAlign w:val="center"/>
          </w:tcPr>
          <w:p>
            <w:pPr>
              <w:spacing w:before="30" w:after="30"/>
            </w:pPr>
            <w:r>
              <w:rPr>
                <w:rFonts w:ascii="DM Sans" w:hAnsi="DM Sans" w:cs="DM Sans"/>
                <w:b w:val="0"/>
                <w:i w:val="0"/>
                <w:color w:val="050C2A"/>
                <w:sz w:val="20"/>
                <w:u w:val="none"/>
              </w:rPr>
              <w:t>15</w:t>
            </w:r>
          </w:p>
        </w:tc>
        <w:tc>
          <w:tcPr>
            <w:tcW w:type="dxa" w:w="4420"/>
            <w:vAlign w:val="center"/>
          </w:tcPr>
          <w:p>
            <w:pPr>
              <w:spacing w:before="30" w:after="30"/>
            </w:pPr>
            <w:r>
              <w:rPr>
                <w:rFonts w:ascii="DM Sans" w:hAnsi="DM Sans" w:cs="DM Sans"/>
                <w:b w:val="0"/>
                <w:i w:val="0"/>
                <w:color w:val="050C2A"/>
                <w:sz w:val="20"/>
                <w:u w:val="none"/>
              </w:rPr>
              <w:t>A practical self-review protocol: read the full document as if you've never seen it, check alignment with the project brief and employer feedback, look for the errors that hide in plain sight (inconsistent terminology, orphaned references, formatting drift across sections); positions self-review as a professional habit, not a last-minute scramble; directly prepares students for the internal review gate (11.07); connects to the AI as Quality Reviewer strategy introduced in 10.05 — students can use AI to supplement their own self-review</w:t>
            </w:r>
          </w:p>
        </w:tc>
      </w:tr>
      <w:tr>
        <w:tc>
          <w:tcPr>
            <w:tcW w:type="dxa" w:w="425"/>
            <w:shd w:fill="F5F5F5" w:val="clear"/>
            <w:vAlign w:val="center"/>
          </w:tcPr>
          <w:p>
            <w:pPr>
              <w:spacing w:before="30" w:after="30"/>
            </w:pPr>
            <w:r>
              <w:rPr>
                <w:rFonts w:ascii="DM Sans" w:hAnsi="DM Sans" w:cs="DM Sans"/>
                <w:b w:val="0"/>
                <w:i w:val="0"/>
                <w:color w:val="050C2A"/>
                <w:sz w:val="20"/>
                <w:u w:val="none"/>
              </w:rPr>
              <w:t>11.04</w:t>
            </w:r>
          </w:p>
        </w:tc>
        <w:tc>
          <w:tcPr>
            <w:tcW w:type="dxa" w:w="950"/>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074"/>
            <w:shd w:fill="F5F5F5" w:val="clear"/>
            <w:vAlign w:val="center"/>
          </w:tcPr>
          <w:p>
            <w:pPr>
              <w:spacing w:before="30" w:after="30"/>
            </w:pPr>
            <w:r>
              <w:rPr>
                <w:rFonts w:ascii="DM Sans" w:hAnsi="DM Sans" w:cs="DM Sans"/>
                <w:b w:val="0"/>
                <w:i w:val="0"/>
                <w:color w:val="050C2A"/>
                <w:sz w:val="20"/>
                <w:u w:val="none"/>
              </w:rPr>
              <w:t>Module: Preparing for the Near-Final Review</w:t>
            </w:r>
          </w:p>
        </w:tc>
        <w:tc>
          <w:tcPr>
            <w:tcW w:type="dxa" w:w="503"/>
            <w:shd w:fill="F5F5F5" w:val="clear"/>
            <w:vAlign w:val="center"/>
          </w:tcPr>
          <w:p>
            <w:pPr>
              <w:spacing w:before="30" w:after="30"/>
            </w:pPr>
            <w:r>
              <w:rPr>
                <w:rFonts w:ascii="DM Sans" w:hAnsi="DM Sans" w:cs="DM Sans"/>
                <w:b w:val="0"/>
                <w:i w:val="0"/>
                <w:color w:val="050C2A"/>
                <w:sz w:val="20"/>
                <w:u w:val="none"/>
              </w:rPr>
              <w:t>Module</w:t>
            </w:r>
          </w:p>
        </w:tc>
        <w:tc>
          <w:tcPr>
            <w:tcW w:type="dxa" w:w="988"/>
            <w:shd w:fill="F5F5F5" w:val="clear"/>
            <w:vAlign w:val="center"/>
          </w:tcPr>
          <w:p>
            <w:pPr>
              <w:spacing w:before="30" w:after="30"/>
            </w:pPr>
            <w:r>
              <w:rPr>
                <w:rFonts w:ascii="DM Sans" w:hAnsi="DM Sans" w:cs="DM Sans"/>
                <w:b w:val="0"/>
                <w:i w:val="0"/>
                <w:color w:val="050C2A"/>
                <w:sz w:val="20"/>
                <w:u w:val="none"/>
              </w:rPr>
              <w:t>15</w:t>
            </w:r>
          </w:p>
        </w:tc>
        <w:tc>
          <w:tcPr>
            <w:tcW w:type="dxa" w:w="4420"/>
            <w:shd w:fill="F5F5F5" w:val="clear"/>
            <w:vAlign w:val="center"/>
          </w:tcPr>
          <w:p>
            <w:pPr>
              <w:spacing w:before="30" w:after="30"/>
            </w:pPr>
            <w:r>
              <w:rPr>
                <w:rFonts w:ascii="DM Sans" w:hAnsi="DM Sans" w:cs="DM Sans"/>
                <w:b w:val="0"/>
                <w:i w:val="0"/>
                <w:color w:val="050C2A"/>
                <w:sz w:val="20"/>
                <w:u w:val="none"/>
              </w:rPr>
              <w:t>At this stage, students need different feedback than in earlier check-ins; Weeks 7 and 9 were question-driven — Week 11 shifts to sharing the actual deliverable package for employer review; how to prepare the document for a pre-read or in-meeting review rather than a formal presentation; how to frame targeted questions about quality, completeness, and remaining gaps; includes guidance on presenting the Change Log (introduced 10.04) to demonstrate responsiveness to prior feedback</w:t>
            </w:r>
          </w:p>
        </w:tc>
      </w:tr>
      <w:tr>
        <w:tc>
          <w:tcPr>
            <w:tcW w:type="dxa" w:w="425"/>
            <w:vAlign w:val="center"/>
          </w:tcPr>
          <w:p>
            <w:pPr>
              <w:spacing w:before="30" w:after="30"/>
            </w:pPr>
            <w:r>
              <w:rPr>
                <w:rFonts w:ascii="DM Sans" w:hAnsi="DM Sans" w:cs="DM Sans"/>
                <w:b w:val="0"/>
                <w:i w:val="0"/>
                <w:color w:val="050C2A"/>
                <w:sz w:val="20"/>
                <w:u w:val="none"/>
              </w:rPr>
              <w:t>11.05</w:t>
            </w:r>
          </w:p>
        </w:tc>
        <w:tc>
          <w:tcPr>
            <w:tcW w:type="dxa" w:w="950"/>
            <w:vAlign w:val="center"/>
          </w:tcPr>
          <w:p>
            <w:pPr>
              <w:spacing w:before="30" w:after="30"/>
            </w:pPr>
            <w:r>
              <w:rPr>
                <w:rFonts w:ascii="DM Sans" w:hAnsi="DM Sans" w:cs="DM Sans"/>
                <w:b w:val="0"/>
                <w:i w:val="0"/>
                <w:color w:val="050C2A"/>
                <w:sz w:val="20"/>
                <w:u w:val="none"/>
              </w:rPr>
              <w:t>Project Work</w:t>
            </w:r>
          </w:p>
        </w:tc>
        <w:tc>
          <w:tcPr>
            <w:tcW w:type="dxa" w:w="2074"/>
            <w:vAlign w:val="center"/>
          </w:tcPr>
          <w:p>
            <w:pPr>
              <w:spacing w:before="30" w:after="30"/>
            </w:pPr>
            <w:r>
              <w:rPr>
                <w:rFonts w:ascii="DM Sans" w:hAnsi="DM Sans" w:cs="DM Sans"/>
                <w:b w:val="0"/>
                <w:i w:val="0"/>
                <w:color w:val="050C2A"/>
                <w:sz w:val="20"/>
                <w:u w:val="none"/>
              </w:rPr>
              <w:t>Team sync — review deliverable status, assign refinement priorities, plan Near-Final Review preparation</w:t>
            </w:r>
          </w:p>
        </w:tc>
        <w:tc>
          <w:tcPr>
            <w:tcW w:type="dxa" w:w="503"/>
            <w:vAlign w:val="center"/>
          </w:tcPr>
          <w:p>
            <w:pPr>
              <w:spacing w:before="30" w:after="30"/>
            </w:pPr>
            <w:r>
              <w:rPr>
                <w:rFonts w:ascii="DM Sans" w:hAnsi="DM Sans" w:cs="DM Sans"/>
                <w:b w:val="0"/>
                <w:i w:val="0"/>
                <w:color w:val="050C2A"/>
                <w:sz w:val="20"/>
                <w:u w:val="none"/>
              </w:rPr>
              <w:t>Project</w:t>
            </w:r>
          </w:p>
        </w:tc>
        <w:tc>
          <w:tcPr>
            <w:tcW w:type="dxa" w:w="988"/>
            <w:vAlign w:val="center"/>
          </w:tcPr>
          <w:p>
            <w:pPr>
              <w:spacing w:before="30" w:after="30"/>
            </w:pPr>
            <w:r>
              <w:rPr>
                <w:rFonts w:ascii="DM Sans" w:hAnsi="DM Sans" w:cs="DM Sans"/>
                <w:b w:val="0"/>
                <w:i w:val="0"/>
                <w:color w:val="050C2A"/>
                <w:sz w:val="20"/>
                <w:u w:val="none"/>
              </w:rPr>
              <w:t>45</w:t>
            </w:r>
          </w:p>
        </w:tc>
        <w:tc>
          <w:tcPr>
            <w:tcW w:type="dxa" w:w="4420"/>
            <w:vAlign w:val="center"/>
          </w:tcPr>
          <w:p>
            <w:pPr>
              <w:spacing w:before="30" w:after="30"/>
            </w:pPr>
            <w:r>
              <w:rPr>
                <w:rFonts w:ascii="DM Sans" w:hAnsi="DM Sans" w:cs="DM Sans"/>
                <w:b w:val="0"/>
                <w:i w:val="0"/>
                <w:color w:val="050C2A"/>
                <w:sz w:val="20"/>
                <w:u w:val="none"/>
              </w:rPr>
              <w:t>Primary coordination meeting for the Refinement phase; teams assess the current state of the package against the Final Deliverables rubric dimensions (Deliverable Quality, Analytical Rigor, Actionability, Communication, Responsiveness to Feedback); identify the highest-priority gaps and assign refinement work; heavier than a routine check-in because this is the first meeting where quality — not content — drives the agenda</w:t>
            </w:r>
          </w:p>
        </w:tc>
      </w:tr>
      <w:tr>
        <w:tc>
          <w:tcPr>
            <w:tcW w:type="dxa" w:w="425"/>
            <w:shd w:fill="F5F5F5" w:val="clear"/>
            <w:vAlign w:val="center"/>
          </w:tcPr>
          <w:p>
            <w:pPr>
              <w:spacing w:before="30" w:after="30"/>
            </w:pPr>
            <w:r>
              <w:rPr>
                <w:rFonts w:ascii="DM Sans" w:hAnsi="DM Sans" w:cs="DM Sans"/>
                <w:b w:val="0"/>
                <w:i w:val="0"/>
                <w:color w:val="050C2A"/>
                <w:sz w:val="20"/>
                <w:u w:val="none"/>
              </w:rPr>
              <w:t>11.06</w:t>
            </w:r>
          </w:p>
        </w:tc>
        <w:tc>
          <w:tcPr>
            <w:tcW w:type="dxa" w:w="950"/>
            <w:shd w:fill="F5F5F5" w:val="clear"/>
            <w:vAlign w:val="center"/>
          </w:tcPr>
          <w:p>
            <w:pPr>
              <w:spacing w:before="30" w:after="30"/>
            </w:pPr>
            <w:r>
              <w:rPr>
                <w:rFonts w:ascii="DM Sans" w:hAnsi="DM Sans" w:cs="DM Sans"/>
                <w:b w:val="0"/>
                <w:i w:val="0"/>
                <w:color w:val="050C2A"/>
                <w:sz w:val="20"/>
                <w:u w:val="none"/>
              </w:rPr>
              <w:t>Project Work</w:t>
            </w:r>
          </w:p>
        </w:tc>
        <w:tc>
          <w:tcPr>
            <w:tcW w:type="dxa" w:w="2074"/>
            <w:shd w:fill="F5F5F5" w:val="clear"/>
            <w:vAlign w:val="center"/>
          </w:tcPr>
          <w:p>
            <w:pPr>
              <w:spacing w:before="30" w:after="30"/>
            </w:pPr>
            <w:r>
              <w:rPr>
                <w:rFonts w:ascii="DM Sans" w:hAnsi="DM Sans" w:cs="DM Sans"/>
                <w:b w:val="0"/>
                <w:i w:val="0"/>
                <w:color w:val="050C2A"/>
                <w:sz w:val="20"/>
                <w:u w:val="none"/>
              </w:rPr>
              <w:t>Continue project production — refinement, polish, integration, and gap-filling</w:t>
            </w:r>
          </w:p>
        </w:tc>
        <w:tc>
          <w:tcPr>
            <w:tcW w:type="dxa" w:w="503"/>
            <w:shd w:fill="F5F5F5" w:val="clear"/>
            <w:vAlign w:val="center"/>
          </w:tcPr>
          <w:p>
            <w:pPr>
              <w:spacing w:before="30" w:after="30"/>
            </w:pPr>
            <w:r>
              <w:rPr>
                <w:rFonts w:ascii="DM Sans" w:hAnsi="DM Sans" w:cs="DM Sans"/>
                <w:b w:val="0"/>
                <w:i w:val="0"/>
                <w:color w:val="050C2A"/>
                <w:sz w:val="20"/>
                <w:u w:val="none"/>
              </w:rPr>
              <w:t>Project</w:t>
            </w:r>
          </w:p>
        </w:tc>
        <w:tc>
          <w:tcPr>
            <w:tcW w:type="dxa" w:w="988"/>
            <w:shd w:fill="F5F5F5" w:val="clear"/>
            <w:vAlign w:val="center"/>
          </w:tcPr>
          <w:p>
            <w:pPr>
              <w:spacing w:before="30" w:after="30"/>
            </w:pPr>
            <w:r>
              <w:rPr>
                <w:rFonts w:ascii="DM Sans" w:hAnsi="DM Sans" w:cs="DM Sans"/>
                <w:b w:val="0"/>
                <w:i w:val="0"/>
                <w:color w:val="050C2A"/>
                <w:sz w:val="20"/>
                <w:u w:val="none"/>
              </w:rPr>
              <w:t>210</w:t>
            </w:r>
          </w:p>
        </w:tc>
        <w:tc>
          <w:tcPr>
            <w:tcW w:type="dxa" w:w="4420"/>
            <w:shd w:fill="F5F5F5" w:val="clear"/>
            <w:vAlign w:val="center"/>
          </w:tcPr>
          <w:p>
            <w:pPr>
              <w:spacing w:before="30" w:after="30"/>
            </w:pPr>
            <w:r>
              <w:rPr>
                <w:rFonts w:ascii="DM Sans" w:hAnsi="DM Sans" w:cs="DM Sans"/>
                <w:b w:val="0"/>
                <w:i w:val="0"/>
                <w:color w:val="050C2A"/>
                <w:sz w:val="20"/>
                <w:u w:val="none"/>
              </w:rPr>
              <w:t>Largest production block this week; emphasis shifts from drafting new content to refining existing work; tasks include: tightening prose, ensuring consistency across sections, strengthening weak arguments, improving visual presentation, verifying that recommendations are specific and actionable; teams should front-load this work before the internal review gate (11.07)</w:t>
            </w:r>
          </w:p>
        </w:tc>
      </w:tr>
      <w:tr>
        <w:tc>
          <w:tcPr>
            <w:tcW w:type="dxa" w:w="425"/>
            <w:vAlign w:val="center"/>
          </w:tcPr>
          <w:p>
            <w:pPr>
              <w:spacing w:before="30" w:after="30"/>
            </w:pPr>
            <w:r>
              <w:rPr>
                <w:rFonts w:ascii="DM Sans" w:hAnsi="DM Sans" w:cs="DM Sans"/>
                <w:b w:val="0"/>
                <w:i w:val="0"/>
                <w:color w:val="050C2A"/>
                <w:sz w:val="20"/>
                <w:u w:val="none"/>
              </w:rPr>
              <w:t>11.07</w:t>
            </w:r>
          </w:p>
        </w:tc>
        <w:tc>
          <w:tcPr>
            <w:tcW w:type="dxa" w:w="950"/>
            <w:vAlign w:val="center"/>
          </w:tcPr>
          <w:p>
            <w:pPr>
              <w:spacing w:before="30" w:after="30"/>
            </w:pPr>
            <w:r>
              <w:rPr>
                <w:rFonts w:ascii="DM Sans" w:hAnsi="DM Sans" w:cs="DM Sans"/>
                <w:b w:val="0"/>
                <w:i w:val="0"/>
                <w:color w:val="050C2A"/>
                <w:sz w:val="20"/>
                <w:u w:val="none"/>
              </w:rPr>
              <w:t>Project Work</w:t>
            </w:r>
          </w:p>
        </w:tc>
        <w:tc>
          <w:tcPr>
            <w:tcW w:type="dxa" w:w="2074"/>
            <w:vAlign w:val="center"/>
          </w:tcPr>
          <w:p>
            <w:pPr>
              <w:spacing w:before="30" w:after="30"/>
            </w:pPr>
            <w:r>
              <w:rPr>
                <w:rFonts w:ascii="DM Sans" w:hAnsi="DM Sans" w:cs="DM Sans"/>
                <w:b w:val="0"/>
                <w:i w:val="0"/>
                <w:color w:val="050C2A"/>
                <w:sz w:val="20"/>
                <w:u w:val="none"/>
              </w:rPr>
              <w:t>Internal review gate — full package read-through before employer sees it</w:t>
            </w:r>
          </w:p>
        </w:tc>
        <w:tc>
          <w:tcPr>
            <w:tcW w:type="dxa" w:w="503"/>
            <w:vAlign w:val="center"/>
          </w:tcPr>
          <w:p>
            <w:pPr>
              <w:spacing w:before="30" w:after="30"/>
            </w:pPr>
            <w:r>
              <w:rPr>
                <w:rFonts w:ascii="DM Sans" w:hAnsi="DM Sans" w:cs="DM Sans"/>
                <w:b w:val="0"/>
                <w:i w:val="0"/>
                <w:color w:val="050C2A"/>
                <w:sz w:val="20"/>
                <w:u w:val="none"/>
              </w:rPr>
              <w:t>Project</w:t>
            </w:r>
          </w:p>
        </w:tc>
        <w:tc>
          <w:tcPr>
            <w:tcW w:type="dxa" w:w="988"/>
            <w:vAlign w:val="center"/>
          </w:tcPr>
          <w:p>
            <w:pPr>
              <w:spacing w:before="30" w:after="30"/>
            </w:pPr>
            <w:r>
              <w:rPr>
                <w:rFonts w:ascii="DM Sans" w:hAnsi="DM Sans" w:cs="DM Sans"/>
                <w:b w:val="0"/>
                <w:i w:val="0"/>
                <w:color w:val="050C2A"/>
                <w:sz w:val="20"/>
                <w:u w:val="none"/>
              </w:rPr>
              <w:t>30</w:t>
            </w:r>
          </w:p>
        </w:tc>
        <w:tc>
          <w:tcPr>
            <w:tcW w:type="dxa" w:w="4420"/>
            <w:vAlign w:val="center"/>
          </w:tcPr>
          <w:p>
            <w:pPr>
              <w:spacing w:before="30" w:after="30"/>
            </w:pPr>
            <w:r>
              <w:rPr>
                <w:rFonts w:ascii="DM Sans" w:hAnsi="DM Sans" w:cs="DM Sans"/>
                <w:b w:val="0"/>
                <w:i w:val="0"/>
                <w:color w:val="050C2A"/>
                <w:sz w:val="20"/>
                <w:u w:val="none"/>
              </w:rPr>
              <w:t>Third instance of the internal review gate (introduced 9.07, repeated 10.08); shorter than Week 9 because teams have established the practice; this instance focuses on quality and presentation rather than structural gaps — does the package read as a professional document the team would be proud to hand to the employer?</w:t>
            </w:r>
          </w:p>
        </w:tc>
      </w:tr>
      <w:tr>
        <w:tc>
          <w:tcPr>
            <w:tcW w:type="dxa" w:w="425"/>
            <w:shd w:fill="F5F5F5" w:val="clear"/>
            <w:vAlign w:val="center"/>
          </w:tcPr>
          <w:p>
            <w:pPr>
              <w:spacing w:before="30" w:after="30"/>
            </w:pPr>
            <w:r>
              <w:rPr>
                <w:rFonts w:ascii="DM Sans" w:hAnsi="DM Sans" w:cs="DM Sans"/>
                <w:b w:val="0"/>
                <w:i w:val="0"/>
                <w:color w:val="050C2A"/>
                <w:sz w:val="20"/>
                <w:u w:val="none"/>
              </w:rPr>
              <w:t>11.08</w:t>
            </w:r>
          </w:p>
        </w:tc>
        <w:tc>
          <w:tcPr>
            <w:tcW w:type="dxa" w:w="950"/>
            <w:shd w:fill="F5F5F5" w:val="clear"/>
            <w:vAlign w:val="center"/>
          </w:tcPr>
          <w:p>
            <w:pPr>
              <w:spacing w:before="30" w:after="30"/>
            </w:pPr>
            <w:r>
              <w:rPr>
                <w:rFonts w:ascii="DM Sans" w:hAnsi="DM Sans" w:cs="DM Sans"/>
                <w:b w:val="0"/>
                <w:i w:val="0"/>
                <w:color w:val="050C2A"/>
                <w:sz w:val="20"/>
                <w:u w:val="none"/>
              </w:rPr>
              <w:t>Project Work</w:t>
            </w:r>
          </w:p>
        </w:tc>
        <w:tc>
          <w:tcPr>
            <w:tcW w:type="dxa" w:w="2074"/>
            <w:shd w:fill="F5F5F5" w:val="clear"/>
            <w:vAlign w:val="center"/>
          </w:tcPr>
          <w:p>
            <w:pPr>
              <w:spacing w:before="30" w:after="30"/>
            </w:pPr>
            <w:r>
              <w:rPr>
                <w:rFonts w:ascii="DM Sans" w:hAnsi="DM Sans" w:cs="DM Sans"/>
                <w:b w:val="0"/>
                <w:i w:val="0"/>
                <w:color w:val="050C2A"/>
                <w:sz w:val="20"/>
                <w:u w:val="none"/>
              </w:rPr>
              <w:t>Team prep session — prepare deliverable package for sharing, develop targeted questions for employer</w:t>
            </w:r>
          </w:p>
        </w:tc>
        <w:tc>
          <w:tcPr>
            <w:tcW w:type="dxa" w:w="503"/>
            <w:shd w:fill="F5F5F5" w:val="clear"/>
            <w:vAlign w:val="center"/>
          </w:tcPr>
          <w:p>
            <w:pPr>
              <w:spacing w:before="30" w:after="30"/>
            </w:pPr>
            <w:r>
              <w:rPr>
                <w:rFonts w:ascii="DM Sans" w:hAnsi="DM Sans" w:cs="DM Sans"/>
                <w:b w:val="0"/>
                <w:i w:val="0"/>
                <w:color w:val="050C2A"/>
                <w:sz w:val="20"/>
                <w:u w:val="none"/>
              </w:rPr>
              <w:t>Project</w:t>
            </w:r>
          </w:p>
        </w:tc>
        <w:tc>
          <w:tcPr>
            <w:tcW w:type="dxa" w:w="988"/>
            <w:shd w:fill="F5F5F5" w:val="clear"/>
            <w:vAlign w:val="center"/>
          </w:tcPr>
          <w:p>
            <w:pPr>
              <w:spacing w:before="30" w:after="30"/>
            </w:pPr>
            <w:r>
              <w:rPr>
                <w:rFonts w:ascii="DM Sans" w:hAnsi="DM Sans" w:cs="DM Sans"/>
                <w:b w:val="0"/>
                <w:i w:val="0"/>
                <w:color w:val="050C2A"/>
                <w:sz w:val="20"/>
                <w:u w:val="none"/>
              </w:rPr>
              <w:t>30</w:t>
            </w:r>
          </w:p>
        </w:tc>
        <w:tc>
          <w:tcPr>
            <w:tcW w:type="dxa" w:w="4420"/>
            <w:shd w:fill="F5F5F5" w:val="clear"/>
            <w:vAlign w:val="center"/>
          </w:tcPr>
          <w:p>
            <w:pPr>
              <w:spacing w:before="30" w:after="30"/>
            </w:pPr>
            <w:r>
              <w:rPr>
                <w:rFonts w:ascii="DM Sans" w:hAnsi="DM Sans" w:cs="DM Sans"/>
                <w:b w:val="0"/>
                <w:i w:val="0"/>
                <w:color w:val="050C2A"/>
                <w:sz w:val="20"/>
                <w:u w:val="none"/>
              </w:rPr>
              <w:t>Preparation for the Near-Final Review; unlike Weeks 5 and 15 (which involve formal presentations), this meeting is document-sharing + questions; teams prepare the package for employer review (clean, complete, navigable), develop targeted questions about quality, completeness, and remaining gaps, and prepare a brief Change Log walkthrough showing how prior feedback was addressed; emphasis on what feedback the team needs now, not on performing progress</w:t>
            </w:r>
          </w:p>
        </w:tc>
      </w:tr>
      <w:tr>
        <w:tc>
          <w:tcPr>
            <w:tcW w:type="dxa" w:w="425"/>
            <w:vAlign w:val="center"/>
          </w:tcPr>
          <w:p>
            <w:pPr>
              <w:spacing w:before="30" w:after="30"/>
            </w:pPr>
            <w:r>
              <w:rPr>
                <w:rFonts w:ascii="DM Sans" w:hAnsi="DM Sans" w:cs="DM Sans"/>
                <w:b w:val="0"/>
                <w:i w:val="0"/>
                <w:color w:val="050C2A"/>
                <w:sz w:val="20"/>
                <w:u w:val="none"/>
              </w:rPr>
              <w:t>11.09</w:t>
            </w:r>
          </w:p>
        </w:tc>
        <w:tc>
          <w:tcPr>
            <w:tcW w:type="dxa" w:w="950"/>
            <w:vAlign w:val="center"/>
          </w:tcPr>
          <w:p>
            <w:pPr>
              <w:spacing w:before="30" w:after="30"/>
            </w:pPr>
            <w:r>
              <w:rPr>
                <w:rFonts w:ascii="DM Sans" w:hAnsi="DM Sans" w:cs="DM Sans"/>
                <w:b w:val="0"/>
                <w:i w:val="0"/>
                <w:color w:val="050C2A"/>
                <w:sz w:val="20"/>
                <w:u w:val="none"/>
              </w:rPr>
              <w:t>Employer Engagement</w:t>
            </w:r>
          </w:p>
        </w:tc>
        <w:tc>
          <w:tcPr>
            <w:tcW w:type="dxa" w:w="2074"/>
            <w:vAlign w:val="center"/>
          </w:tcPr>
          <w:p>
            <w:pPr>
              <w:spacing w:before="30" w:after="30"/>
            </w:pPr>
            <w:r>
              <w:rPr>
                <w:rFonts w:ascii="DM Sans" w:hAnsi="DM Sans" w:cs="DM Sans"/>
                <w:b w:val="0"/>
                <w:i w:val="0"/>
                <w:color w:val="050C2A"/>
                <w:sz w:val="20"/>
                <w:u w:val="none"/>
              </w:rPr>
              <w:t>Near-Final Review — share deliverable package with employer, discuss quality and completeness, bring targeted questions</w:t>
            </w:r>
          </w:p>
        </w:tc>
        <w:tc>
          <w:tcPr>
            <w:tcW w:type="dxa" w:w="503"/>
            <w:vAlign w:val="center"/>
          </w:tcPr>
          <w:p>
            <w:pPr>
              <w:spacing w:before="30" w:after="30"/>
            </w:pPr>
            <w:r>
              <w:rPr>
                <w:rFonts w:ascii="DM Sans" w:hAnsi="DM Sans" w:cs="DM Sans"/>
                <w:b w:val="0"/>
                <w:i w:val="0"/>
                <w:color w:val="050C2A"/>
                <w:sz w:val="20"/>
                <w:u w:val="none"/>
              </w:rPr>
              <w:t>Project</w:t>
            </w:r>
          </w:p>
        </w:tc>
        <w:tc>
          <w:tcPr>
            <w:tcW w:type="dxa" w:w="988"/>
            <w:vAlign w:val="center"/>
          </w:tcPr>
          <w:p>
            <w:pPr>
              <w:spacing w:before="30" w:after="30"/>
            </w:pPr>
            <w:r>
              <w:rPr>
                <w:rFonts w:ascii="DM Sans" w:hAnsi="DM Sans" w:cs="DM Sans"/>
                <w:b w:val="0"/>
                <w:i w:val="0"/>
                <w:color w:val="050C2A"/>
                <w:sz w:val="20"/>
                <w:u w:val="none"/>
              </w:rPr>
              <w:t>60</w:t>
            </w:r>
          </w:p>
        </w:tc>
        <w:tc>
          <w:tcPr>
            <w:tcW w:type="dxa" w:w="4420"/>
            <w:vAlign w:val="center"/>
          </w:tcPr>
          <w:p>
            <w:pPr>
              <w:spacing w:before="30" w:after="30"/>
            </w:pPr>
            <w:r>
              <w:rPr>
                <w:rFonts w:ascii="DM Sans" w:hAnsi="DM Sans" w:cs="DM Sans"/>
                <w:b w:val="0"/>
                <w:i w:val="0"/>
                <w:color w:val="050C2A"/>
                <w:sz w:val="20"/>
                <w:u w:val="none"/>
              </w:rPr>
              <w:t>60-min hold (may end early); employer reviews deliverable package (pre-read or during meeting); team walks through Change Log briefly, then focuses on targeted questions about quality, completeness, and remaining gaps; no formal presentation — the document speaks for itself; discussion of final presentation format and expectations if time permits; this is the last touchpoint before the Final Check-In in Week 13</w:t>
            </w:r>
          </w:p>
        </w:tc>
      </w:tr>
      <w:tr>
        <w:tc>
          <w:tcPr>
            <w:tcW w:type="dxa" w:w="425"/>
            <w:shd w:fill="F5F5F5" w:val="clear"/>
            <w:vAlign w:val="center"/>
          </w:tcPr>
          <w:p>
            <w:pPr>
              <w:spacing w:before="30" w:after="30"/>
            </w:pPr>
            <w:r>
              <w:rPr>
                <w:rFonts w:ascii="DM Sans" w:hAnsi="DM Sans" w:cs="DM Sans"/>
                <w:b w:val="0"/>
                <w:i w:val="0"/>
                <w:color w:val="050C2A"/>
                <w:sz w:val="20"/>
                <w:u w:val="none"/>
              </w:rPr>
              <w:t>11.10</w:t>
            </w:r>
          </w:p>
        </w:tc>
        <w:tc>
          <w:tcPr>
            <w:tcW w:type="dxa" w:w="950"/>
            <w:shd w:fill="F5F5F5" w:val="clear"/>
            <w:vAlign w:val="center"/>
          </w:tcPr>
          <w:p>
            <w:pPr>
              <w:spacing w:before="30" w:after="30"/>
            </w:pPr>
            <w:r>
              <w:rPr>
                <w:rFonts w:ascii="DM Sans" w:hAnsi="DM Sans" w:cs="DM Sans"/>
                <w:b w:val="0"/>
                <w:i w:val="0"/>
                <w:color w:val="050C2A"/>
                <w:sz w:val="20"/>
                <w:u w:val="none"/>
              </w:rPr>
              <w:t>Project Work</w:t>
            </w:r>
          </w:p>
        </w:tc>
        <w:tc>
          <w:tcPr>
            <w:tcW w:type="dxa" w:w="2074"/>
            <w:shd w:fill="F5F5F5" w:val="clear"/>
            <w:vAlign w:val="center"/>
          </w:tcPr>
          <w:p>
            <w:pPr>
              <w:spacing w:before="30" w:after="30"/>
            </w:pPr>
            <w:r>
              <w:rPr>
                <w:rFonts w:ascii="DM Sans" w:hAnsi="DM Sans" w:cs="DM Sans"/>
                <w:b w:val="0"/>
                <w:i w:val="0"/>
                <w:color w:val="050C2A"/>
                <w:sz w:val="20"/>
                <w:u w:val="none"/>
              </w:rPr>
              <w:t>Post-meeting debrief — capture Near-Final Review feedback, update Change Log, identify final revision priorities</w:t>
            </w:r>
          </w:p>
        </w:tc>
        <w:tc>
          <w:tcPr>
            <w:tcW w:type="dxa" w:w="503"/>
            <w:shd w:fill="F5F5F5" w:val="clear"/>
            <w:vAlign w:val="center"/>
          </w:tcPr>
          <w:p>
            <w:pPr>
              <w:spacing w:before="30" w:after="30"/>
            </w:pPr>
            <w:r>
              <w:rPr>
                <w:rFonts w:ascii="DM Sans" w:hAnsi="DM Sans" w:cs="DM Sans"/>
                <w:b w:val="0"/>
                <w:i w:val="0"/>
                <w:color w:val="050C2A"/>
                <w:sz w:val="20"/>
                <w:u w:val="none"/>
              </w:rPr>
              <w:t>Project</w:t>
            </w:r>
          </w:p>
        </w:tc>
        <w:tc>
          <w:tcPr>
            <w:tcW w:type="dxa" w:w="988"/>
            <w:shd w:fill="F5F5F5" w:val="clear"/>
            <w:vAlign w:val="center"/>
          </w:tcPr>
          <w:p>
            <w:pPr>
              <w:spacing w:before="30" w:after="30"/>
            </w:pPr>
            <w:r>
              <w:rPr>
                <w:rFonts w:ascii="DM Sans" w:hAnsi="DM Sans" w:cs="DM Sans"/>
                <w:b w:val="0"/>
                <w:i w:val="0"/>
                <w:color w:val="050C2A"/>
                <w:sz w:val="20"/>
                <w:u w:val="none"/>
              </w:rPr>
              <w:t>30</w:t>
            </w:r>
          </w:p>
        </w:tc>
        <w:tc>
          <w:tcPr>
            <w:tcW w:type="dxa" w:w="4420"/>
            <w:shd w:fill="F5F5F5" w:val="clear"/>
            <w:vAlign w:val="center"/>
          </w:tcPr>
          <w:p>
            <w:pPr>
              <w:spacing w:before="30" w:after="30"/>
            </w:pPr>
            <w:r>
              <w:rPr>
                <w:rFonts w:ascii="DM Sans" w:hAnsi="DM Sans" w:cs="DM Sans"/>
                <w:b w:val="0"/>
                <w:i w:val="0"/>
                <w:color w:val="050C2A"/>
                <w:sz w:val="20"/>
                <w:u w:val="none"/>
              </w:rPr>
              <w:t>Immediate team debrief; parallels debrief pattern established in Weeks 5, 7, and 9; critical to capture feedback while fresh; Change Log update is now a standing practice (introduced 10.04); this debrief feeds directly into the final production push in Weeks 12–13</w:t>
            </w:r>
          </w:p>
        </w:tc>
      </w:tr>
      <w:tr>
        <w:tc>
          <w:tcPr>
            <w:tcW w:type="dxa" w:w="425"/>
            <w:vAlign w:val="center"/>
          </w:tcPr>
          <w:p>
            <w:pPr>
              <w:spacing w:before="30" w:after="30"/>
            </w:pPr>
            <w:r>
              <w:rPr>
                <w:rFonts w:ascii="DM Sans" w:hAnsi="DM Sans" w:cs="DM Sans"/>
                <w:b w:val="0"/>
                <w:i w:val="0"/>
                <w:color w:val="050C2A"/>
                <w:sz w:val="20"/>
                <w:u w:val="none"/>
              </w:rPr>
              <w:t>11.11</w:t>
            </w:r>
          </w:p>
        </w:tc>
        <w:tc>
          <w:tcPr>
            <w:tcW w:type="dxa" w:w="950"/>
            <w:vAlign w:val="center"/>
          </w:tcPr>
          <w:p>
            <w:pPr>
              <w:spacing w:before="30" w:after="30"/>
            </w:pPr>
            <w:r>
              <w:rPr>
                <w:rFonts w:ascii="DM Sans" w:hAnsi="DM Sans" w:cs="DM Sans"/>
                <w:b w:val="0"/>
                <w:i w:val="0"/>
                <w:color w:val="050C2A"/>
                <w:sz w:val="20"/>
                <w:u w:val="none"/>
              </w:rPr>
              <w:t>Project Work</w:t>
            </w:r>
          </w:p>
        </w:tc>
        <w:tc>
          <w:tcPr>
            <w:tcW w:type="dxa" w:w="2074"/>
            <w:vAlign w:val="center"/>
          </w:tcPr>
          <w:p>
            <w:pPr>
              <w:spacing w:before="30" w:after="30"/>
            </w:pPr>
            <w:r>
              <w:rPr>
                <w:rFonts w:ascii="DM Sans" w:hAnsi="DM Sans" w:cs="DM Sans"/>
                <w:b w:val="0"/>
                <w:i w:val="0"/>
                <w:color w:val="050C2A"/>
                <w:sz w:val="20"/>
                <w:u w:val="none"/>
              </w:rPr>
              <w:t>Finalize and submit Near-Final Package checkpoint</w:t>
            </w:r>
          </w:p>
        </w:tc>
        <w:tc>
          <w:tcPr>
            <w:tcW w:type="dxa" w:w="503"/>
            <w:vAlign w:val="center"/>
          </w:tcPr>
          <w:p>
            <w:pPr>
              <w:spacing w:before="30" w:after="30"/>
            </w:pPr>
            <w:r>
              <w:rPr>
                <w:rFonts w:ascii="DM Sans" w:hAnsi="DM Sans" w:cs="DM Sans"/>
                <w:b w:val="0"/>
                <w:i w:val="0"/>
                <w:color w:val="050C2A"/>
                <w:sz w:val="20"/>
                <w:u w:val="none"/>
              </w:rPr>
              <w:t>Project</w:t>
            </w:r>
          </w:p>
        </w:tc>
        <w:tc>
          <w:tcPr>
            <w:tcW w:type="dxa" w:w="988"/>
            <w:vAlign w:val="center"/>
          </w:tcPr>
          <w:p>
            <w:pPr>
              <w:spacing w:before="30" w:after="30"/>
            </w:pPr>
            <w:r>
              <w:rPr>
                <w:rFonts w:ascii="DM Sans" w:hAnsi="DM Sans" w:cs="DM Sans"/>
                <w:b w:val="0"/>
                <w:i w:val="0"/>
                <w:color w:val="050C2A"/>
                <w:sz w:val="20"/>
                <w:u w:val="none"/>
              </w:rPr>
              <w:t>20</w:t>
            </w:r>
          </w:p>
        </w:tc>
        <w:tc>
          <w:tcPr>
            <w:tcW w:type="dxa" w:w="4420"/>
            <w:vAlign w:val="center"/>
          </w:tcPr>
          <w:p>
            <w:pPr>
              <w:spacing w:before="30" w:after="30"/>
            </w:pPr>
            <w:r>
              <w:rPr>
                <w:rFonts w:ascii="DM Sans" w:hAnsi="DM Sans" w:cs="DM Sans"/>
                <w:b w:val="0"/>
                <w:i w:val="0"/>
                <w:color w:val="050C2A"/>
                <w:sz w:val="20"/>
                <w:u w:val="none"/>
              </w:rPr>
              <w:t>Team submits the assembled near-final deliverable package; completion-based checkpoint — package should represent substantially complete work that has been through internal review and is ready for employer scrutiny; this is not a final draft but should be close enough that the Near-Final Review feedback addresses quality, not fundamentals; AI disclosure required</w:t>
            </w:r>
          </w:p>
        </w:tc>
      </w:tr>
      <w:tr>
        <w:tc>
          <w:tcPr>
            <w:tcW w:type="dxa" w:w="425"/>
            <w:shd w:fill="F5F5F5" w:val="clear"/>
            <w:vAlign w:val="center"/>
          </w:tcPr>
          <w:p>
            <w:pPr>
              <w:spacing w:before="30" w:after="30"/>
            </w:pPr>
            <w:r>
              <w:rPr>
                <w:rFonts w:ascii="DM Sans" w:hAnsi="DM Sans" w:cs="DM Sans"/>
                <w:b w:val="0"/>
                <w:i w:val="0"/>
                <w:color w:val="050C2A"/>
                <w:sz w:val="20"/>
                <w:u w:val="none"/>
              </w:rPr>
              <w:t>11.12</w:t>
            </w:r>
          </w:p>
        </w:tc>
        <w:tc>
          <w:tcPr>
            <w:tcW w:type="dxa" w:w="950"/>
            <w:shd w:fill="F5F5F5" w:val="clear"/>
            <w:vAlign w:val="center"/>
          </w:tcPr>
          <w:p>
            <w:pPr>
              <w:spacing w:before="30" w:after="30"/>
            </w:pPr>
            <w:r>
              <w:rPr>
                <w:rFonts w:ascii="DM Sans" w:hAnsi="DM Sans" w:cs="DM Sans"/>
                <w:b w:val="0"/>
                <w:i w:val="0"/>
                <w:color w:val="050C2A"/>
                <w:sz w:val="20"/>
                <w:u w:val="none"/>
              </w:rPr>
              <w:t>Project Work</w:t>
            </w:r>
          </w:p>
        </w:tc>
        <w:tc>
          <w:tcPr>
            <w:tcW w:type="dxa" w:w="2074"/>
            <w:shd w:fill="F5F5F5" w:val="clear"/>
            <w:vAlign w:val="center"/>
          </w:tcPr>
          <w:p>
            <w:pPr>
              <w:spacing w:before="30" w:after="30"/>
            </w:pPr>
            <w:r>
              <w:rPr>
                <w:rFonts w:ascii="DM Sans" w:hAnsi="DM Sans" w:cs="DM Sans"/>
                <w:b w:val="0"/>
                <w:i w:val="0"/>
                <w:color w:val="050C2A"/>
                <w:sz w:val="20"/>
                <w:u w:val="none"/>
              </w:rPr>
              <w:t>Async team communication across the week</w:t>
            </w:r>
          </w:p>
        </w:tc>
        <w:tc>
          <w:tcPr>
            <w:tcW w:type="dxa" w:w="503"/>
            <w:shd w:fill="F5F5F5" w:val="clear"/>
            <w:vAlign w:val="center"/>
          </w:tcPr>
          <w:p>
            <w:pPr>
              <w:spacing w:before="30" w:after="30"/>
            </w:pPr>
            <w:r>
              <w:rPr>
                <w:rFonts w:ascii="DM Sans" w:hAnsi="DM Sans" w:cs="DM Sans"/>
                <w:b w:val="0"/>
                <w:i w:val="0"/>
                <w:color w:val="050C2A"/>
                <w:sz w:val="20"/>
                <w:u w:val="none"/>
              </w:rPr>
              <w:t>Project</w:t>
            </w:r>
          </w:p>
        </w:tc>
        <w:tc>
          <w:tcPr>
            <w:tcW w:type="dxa" w:w="988"/>
            <w:shd w:fill="F5F5F5" w:val="clear"/>
            <w:vAlign w:val="center"/>
          </w:tcPr>
          <w:p>
            <w:pPr>
              <w:spacing w:before="30" w:after="30"/>
            </w:pPr>
            <w:r>
              <w:rPr>
                <w:rFonts w:ascii="DM Sans" w:hAnsi="DM Sans" w:cs="DM Sans"/>
                <w:b w:val="0"/>
                <w:i w:val="0"/>
                <w:color w:val="050C2A"/>
                <w:sz w:val="20"/>
                <w:u w:val="none"/>
              </w:rPr>
              <w:t>45</w:t>
            </w:r>
          </w:p>
        </w:tc>
        <w:tc>
          <w:tcPr>
            <w:tcW w:type="dxa" w:w="4420"/>
            <w:shd w:fill="F5F5F5" w:val="clear"/>
            <w:vAlign w:val="center"/>
          </w:tcPr>
          <w:p>
            <w:pPr>
              <w:spacing w:before="30" w:after="30"/>
            </w:pPr>
            <w:r>
              <w:rPr>
                <w:rFonts w:ascii="DM Sans" w:hAnsi="DM Sans" w:cs="DM Sans"/>
                <w:b w:val="0"/>
                <w:i w:val="0"/>
                <w:color w:val="050C2A"/>
                <w:sz w:val="20"/>
                <w:u w:val="none"/>
              </w:rPr>
              <w:t>Coordination, logistics, check-ins outside structured activities; includes standing prompts: Weekly Progress Check-In (continues from Week 7), Status Update to Employer (between-reviews coordination as needed), and Change Log entry; contribution record relevant to Professional Engagement and Peer Evaluation #2 in Week 15</w:t>
            </w:r>
          </w:p>
        </w:tc>
      </w:tr>
      <w:tr>
        <w:tc>
          <w:tcPr>
            <w:tcW w:type="dxa" w:w="425"/>
            <w:vAlign w:val="center"/>
          </w:tcPr>
          <w:p>
            <w:pPr>
              <w:spacing w:before="30" w:after="30"/>
            </w:pPr>
          </w:p>
        </w:tc>
        <w:tc>
          <w:tcPr>
            <w:tcW w:type="dxa" w:w="950"/>
            <w:vAlign w:val="center"/>
          </w:tcPr>
          <w:p>
            <w:pPr>
              <w:spacing w:before="30" w:after="30"/>
            </w:pPr>
          </w:p>
        </w:tc>
        <w:tc>
          <w:tcPr>
            <w:tcW w:type="dxa" w:w="2074"/>
            <w:vAlign w:val="center"/>
          </w:tcPr>
          <w:p>
            <w:pPr>
              <w:spacing w:before="30" w:after="30"/>
            </w:pPr>
            <w:r>
              <w:rPr>
                <w:rFonts w:ascii="DM Sans" w:hAnsi="DM Sans" w:cs="DM Sans"/>
                <w:b/>
                <w:i w:val="0"/>
                <w:color w:val="050C2A"/>
                <w:sz w:val="20"/>
                <w:u w:val="none"/>
              </w:rPr>
              <w:t>TOTAL</w:t>
            </w:r>
          </w:p>
        </w:tc>
        <w:tc>
          <w:tcPr>
            <w:tcW w:type="dxa" w:w="503"/>
            <w:vAlign w:val="center"/>
          </w:tcPr>
          <w:p>
            <w:pPr>
              <w:spacing w:before="30" w:after="30"/>
            </w:pPr>
          </w:p>
        </w:tc>
        <w:tc>
          <w:tcPr>
            <w:tcW w:type="dxa" w:w="988"/>
            <w:vAlign w:val="center"/>
          </w:tcPr>
          <w:p>
            <w:pPr>
              <w:spacing w:before="30" w:after="30"/>
            </w:pPr>
            <w:r>
              <w:rPr>
                <w:rFonts w:ascii="DM Sans" w:hAnsi="DM Sans" w:cs="DM Sans"/>
                <w:b/>
                <w:i w:val="0"/>
                <w:color w:val="050C2A"/>
                <w:sz w:val="20"/>
                <w:u w:val="none"/>
              </w:rPr>
              <w:t>520 min (~8 hrs 40 min)</w:t>
            </w:r>
          </w:p>
        </w:tc>
        <w:tc>
          <w:tcPr>
            <w:tcW w:type="dxa" w:w="4420"/>
            <w:vAlign w:val="center"/>
          </w:tcPr>
          <w:p>
            <w:pPr>
              <w:spacing w:before="30" w:after="30"/>
            </w:pP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295"/>
            <w:shd w:fill="FF7C0A" w:val="clear"/>
            <w:vAlign w:val="center"/>
          </w:tcPr>
          <w:p>
            <w:pPr>
              <w:jc w:val="left"/>
              <w:spacing w:before="40" w:after="40"/>
            </w:pPr>
            <w:r>
              <w:rPr>
                <w:rFonts w:ascii="DM Sans" w:hAnsi="DM Sans" w:cs="DM Sans"/>
                <w:b/>
                <w:i w:val="0"/>
                <w:color w:val="FFFFFF"/>
                <w:sz w:val="20"/>
                <w:u w:val="none"/>
              </w:rPr>
              <w:t>Competency Area</w:t>
            </w:r>
          </w:p>
        </w:tc>
        <w:tc>
          <w:tcPr>
            <w:tcW w:type="dxa" w:w="1522"/>
            <w:shd w:fill="FF7C0A" w:val="clear"/>
            <w:vAlign w:val="center"/>
          </w:tcPr>
          <w:p>
            <w:pPr>
              <w:jc w:val="left"/>
              <w:spacing w:before="40" w:after="40"/>
            </w:pPr>
            <w:r>
              <w:rPr>
                <w:rFonts w:ascii="DM Sans" w:hAnsi="DM Sans" w:cs="DM Sans"/>
                <w:b/>
                <w:i w:val="0"/>
                <w:color w:val="FFFFFF"/>
                <w:sz w:val="20"/>
                <w:u w:val="none"/>
              </w:rPr>
              <w:t>Subskill</w:t>
            </w:r>
          </w:p>
        </w:tc>
        <w:tc>
          <w:tcPr>
            <w:tcW w:type="dxa" w:w="6543"/>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295"/>
            <w:vAlign w:val="center"/>
          </w:tcPr>
          <w:p>
            <w:pPr>
              <w:spacing w:before="30" w:after="30"/>
            </w:pPr>
            <w:r>
              <w:rPr>
                <w:rFonts w:ascii="DM Sans" w:hAnsi="DM Sans" w:cs="DM Sans"/>
                <w:b/>
                <w:i w:val="0"/>
                <w:color w:val="050C2A"/>
                <w:sz w:val="20"/>
                <w:u w:val="none"/>
              </w:rPr>
              <w:t>Professionalism</w:t>
            </w:r>
          </w:p>
        </w:tc>
        <w:tc>
          <w:tcPr>
            <w:tcW w:type="dxa" w:w="1522"/>
            <w:vAlign w:val="center"/>
          </w:tcPr>
          <w:p>
            <w:pPr>
              <w:spacing w:before="30" w:after="30"/>
            </w:pPr>
            <w:r>
              <w:rPr>
                <w:rFonts w:ascii="DM Sans" w:hAnsi="DM Sans" w:cs="DM Sans"/>
                <w:b w:val="0"/>
                <w:i w:val="0"/>
                <w:color w:val="050C2A"/>
                <w:sz w:val="20"/>
                <w:u w:val="none"/>
              </w:rPr>
              <w:t>Quality &amp; Attention to Detail</w:t>
            </w:r>
          </w:p>
        </w:tc>
        <w:tc>
          <w:tcPr>
            <w:tcW w:type="dxa" w:w="6543"/>
            <w:vAlign w:val="center"/>
          </w:tcPr>
          <w:p>
            <w:pPr>
              <w:spacing w:before="30" w:after="30"/>
            </w:pPr>
            <w:r>
              <w:rPr>
                <w:rFonts w:ascii="DM Sans" w:hAnsi="DM Sans" w:cs="DM Sans"/>
                <w:b w:val="0"/>
                <w:i w:val="0"/>
                <w:color w:val="050C2A"/>
                <w:sz w:val="20"/>
                <w:u w:val="none"/>
              </w:rPr>
              <w:t>This is the primary competency for Week 11. Module 11.02 defines the professional quality standard and module 11.03 provides a concrete self-review protocol. The internal review gate (11.07) and the production block (11.06) are the application sites — students move from understanding what quality means to actually producing it under the pressure of an impending employer review. The Near-Final Package checkpoint (11.11) creates accountability for having the work at a quality level that warrants employer review.</w:t>
            </w:r>
          </w:p>
        </w:tc>
      </w:tr>
      <w:tr>
        <w:tc>
          <w:tcPr>
            <w:tcW w:type="dxa" w:w="1295"/>
            <w:shd w:fill="F5F5F5" w:val="clear"/>
            <w:vAlign w:val="center"/>
          </w:tcPr>
          <w:p>
            <w:pPr>
              <w:spacing w:before="30" w:after="30"/>
            </w:pPr>
            <w:r>
              <w:rPr>
                <w:rFonts w:ascii="DM Sans" w:hAnsi="DM Sans" w:cs="DM Sans"/>
                <w:b/>
                <w:i w:val="0"/>
                <w:color w:val="050C2A"/>
                <w:sz w:val="20"/>
                <w:u w:val="none"/>
              </w:rPr>
              <w:t>Professionalism</w:t>
            </w:r>
          </w:p>
        </w:tc>
        <w:tc>
          <w:tcPr>
            <w:tcW w:type="dxa" w:w="1522"/>
            <w:shd w:fill="F5F5F5" w:val="clear"/>
            <w:vAlign w:val="center"/>
          </w:tcPr>
          <w:p>
            <w:pPr>
              <w:spacing w:before="30" w:after="30"/>
            </w:pPr>
            <w:r>
              <w:rPr>
                <w:rFonts w:ascii="DM Sans" w:hAnsi="DM Sans" w:cs="DM Sans"/>
                <w:b w:val="0"/>
                <w:i w:val="0"/>
                <w:color w:val="050C2A"/>
                <w:sz w:val="20"/>
                <w:u w:val="none"/>
              </w:rPr>
              <w:t>Feedback Reception</w:t>
            </w:r>
          </w:p>
        </w:tc>
        <w:tc>
          <w:tcPr>
            <w:tcW w:type="dxa" w:w="6543"/>
            <w:shd w:fill="F5F5F5" w:val="clear"/>
            <w:vAlign w:val="center"/>
          </w:tcPr>
          <w:p>
            <w:pPr>
              <w:spacing w:before="30" w:after="30"/>
            </w:pPr>
            <w:r>
              <w:rPr>
                <w:rFonts w:ascii="DM Sans" w:hAnsi="DM Sans" w:cs="DM Sans"/>
                <w:b w:val="0"/>
                <w:i w:val="0"/>
                <w:color w:val="050C2A"/>
                <w:sz w:val="20"/>
                <w:u w:val="none"/>
              </w:rPr>
              <w:t>Module 11.04 reframes feedback reception for the near-final stage, where the instinct is to defend work rather than listen for what's missing. The Near-Final Review (11.09) tests this in a different format than prior touchpoints — the employer is reviewing a document, not watching a presentation, which means feedback may be more specific and granular. The Change Log walkthrough makes feedback responsiveness visible and documentable — the first time students present evidence of how they've engaged with feedback across the project.</w:t>
            </w:r>
          </w:p>
        </w:tc>
      </w:tr>
      <w:tr>
        <w:tc>
          <w:tcPr>
            <w:tcW w:type="dxa" w:w="1295"/>
            <w:vAlign w:val="center"/>
          </w:tcPr>
          <w:p>
            <w:pPr>
              <w:spacing w:before="30" w:after="30"/>
            </w:pPr>
            <w:r>
              <w:rPr>
                <w:rFonts w:ascii="DM Sans" w:hAnsi="DM Sans" w:cs="DM Sans"/>
                <w:b/>
                <w:i w:val="0"/>
                <w:color w:val="050C2A"/>
                <w:sz w:val="20"/>
                <w:u w:val="none"/>
              </w:rPr>
              <w:t>Communication</w:t>
            </w:r>
          </w:p>
        </w:tc>
        <w:tc>
          <w:tcPr>
            <w:tcW w:type="dxa" w:w="1522"/>
            <w:vAlign w:val="center"/>
          </w:tcPr>
          <w:p>
            <w:pPr>
              <w:spacing w:before="30" w:after="30"/>
            </w:pPr>
            <w:r>
              <w:rPr>
                <w:rFonts w:ascii="DM Sans" w:hAnsi="DM Sans" w:cs="DM Sans"/>
                <w:b w:val="0"/>
                <w:i w:val="0"/>
                <w:color w:val="050C2A"/>
                <w:sz w:val="20"/>
                <w:u w:val="none"/>
              </w:rPr>
              <w:t>Professional Correspondence</w:t>
            </w:r>
          </w:p>
        </w:tc>
        <w:tc>
          <w:tcPr>
            <w:tcW w:type="dxa" w:w="6543"/>
            <w:vAlign w:val="center"/>
          </w:tcPr>
          <w:p>
            <w:pPr>
              <w:spacing w:before="30" w:after="30"/>
            </w:pPr>
            <w:r>
              <w:rPr>
                <w:rFonts w:ascii="DM Sans" w:hAnsi="DM Sans" w:cs="DM Sans"/>
                <w:b w:val="0"/>
                <w:i w:val="0"/>
                <w:color w:val="050C2A"/>
                <w:sz w:val="20"/>
                <w:u w:val="none"/>
              </w:rPr>
              <w:t>The Near-Final Review is the first employer touchpoint where the deliverable itself does the talking rather than a student presentation. Preparing a document that is clean, navigable, and self-explanatory enough for an employer to review independently is a professional communication skill distinct from oral presentation. This is the competency the prep session (11.08) builds.</w:t>
            </w:r>
          </w:p>
        </w:tc>
      </w:tr>
      <w:tr>
        <w:tc>
          <w:tcPr>
            <w:tcW w:type="dxa" w:w="1295"/>
            <w:shd w:fill="F5F5F5" w:val="clear"/>
            <w:vAlign w:val="center"/>
          </w:tcPr>
          <w:p>
            <w:pPr>
              <w:spacing w:before="30" w:after="30"/>
            </w:pPr>
            <w:r>
              <w:rPr>
                <w:rFonts w:ascii="DM Sans" w:hAnsi="DM Sans" w:cs="DM Sans"/>
                <w:b/>
                <w:i w:val="0"/>
                <w:color w:val="050C2A"/>
                <w:sz w:val="20"/>
                <w:u w:val="none"/>
              </w:rPr>
              <w:t>Critical Thinking</w:t>
            </w:r>
          </w:p>
        </w:tc>
        <w:tc>
          <w:tcPr>
            <w:tcW w:type="dxa" w:w="1522"/>
            <w:shd w:fill="F5F5F5" w:val="clear"/>
            <w:vAlign w:val="center"/>
          </w:tcPr>
          <w:p>
            <w:pPr>
              <w:spacing w:before="30" w:after="30"/>
            </w:pPr>
            <w:r>
              <w:rPr>
                <w:rFonts w:ascii="DM Sans" w:hAnsi="DM Sans" w:cs="DM Sans"/>
                <w:b w:val="0"/>
                <w:i w:val="0"/>
                <w:color w:val="050C2A"/>
                <w:sz w:val="20"/>
                <w:u w:val="none"/>
              </w:rPr>
              <w:t>Prioritization</w:t>
            </w:r>
          </w:p>
        </w:tc>
        <w:tc>
          <w:tcPr>
            <w:tcW w:type="dxa" w:w="6543"/>
            <w:shd w:fill="F5F5F5" w:val="clear"/>
            <w:vAlign w:val="center"/>
          </w:tcPr>
          <w:p>
            <w:pPr>
              <w:spacing w:before="30" w:after="30"/>
            </w:pPr>
            <w:r>
              <w:rPr>
                <w:rFonts w:ascii="DM Sans" w:hAnsi="DM Sans" w:cs="DM Sans"/>
                <w:b w:val="0"/>
                <w:i w:val="0"/>
                <w:color w:val="050C2A"/>
                <w:sz w:val="20"/>
                <w:u w:val="none"/>
              </w:rPr>
              <w:t>The team sync (11.05) requires explicit prioritization of what to refine versus what to leave alone. With limited time before Final Deliverables are due in Week 13, students must distinguish between changes that materially improve the work and changes that consume time without adding value. This is a professional judgment skill that becomes critical under deadline pressure.</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Near-Final Package → Professionalism (Quality &amp; Attention to Detail) + Communication (Written Clarity)</w:t>
      </w:r>
    </w:p>
    <w:p>
      <w:pPr>
        <w:spacing w:before="0" w:after="120" w:line="276" w:lineRule="auto"/>
      </w:pPr>
      <w:r>
        <w:rPr>
          <w:rFonts w:ascii="DM Sans" w:hAnsi="DM Sans" w:cs="DM Sans"/>
          <w:b w:val="0"/>
          <w:i w:val="0"/>
          <w:color w:val="050C2A"/>
          <w:sz w:val="20"/>
          <w:u w:val="none"/>
        </w:rPr>
        <w:t>Checkpoint; completion-based. Team submission. The Near-Final Package is a forcing function — it requires teams to assemble all deliverable components into a coherent package and submit it for review before the employer sees it in the Near-Final Review. The checkpoint is not quality-graded, but the completion standard is substantive: the package should represent work that is close to final, not a rough draft relabeled. Teams that submit incomplete or disorganized packages will find the Near-Final Review less productive because employer feedback will address fundamentals rather than quality.</w:t>
      </w:r>
    </w:p>
    <w:p>
      <w:pPr>
        <w:spacing w:before="0" w:after="120" w:line="276" w:lineRule="auto"/>
      </w:pPr>
      <w:r>
        <w:rPr>
          <w:rFonts w:ascii="DM Sans" w:hAnsi="DM Sans" w:cs="DM Sans"/>
          <w:b w:val="0"/>
          <w:i w:val="0"/>
          <w:color w:val="050C2A"/>
          <w:sz w:val="20"/>
          <w:u w:val="none"/>
        </w:rPr>
        <w:t>The Near-Final Package is not a separate deliverable from the Final Deliverables due in Week 13 — it is the same work at a near-final stage. The checkpoint creates accountability for having the work in reviewable condition by Week 11, ensuring that Weeks 12–13 are spent on targeted revision rather than first-draft production. The Final Deliverables rubric (five dimensions: Deliverable Quality 30%, Analytical Rigor 25%, Actionability 20%, Communication 15%, Responsiveness to Feedback 10%) applies to the Week 13 submission, not this checkpoint.</w:t>
      </w:r>
    </w:p>
    <w:p>
      <w:pPr>
        <w:spacing w:before="0" w:after="120" w:line="276" w:lineRule="auto"/>
      </w:pPr>
      <w:r>
        <w:rPr>
          <w:rFonts w:ascii="DM Sans" w:hAnsi="DM Sans" w:cs="DM Sans"/>
          <w:b w:val="0"/>
          <w:i w:val="0"/>
          <w:color w:val="050C2A"/>
          <w:sz w:val="20"/>
          <w:u w:val="none"/>
        </w:rPr>
        <w:t>AI-assisted polish and editing is permitted and encouraged at this stage — tightening prose, improving consistency, catching errors. AI disclosure required on submission. The substance of the deliverable package should reflect the team's own research, analysis, and recommendations built over the preceding weeks.</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p>
    <w:p>
      <w:pPr>
        <w:spacing w:before="0" w:after="120" w:line="276" w:lineRule="auto"/>
      </w:pPr>
      <w:r>
        <w:rPr>
          <w:rFonts w:ascii="DM Sans" w:hAnsi="DM Sans" w:cs="DM Sans"/>
          <w:b w:val="0"/>
          <w:i w:val="0"/>
          <w:color w:val="050C2A"/>
          <w:sz w:val="20"/>
          <w:u w:val="none"/>
        </w:rPr>
        <w:t>Production-oriented AI use from Week 8 onward continues and intensifies during Refinement. The AI as Quality Reviewer strategy introduced in Week 10 (10.05) is the primary new application this week. Using AI to evaluate the deliverable against the self-review protocol (11.03) — identifying formatting inconsistencies, catching grammatical errors, flagging sections where the argument is weak or the evidence thin — is encouraged and mirrors professional practice. Using AI to help prepare the Change Log for the Near-Final Review is appropriate: organizing feedback received across multiple touchpoints into a clear narrative of what was addressed and why. Using AI to generate likely employer questions about the near-final work is a continuation of the stress-testing strategy introduced in Week 7 — useful for the prep session (11.08) even though the meeting itself is document-sharing rather than presentation-based.</w:t>
      </w:r>
    </w:p>
    <w:p>
      <w:pPr>
        <w:spacing w:before="0" w:after="120" w:line="276" w:lineRule="auto"/>
      </w:pPr>
      <w:r>
        <w:rPr>
          <w:rFonts w:ascii="DM Sans" w:hAnsi="DM Sans" w:cs="DM Sans"/>
          <w:b/>
          <w:i w:val="0"/>
          <w:color w:val="050C2A"/>
          <w:sz w:val="20"/>
          <w:u w:val="none"/>
        </w:rPr>
        <w:t>Off-limits this week:</w:t>
      </w:r>
    </w:p>
    <w:p>
      <w:pPr>
        <w:spacing w:before="0" w:after="120" w:line="276" w:lineRule="auto"/>
      </w:pPr>
      <w:r>
        <w:rPr>
          <w:rFonts w:ascii="DM Sans" w:hAnsi="DM Sans" w:cs="DM Sans"/>
          <w:b w:val="0"/>
          <w:i w:val="0"/>
          <w:color w:val="050C2A"/>
          <w:sz w:val="20"/>
          <w:u w:val="none"/>
        </w:rPr>
        <w:t>No specific prohibitions beyond the standing course policy. The near-final stage makes uncritical pass-through particularly risky — AI-polished prose that the team cannot explain or defend will surface in the Near-Final Review conversation and again at the Final Presentation in Week 15.</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AI disclosure required on the Near-Final Package checkpoint submission.</w:t>
      </w:r>
    </w:p>
    <w:p>
      <w:pPr>
        <w:spacing w:before="0" w:after="120" w:line="276" w:lineRule="auto"/>
      </w:pPr>
      <w:r>
        <w:rPr>
          <w:rFonts w:ascii="DM Sans" w:hAnsi="DM Sans" w:cs="DM Sans"/>
          <w:b/>
          <w:i w:val="0"/>
          <w:color w:val="050C2A"/>
          <w:sz w:val="20"/>
          <w:u w:val="none"/>
        </w:rPr>
        <w:t>Prompt strategy reinforced:</w:t>
      </w:r>
      <w:r>
        <w:rPr>
          <w:rFonts w:ascii="DM Sans" w:hAnsi="DM Sans" w:cs="DM Sans"/>
          <w:b w:val="0"/>
          <w:i w:val="0"/>
          <w:color w:val="050C2A"/>
          <w:sz w:val="20"/>
          <w:u w:val="none"/>
        </w:rPr>
        <w:t xml:space="preserve"> The quality review application extends the production partner role (Week 8+) into a new domain. Rather than using AI to generate content, students use it to evaluate their own work against professional standards — a shift from creation to critical assessment. Module 11.03 embeds this by suggesting students prompt AI with their deliverable and ask it to identify the three weakest sections and explain why, then compare that assessment to their own internal review gate findings.</w:t>
      </w:r>
    </w:p>
    <w:p>
      <w:pPr>
        <w:spacing w:before="280" w:after="100"/>
      </w:pPr>
      <w:r>
        <w:rPr>
          <w:rFonts w:ascii="DM Sans" w:hAnsi="DM Sans" w:cs="DM Sans"/>
          <w:b/>
          <w:i w:val="0"/>
          <w:color w:val="050C2A"/>
          <w:sz w:val="28"/>
          <w:u w:val="none"/>
        </w:rPr>
        <w:t>Design Decisions</w:t>
      </w:r>
    </w:p>
    <w:p>
      <w:pPr>
        <w:spacing w:before="0" w:after="120" w:line="276" w:lineRule="auto"/>
      </w:pPr>
      <w:r>
        <w:rPr>
          <w:rFonts w:ascii="DM Sans" w:hAnsi="DM Sans" w:cs="DM Sans"/>
          <w:b/>
          <w:i w:val="0"/>
          <w:color w:val="050C2A"/>
          <w:sz w:val="20"/>
          <w:u w:val="none"/>
        </w:rPr>
        <w:t>1. Refinement phase opens with a quality orientation.</w:t>
      </w:r>
      <w:r>
        <w:rPr>
          <w:rFonts w:ascii="DM Sans" w:hAnsi="DM Sans" w:cs="DM Sans"/>
          <w:b w:val="0"/>
          <w:i w:val="0"/>
          <w:color w:val="050C2A"/>
          <w:sz w:val="20"/>
          <w:u w:val="none"/>
        </w:rPr>
        <w:t xml:space="preserve"> The module content for Week 11 is entirely about quality — what it means (11.02), how to self-review for it (11.03), and how to seek feedback on it (11.04). This is not a coincidence. The shift from Development to Refinement is the shift from "Is it done?" to "Is it good?" Every module addresses a different facet of that question, and every project activity applies the answer.</w:t>
      </w:r>
    </w:p>
    <w:p>
      <w:pPr>
        <w:spacing w:before="0" w:after="120" w:line="276" w:lineRule="auto"/>
      </w:pPr>
      <w:r>
        <w:rPr>
          <w:rFonts w:ascii="DM Sans" w:hAnsi="DM Sans" w:cs="DM Sans"/>
          <w:b/>
          <w:i w:val="0"/>
          <w:color w:val="050C2A"/>
          <w:sz w:val="20"/>
          <w:u w:val="none"/>
        </w:rPr>
        <w:t>2. Near-Final Review is a document-sharing meeting, not a presentation.</w:t>
      </w:r>
      <w:r>
        <w:rPr>
          <w:rFonts w:ascii="DM Sans" w:hAnsi="DM Sans" w:cs="DM Sans"/>
          <w:b w:val="0"/>
          <w:i w:val="0"/>
          <w:color w:val="050C2A"/>
          <w:sz w:val="20"/>
          <w:u w:val="none"/>
        </w:rPr>
        <w:t xml:space="preserve"> The design consistently distinguishes this touchpoint from the formal presentations in Weeks 5 and 15. This is intentional: the document should be able to stand on its own. Students who need to "walk the employer through" every section have a document problem, not a meeting-format problem. The prep session (11.08) focuses on preparing the document and developing questions, not rehearsing a presentation.</w:t>
      </w:r>
    </w:p>
    <w:p>
      <w:pPr>
        <w:spacing w:before="0" w:after="120" w:line="276" w:lineRule="auto"/>
      </w:pPr>
      <w:r>
        <w:rPr>
          <w:rFonts w:ascii="DM Sans" w:hAnsi="DM Sans" w:cs="DM Sans"/>
          <w:b/>
          <w:i w:val="0"/>
          <w:color w:val="050C2A"/>
          <w:sz w:val="20"/>
          <w:u w:val="none"/>
        </w:rPr>
        <w:t>3. Change Log walkthrough as a new employer communication practice.</w:t>
      </w:r>
      <w:r>
        <w:rPr>
          <w:rFonts w:ascii="DM Sans" w:hAnsi="DM Sans" w:cs="DM Sans"/>
          <w:b w:val="0"/>
          <w:i w:val="0"/>
          <w:color w:val="050C2A"/>
          <w:sz w:val="20"/>
          <w:u w:val="none"/>
        </w:rPr>
        <w:t xml:space="preserve"> For the first time, students present their engagement with prior feedback as a structured narrative. The Change Log (introduced 10.04) makes this possible — teams can walk through what feedback they received, what they did about it, and why they chose not to act on certain items. This is a professional skill that doesn't exist in most academic contexts, where feedback is received and acted on (or not) invisibly.</w:t>
      </w:r>
    </w:p>
    <w:p>
      <w:pPr>
        <w:spacing w:before="0" w:after="120" w:line="276" w:lineRule="auto"/>
      </w:pPr>
      <w:r>
        <w:rPr>
          <w:rFonts w:ascii="DM Sans" w:hAnsi="DM Sans" w:cs="DM Sans"/>
          <w:b/>
          <w:i w:val="0"/>
          <w:color w:val="050C2A"/>
          <w:sz w:val="20"/>
          <w:u w:val="none"/>
        </w:rPr>
        <w:t>4. Internal review gate serves a different purpose than in Week 10.</w:t>
      </w:r>
      <w:r>
        <w:rPr>
          <w:rFonts w:ascii="DM Sans" w:hAnsi="DM Sans" w:cs="DM Sans"/>
          <w:b w:val="0"/>
          <w:i w:val="0"/>
          <w:color w:val="050C2A"/>
          <w:sz w:val="20"/>
          <w:u w:val="none"/>
        </w:rPr>
        <w:t xml:space="preserve"> The Week 10 gate (10.08) focused on identifying gaps before Refinement. The Week 11 gate (11.07) focuses on quality and presentation before the employer sees the work. Same practice, different lens — and the shift mirrors the phase transition from Development to Refinement.</w:t>
      </w:r>
    </w:p>
    <w:p>
      <w:pPr>
        <w:spacing w:before="0" w:after="120" w:line="276" w:lineRule="auto"/>
      </w:pPr>
      <w:r>
        <w:rPr>
          <w:rFonts w:ascii="DM Sans" w:hAnsi="DM Sans" w:cs="DM Sans"/>
          <w:b/>
          <w:i w:val="0"/>
          <w:color w:val="050C2A"/>
          <w:sz w:val="20"/>
          <w:u w:val="none"/>
        </w:rPr>
        <w:t>5. Production block sized for refinement, not generation.</w:t>
      </w:r>
      <w:r>
        <w:rPr>
          <w:rFonts w:ascii="DM Sans" w:hAnsi="DM Sans" w:cs="DM Sans"/>
          <w:b w:val="0"/>
          <w:i w:val="0"/>
          <w:color w:val="050C2A"/>
          <w:sz w:val="20"/>
          <w:u w:val="none"/>
        </w:rPr>
        <w:t xml:space="preserve"> The 210-minute production block is substantial but smaller than Week 10's 300-minute block. This reflects the design assumption that by Week 11, the deliverable content is largely complete and the remaining work is refinement — tightening, polishing, ensuring consistency. The block is sized for revision work, not first-draft production. Teams that are still generating new content in Week 11 have a timeline problem that the Near-Final Review will make visible.</w:t>
      </w:r>
    </w:p>
    <w:p>
      <w:pPr>
        <w:spacing w:before="0" w:after="120" w:line="276" w:lineRule="auto"/>
      </w:pPr>
      <w:r>
        <w:rPr>
          <w:rFonts w:ascii="DM Sans" w:hAnsi="DM Sans" w:cs="DM Sans"/>
          <w:b/>
          <w:i w:val="0"/>
          <w:color w:val="050C2A"/>
          <w:sz w:val="20"/>
          <w:u w:val="none"/>
        </w:rPr>
        <w:t>6. Twelve activities reflects genuine structural complexity.</w:t>
      </w:r>
      <w:r>
        <w:rPr>
          <w:rFonts w:ascii="DM Sans" w:hAnsi="DM Sans" w:cs="DM Sans"/>
          <w:b w:val="0"/>
          <w:i w:val="0"/>
          <w:color w:val="050C2A"/>
          <w:sz w:val="20"/>
          <w:u w:val="none"/>
        </w:rPr>
        <w:t xml:space="preserve"> Week 11 has more activities than most weeks because the Near-Final Review creates a three-part sequence (prep → meeting → debrief) that doesn't compress well, and the checkpoint submission and internal review gate add distinct steps. Each activity serves a specific function; none is padding.</w:t>
      </w:r>
    </w:p>
    <w:p>
      <w:pPr>
        <w:spacing w:before="0" w:after="120" w:line="276" w:lineRule="auto"/>
      </w:pPr>
      <w:r>
        <w:rPr>
          <w:rFonts w:ascii="DM Sans" w:hAnsi="DM Sans" w:cs="DM Sans"/>
          <w:b/>
          <w:i w:val="0"/>
          <w:color w:val="050C2A"/>
          <w:sz w:val="20"/>
          <w:u w:val="none"/>
        </w:rPr>
        <w:t>7. No graded deliverable — but the checkpoint matters.</w:t>
      </w:r>
      <w:r>
        <w:rPr>
          <w:rFonts w:ascii="DM Sans" w:hAnsi="DM Sans" w:cs="DM Sans"/>
          <w:b w:val="0"/>
          <w:i w:val="0"/>
          <w:color w:val="050C2A"/>
          <w:sz w:val="20"/>
          <w:u w:val="none"/>
        </w:rPr>
        <w:t xml:space="preserve"> The Near-Final Package is completion-based, not quality-graded. But the completion standard is substantive: the package should be close enough to final that employer feedback addresses quality, not fundamentals. This is a design choice about where to place assessment pressure. Quality-grading the near-final package would duplicate the Final Deliverables rubric; completion-grading it creates a forcing function without the risk that students treat an intermediate submission as summative.</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