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12 — From Feedback to Final</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151"/>
            <w:shd w:fill="FF7C0A" w:val="clear"/>
            <w:vAlign w:val="center"/>
          </w:tcPr>
          <w:p>
            <w:pPr>
              <w:jc w:val="left"/>
              <w:spacing w:before="40" w:after="40"/>
            </w:pPr>
            <w:r>
              <w:rPr>
                <w:rFonts w:ascii="DM Sans" w:hAnsi="DM Sans" w:cs="DM Sans"/>
                <w:b/>
                <w:i w:val="0"/>
                <w:color w:val="FFFFFF"/>
                <w:sz w:val="20"/>
                <w:u w:val="none"/>
              </w:rPr>
            </w:r>
          </w:p>
        </w:tc>
        <w:tc>
          <w:tcPr>
            <w:tcW w:type="dxa" w:w="6209"/>
            <w:shd w:fill="FF7C0A" w:val="clear"/>
            <w:vAlign w:val="center"/>
          </w:tcPr>
          <w:p>
            <w:pPr>
              <w:jc w:val="left"/>
              <w:spacing w:before="40" w:after="40"/>
            </w:pPr>
            <w:r>
              <w:rPr>
                <w:rFonts w:ascii="DM Sans" w:hAnsi="DM Sans" w:cs="DM Sans"/>
                <w:b/>
                <w:i w:val="0"/>
                <w:color w:val="FFFFFF"/>
                <w:sz w:val="20"/>
                <w:u w:val="none"/>
              </w:rPr>
            </w:r>
          </w:p>
        </w:tc>
      </w:tr>
      <w:tr>
        <w:tc>
          <w:tcPr>
            <w:tcW w:type="dxa" w:w="3151"/>
            <w:vAlign w:val="center"/>
          </w:tcPr>
          <w:p>
            <w:pPr>
              <w:spacing w:before="30" w:after="30"/>
            </w:pPr>
            <w:r>
              <w:rPr>
                <w:rFonts w:ascii="DM Sans" w:hAnsi="DM Sans" w:cs="DM Sans"/>
                <w:b/>
                <w:i w:val="0"/>
                <w:color w:val="050C2A"/>
                <w:sz w:val="20"/>
                <w:u w:val="none"/>
              </w:rPr>
              <w:t>Phase</w:t>
            </w:r>
          </w:p>
        </w:tc>
        <w:tc>
          <w:tcPr>
            <w:tcW w:type="dxa" w:w="6209"/>
            <w:vAlign w:val="center"/>
          </w:tcPr>
          <w:p>
            <w:pPr>
              <w:spacing w:before="30" w:after="30"/>
            </w:pPr>
            <w:r>
              <w:rPr>
                <w:rFonts w:ascii="DM Sans" w:hAnsi="DM Sans" w:cs="DM Sans"/>
                <w:b w:val="0"/>
                <w:i w:val="0"/>
                <w:color w:val="050C2A"/>
                <w:sz w:val="20"/>
                <w:u w:val="none"/>
              </w:rPr>
              <w:t>Refinement</w:t>
            </w:r>
          </w:p>
        </w:tc>
      </w:tr>
      <w:tr>
        <w:tc>
          <w:tcPr>
            <w:tcW w:type="dxa" w:w="3151"/>
            <w:shd w:fill="F5F5F5" w:val="clear"/>
            <w:vAlign w:val="center"/>
          </w:tcPr>
          <w:p>
            <w:pPr>
              <w:spacing w:before="30" w:after="30"/>
            </w:pPr>
            <w:r>
              <w:rPr>
                <w:rFonts w:ascii="DM Sans" w:hAnsi="DM Sans" w:cs="DM Sans"/>
                <w:b/>
                <w:i w:val="0"/>
                <w:color w:val="050C2A"/>
                <w:sz w:val="20"/>
                <w:u w:val="none"/>
              </w:rPr>
              <w:t>Module Title</w:t>
            </w:r>
          </w:p>
        </w:tc>
        <w:tc>
          <w:tcPr>
            <w:tcW w:type="dxa" w:w="6209"/>
            <w:shd w:fill="F5F5F5" w:val="clear"/>
            <w:vAlign w:val="center"/>
          </w:tcPr>
          <w:p>
            <w:pPr>
              <w:spacing w:before="30" w:after="30"/>
            </w:pPr>
            <w:r>
              <w:rPr>
                <w:rFonts w:ascii="DM Sans" w:hAnsi="DM Sans" w:cs="DM Sans"/>
                <w:b w:val="0"/>
                <w:i w:val="0"/>
                <w:color w:val="050C2A"/>
                <w:sz w:val="20"/>
                <w:u w:val="none"/>
              </w:rPr>
              <w:t>From Feedback to Final</w:t>
            </w:r>
          </w:p>
        </w:tc>
      </w:tr>
      <w:tr>
        <w:tc>
          <w:tcPr>
            <w:tcW w:type="dxa" w:w="3151"/>
            <w:vAlign w:val="center"/>
          </w:tcPr>
          <w:p>
            <w:pPr>
              <w:spacing w:before="30" w:after="30"/>
            </w:pPr>
            <w:r>
              <w:rPr>
                <w:rFonts w:ascii="DM Sans" w:hAnsi="DM Sans" w:cs="DM Sans"/>
                <w:b/>
                <w:i w:val="0"/>
                <w:color w:val="050C2A"/>
                <w:sz w:val="20"/>
                <w:u w:val="none"/>
              </w:rPr>
              <w:t>Primary Function</w:t>
            </w:r>
          </w:p>
        </w:tc>
        <w:tc>
          <w:tcPr>
            <w:tcW w:type="dxa" w:w="6209"/>
            <w:vAlign w:val="center"/>
          </w:tcPr>
          <w:p>
            <w:pPr>
              <w:spacing w:before="30" w:after="30"/>
            </w:pPr>
            <w:r>
              <w:rPr>
                <w:rFonts w:ascii="DM Sans" w:hAnsi="DM Sans" w:cs="DM Sans"/>
                <w:b w:val="0"/>
                <w:i w:val="0"/>
                <w:color w:val="050C2A"/>
                <w:sz w:val="20"/>
                <w:u w:val="none"/>
              </w:rPr>
              <w:t>Final iteration skill-building + deliverable finalization + presentation planning + Reflection #4</w:t>
            </w:r>
          </w:p>
        </w:tc>
      </w:tr>
      <w:tr>
        <w:tc>
          <w:tcPr>
            <w:tcW w:type="dxa" w:w="3151"/>
            <w:shd w:fill="F5F5F5" w:val="clear"/>
            <w:vAlign w:val="center"/>
          </w:tcPr>
          <w:p>
            <w:pPr>
              <w:spacing w:before="30" w:after="30"/>
            </w:pPr>
            <w:r>
              <w:rPr>
                <w:rFonts w:ascii="DM Sans" w:hAnsi="DM Sans" w:cs="DM Sans"/>
                <w:b/>
                <w:i w:val="0"/>
                <w:color w:val="050C2A"/>
                <w:sz w:val="20"/>
                <w:u w:val="none"/>
              </w:rPr>
              <w:t>Total Student Time</w:t>
            </w:r>
          </w:p>
        </w:tc>
        <w:tc>
          <w:tcPr>
            <w:tcW w:type="dxa" w:w="6209"/>
            <w:shd w:fill="F5F5F5" w:val="clear"/>
            <w:vAlign w:val="center"/>
          </w:tcPr>
          <w:p>
            <w:pPr>
              <w:spacing w:before="30" w:after="30"/>
            </w:pPr>
            <w:r>
              <w:rPr>
                <w:rFonts w:ascii="DM Sans" w:hAnsi="DM Sans" w:cs="DM Sans"/>
                <w:b w:val="0"/>
                <w:i w:val="0"/>
                <w:color w:val="050C2A"/>
                <w:sz w:val="20"/>
                <w:u w:val="none"/>
              </w:rPr>
              <w:t>460 min (~7 hrs 40 min)</w:t>
            </w:r>
          </w:p>
        </w:tc>
      </w:tr>
      <w:tr>
        <w:tc>
          <w:tcPr>
            <w:tcW w:type="dxa" w:w="3151"/>
            <w:vAlign w:val="center"/>
          </w:tcPr>
          <w:p>
            <w:pPr>
              <w:spacing w:before="30" w:after="30"/>
            </w:pPr>
            <w:r>
              <w:rPr>
                <w:rFonts w:ascii="DM Sans" w:hAnsi="DM Sans" w:cs="DM Sans"/>
                <w:b/>
                <w:i w:val="0"/>
                <w:color w:val="050C2A"/>
                <w:sz w:val="20"/>
                <w:u w:val="none"/>
              </w:rPr>
              <w:t>Deliverable This Week</w:t>
            </w:r>
          </w:p>
        </w:tc>
        <w:tc>
          <w:tcPr>
            <w:tcW w:type="dxa" w:w="6209"/>
            <w:vAlign w:val="center"/>
          </w:tcPr>
          <w:p>
            <w:pPr>
              <w:spacing w:before="30" w:after="30"/>
            </w:pPr>
            <w:r>
              <w:rPr>
                <w:rFonts w:ascii="DM Sans" w:hAnsi="DM Sans" w:cs="DM Sans"/>
                <w:b w:val="0"/>
                <w:i w:val="0"/>
                <w:color w:val="050C2A"/>
                <w:sz w:val="20"/>
                <w:u w:val="none"/>
              </w:rPr>
              <w:t>Reflection #4 (Graded — individual submission, ~5% of final grade)</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12,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13"/>
            <w:shd w:fill="FF7C0A" w:val="clear"/>
            <w:vAlign w:val="center"/>
          </w:tcPr>
          <w:p>
            <w:pPr>
              <w:jc w:val="left"/>
              <w:spacing w:before="40" w:after="40"/>
            </w:pPr>
            <w:r>
              <w:rPr>
                <w:rFonts w:ascii="DM Sans" w:hAnsi="DM Sans" w:cs="DM Sans"/>
                <w:b/>
                <w:i w:val="0"/>
                <w:color w:val="FFFFFF"/>
                <w:sz w:val="20"/>
                <w:u w:val="none"/>
              </w:rPr>
              <w:t>#</w:t>
            </w:r>
          </w:p>
        </w:tc>
        <w:tc>
          <w:tcPr>
            <w:tcW w:type="dxa" w:w="5194"/>
            <w:shd w:fill="FF7C0A" w:val="clear"/>
            <w:vAlign w:val="center"/>
          </w:tcPr>
          <w:p>
            <w:pPr>
              <w:jc w:val="left"/>
              <w:spacing w:before="40" w:after="40"/>
            </w:pPr>
            <w:r>
              <w:rPr>
                <w:rFonts w:ascii="DM Sans" w:hAnsi="DM Sans" w:cs="DM Sans"/>
                <w:b/>
                <w:i w:val="0"/>
                <w:color w:val="FFFFFF"/>
                <w:sz w:val="20"/>
                <w:u w:val="none"/>
              </w:rPr>
              <w:t>Objective</w:t>
            </w:r>
          </w:p>
        </w:tc>
        <w:tc>
          <w:tcPr>
            <w:tcW w:type="dxa" w:w="3353"/>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13"/>
            <w:vAlign w:val="center"/>
          </w:tcPr>
          <w:p>
            <w:pPr>
              <w:spacing w:before="30" w:after="30"/>
            </w:pPr>
            <w:r>
              <w:rPr>
                <w:rFonts w:ascii="DM Sans" w:hAnsi="DM Sans" w:cs="DM Sans"/>
                <w:b/>
                <w:i w:val="0"/>
                <w:color w:val="050C2A"/>
                <w:sz w:val="20"/>
                <w:u w:val="none"/>
              </w:rPr>
              <w:t>1</w:t>
            </w:r>
          </w:p>
        </w:tc>
        <w:tc>
          <w:tcPr>
            <w:tcW w:type="dxa" w:w="5194"/>
            <w:vAlign w:val="center"/>
          </w:tcPr>
          <w:p>
            <w:pPr>
              <w:spacing w:before="30" w:after="30"/>
            </w:pPr>
            <w:r>
              <w:rPr>
                <w:rFonts w:ascii="DM Sans" w:hAnsi="DM Sans" w:cs="DM Sans"/>
                <w:b w:val="0"/>
                <w:i w:val="0"/>
                <w:color w:val="050C2A"/>
                <w:sz w:val="20"/>
                <w:u w:val="none"/>
              </w:rPr>
              <w:t>Distinguish between feedback that requires revision and feedback that can be acknowledged without action, making deliberate decisions about what to change, what to defer, and when the deliverable is done.</w:t>
            </w:r>
          </w:p>
        </w:tc>
        <w:tc>
          <w:tcPr>
            <w:tcW w:type="dxa" w:w="3353"/>
            <w:vAlign w:val="center"/>
          </w:tcPr>
          <w:p>
            <w:pPr>
              <w:spacing w:before="30" w:after="30"/>
            </w:pPr>
            <w:r>
              <w:rPr>
                <w:rFonts w:ascii="DM Sans" w:hAnsi="DM Sans" w:cs="DM Sans"/>
                <w:b w:val="0"/>
                <w:i w:val="0"/>
                <w:color w:val="050C2A"/>
                <w:sz w:val="20"/>
                <w:u w:val="none"/>
              </w:rPr>
              <w:t>Professionalism → Feedback Reception; Critical Thinking → Prioritization</w:t>
            </w:r>
          </w:p>
        </w:tc>
      </w:tr>
      <w:tr>
        <w:tc>
          <w:tcPr>
            <w:tcW w:type="dxa" w:w="813"/>
            <w:shd w:fill="F5F5F5" w:val="clear"/>
            <w:vAlign w:val="center"/>
          </w:tcPr>
          <w:p>
            <w:pPr>
              <w:spacing w:before="30" w:after="30"/>
            </w:pPr>
            <w:r>
              <w:rPr>
                <w:rFonts w:ascii="DM Sans" w:hAnsi="DM Sans" w:cs="DM Sans"/>
                <w:b/>
                <w:i w:val="0"/>
                <w:color w:val="050C2A"/>
                <w:sz w:val="20"/>
                <w:u w:val="none"/>
              </w:rPr>
              <w:t>2</w:t>
            </w:r>
          </w:p>
        </w:tc>
        <w:tc>
          <w:tcPr>
            <w:tcW w:type="dxa" w:w="5194"/>
            <w:shd w:fill="F5F5F5" w:val="clear"/>
            <w:vAlign w:val="center"/>
          </w:tcPr>
          <w:p>
            <w:pPr>
              <w:spacing w:before="30" w:after="30"/>
            </w:pPr>
            <w:r>
              <w:rPr>
                <w:rFonts w:ascii="DM Sans" w:hAnsi="DM Sans" w:cs="DM Sans"/>
                <w:b w:val="0"/>
                <w:i w:val="0"/>
                <w:color w:val="050C2A"/>
                <w:sz w:val="20"/>
                <w:u w:val="none"/>
              </w:rPr>
              <w:t>Apply presentation fundamentals including audience awareness, narrative structure, visual clarity, and speaker coordination to plan a team presentation of completed project work.</w:t>
            </w:r>
          </w:p>
        </w:tc>
        <w:tc>
          <w:tcPr>
            <w:tcW w:type="dxa" w:w="3353"/>
            <w:shd w:fill="F5F5F5" w:val="clear"/>
            <w:vAlign w:val="center"/>
          </w:tcPr>
          <w:p>
            <w:pPr>
              <w:spacing w:before="30" w:after="30"/>
            </w:pPr>
            <w:r>
              <w:rPr>
                <w:rFonts w:ascii="DM Sans" w:hAnsi="DM Sans" w:cs="DM Sans"/>
                <w:b w:val="0"/>
                <w:i w:val="0"/>
                <w:color w:val="050C2A"/>
                <w:sz w:val="20"/>
                <w:u w:val="none"/>
              </w:rPr>
              <w:t>Communication → Oral Presentation</w:t>
            </w:r>
          </w:p>
        </w:tc>
      </w:tr>
      <w:tr>
        <w:tc>
          <w:tcPr>
            <w:tcW w:type="dxa" w:w="813"/>
            <w:vAlign w:val="center"/>
          </w:tcPr>
          <w:p>
            <w:pPr>
              <w:spacing w:before="30" w:after="30"/>
            </w:pPr>
            <w:r>
              <w:rPr>
                <w:rFonts w:ascii="DM Sans" w:hAnsi="DM Sans" w:cs="DM Sans"/>
                <w:b/>
                <w:i w:val="0"/>
                <w:color w:val="050C2A"/>
                <w:sz w:val="20"/>
                <w:u w:val="none"/>
              </w:rPr>
              <w:t>3</w:t>
            </w:r>
          </w:p>
        </w:tc>
        <w:tc>
          <w:tcPr>
            <w:tcW w:type="dxa" w:w="5194"/>
            <w:vAlign w:val="center"/>
          </w:tcPr>
          <w:p>
            <w:pPr>
              <w:spacing w:before="30" w:after="30"/>
            </w:pPr>
            <w:r>
              <w:rPr>
                <w:rFonts w:ascii="DM Sans" w:hAnsi="DM Sans" w:cs="DM Sans"/>
                <w:b w:val="0"/>
                <w:i w:val="0"/>
                <w:color w:val="050C2A"/>
                <w:sz w:val="20"/>
                <w:u w:val="none"/>
              </w:rPr>
              <w:t>Produce a DEAL reflection that connects specific project experiences to broader professional understanding, examining the gap between the original plan and the work actually produced.</w:t>
            </w:r>
          </w:p>
        </w:tc>
        <w:tc>
          <w:tcPr>
            <w:tcW w:type="dxa" w:w="3353"/>
            <w:vAlign w:val="center"/>
          </w:tcPr>
          <w:p>
            <w:pPr>
              <w:spacing w:before="30" w:after="30"/>
            </w:pPr>
            <w:r>
              <w:rPr>
                <w:rFonts w:ascii="DM Sans" w:hAnsi="DM Sans" w:cs="DM Sans"/>
                <w:b w:val="0"/>
                <w:i w:val="0"/>
                <w:color w:val="050C2A"/>
                <w:sz w:val="20"/>
                <w:u w:val="none"/>
              </w:rPr>
              <w:t>Career &amp; Self-Development → Reflection; Critical Thinking → Evidence-Based Reasoning</w:t>
            </w:r>
          </w:p>
        </w:tc>
      </w:tr>
      <w:tr>
        <w:tc>
          <w:tcPr>
            <w:tcW w:type="dxa" w:w="813"/>
            <w:shd w:fill="F5F5F5" w:val="clear"/>
            <w:vAlign w:val="center"/>
          </w:tcPr>
          <w:p>
            <w:pPr>
              <w:spacing w:before="30" w:after="30"/>
            </w:pPr>
            <w:r>
              <w:rPr>
                <w:rFonts w:ascii="DM Sans" w:hAnsi="DM Sans" w:cs="DM Sans"/>
                <w:b/>
                <w:i w:val="0"/>
                <w:color w:val="050C2A"/>
                <w:sz w:val="20"/>
                <w:u w:val="none"/>
              </w:rPr>
              <w:t>4</w:t>
            </w:r>
          </w:p>
        </w:tc>
        <w:tc>
          <w:tcPr>
            <w:tcW w:type="dxa" w:w="5194"/>
            <w:shd w:fill="F5F5F5" w:val="clear"/>
            <w:vAlign w:val="center"/>
          </w:tcPr>
          <w:p>
            <w:pPr>
              <w:spacing w:before="30" w:after="30"/>
            </w:pPr>
            <w:r>
              <w:rPr>
                <w:rFonts w:ascii="DM Sans" w:hAnsi="DM Sans" w:cs="DM Sans"/>
                <w:b w:val="0"/>
                <w:i w:val="0"/>
                <w:color w:val="050C2A"/>
                <w:sz w:val="20"/>
                <w:u w:val="none"/>
              </w:rPr>
              <w:t>Finalize a deliverable package that incorporates near-final review feedback selectively and intentionally, with changes documented and the overall package approaching submission-ready quality.</w:t>
            </w:r>
          </w:p>
        </w:tc>
        <w:tc>
          <w:tcPr>
            <w:tcW w:type="dxa" w:w="3353"/>
            <w:shd w:fill="F5F5F5" w:val="clear"/>
            <w:vAlign w:val="center"/>
          </w:tcPr>
          <w:p>
            <w:pPr>
              <w:spacing w:before="30" w:after="30"/>
            </w:pPr>
            <w:r>
              <w:rPr>
                <w:rFonts w:ascii="DM Sans" w:hAnsi="DM Sans" w:cs="DM Sans"/>
                <w:b w:val="0"/>
                <w:i w:val="0"/>
                <w:color w:val="050C2A"/>
                <w:sz w:val="20"/>
                <w:u w:val="none"/>
              </w:rPr>
              <w:t>Professionalism → Quality &amp; Attention to Detail; Professionalism → Feedback Reception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12 is the hinge point between finishing the deliverable and beginning to think about how to present it. The module content serves both functions: one module addresses the judgment call of knowing when to stop revising (a professional skill students rarely encounter in academic work), one scaffolds Reflection #4, and one introduces presentation fundamentals early enough for teams to plan deliberately rather than scramble in Week 14. The production block is substantial (180 min) but scoped to final iteration — teams should be refining and integrating, not producing new content. No employer touchpoint this week; the last was the Near-Final Review in Week 11 and the next is the optional Final Check-In in Week 13. This gives teams an uninterrupted week to finalize their work and begin the presentation planning that continues through Week 14.</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95"/>
            <w:shd w:fill="FF7C0A" w:val="clear"/>
            <w:vAlign w:val="center"/>
          </w:tcPr>
          <w:p>
            <w:pPr>
              <w:jc w:val="left"/>
              <w:spacing w:before="40" w:after="40"/>
            </w:pPr>
            <w:r>
              <w:rPr>
                <w:rFonts w:ascii="DM Sans" w:hAnsi="DM Sans" w:cs="DM Sans"/>
                <w:b/>
                <w:i w:val="0"/>
                <w:color w:val="FFFFFF"/>
                <w:sz w:val="20"/>
                <w:u w:val="none"/>
              </w:rPr>
              <w:t>#</w:t>
            </w:r>
          </w:p>
        </w:tc>
        <w:tc>
          <w:tcPr>
            <w:tcW w:type="dxa" w:w="884"/>
            <w:shd w:fill="FF7C0A" w:val="clear"/>
            <w:vAlign w:val="center"/>
          </w:tcPr>
          <w:p>
            <w:pPr>
              <w:jc w:val="left"/>
              <w:spacing w:before="40" w:after="40"/>
            </w:pPr>
            <w:r>
              <w:rPr>
                <w:rFonts w:ascii="DM Sans" w:hAnsi="DM Sans" w:cs="DM Sans"/>
                <w:b/>
                <w:i w:val="0"/>
                <w:color w:val="FFFFFF"/>
                <w:sz w:val="20"/>
                <w:u w:val="none"/>
              </w:rPr>
              <w:t>Category</w:t>
            </w:r>
          </w:p>
        </w:tc>
        <w:tc>
          <w:tcPr>
            <w:tcW w:type="dxa" w:w="1669"/>
            <w:shd w:fill="FF7C0A" w:val="clear"/>
            <w:vAlign w:val="center"/>
          </w:tcPr>
          <w:p>
            <w:pPr>
              <w:jc w:val="left"/>
              <w:spacing w:before="40" w:after="40"/>
            </w:pPr>
            <w:r>
              <w:rPr>
                <w:rFonts w:ascii="DM Sans" w:hAnsi="DM Sans" w:cs="DM Sans"/>
                <w:b/>
                <w:i w:val="0"/>
                <w:color w:val="FFFFFF"/>
                <w:sz w:val="20"/>
                <w:u w:val="none"/>
              </w:rPr>
              <w:t>Activity</w:t>
            </w:r>
          </w:p>
        </w:tc>
        <w:tc>
          <w:tcPr>
            <w:tcW w:type="dxa" w:w="468"/>
            <w:shd w:fill="FF7C0A" w:val="clear"/>
            <w:vAlign w:val="center"/>
          </w:tcPr>
          <w:p>
            <w:pPr>
              <w:jc w:val="left"/>
              <w:spacing w:before="40" w:after="40"/>
            </w:pPr>
            <w:r>
              <w:rPr>
                <w:rFonts w:ascii="DM Sans" w:hAnsi="DM Sans" w:cs="DM Sans"/>
                <w:b/>
                <w:i w:val="0"/>
                <w:color w:val="FFFFFF"/>
                <w:sz w:val="20"/>
                <w:u w:val="none"/>
              </w:rPr>
              <w:t>Format</w:t>
            </w:r>
          </w:p>
        </w:tc>
        <w:tc>
          <w:tcPr>
            <w:tcW w:type="dxa" w:w="919"/>
            <w:shd w:fill="FF7C0A" w:val="clear"/>
            <w:vAlign w:val="center"/>
          </w:tcPr>
          <w:p>
            <w:pPr>
              <w:jc w:val="left"/>
              <w:spacing w:before="40" w:after="40"/>
            </w:pPr>
            <w:r>
              <w:rPr>
                <w:rFonts w:ascii="DM Sans" w:hAnsi="DM Sans" w:cs="DM Sans"/>
                <w:b/>
                <w:i w:val="0"/>
                <w:color w:val="FFFFFF"/>
                <w:sz w:val="20"/>
                <w:u w:val="none"/>
              </w:rPr>
              <w:t>Min</w:t>
            </w:r>
          </w:p>
        </w:tc>
        <w:tc>
          <w:tcPr>
            <w:tcW w:type="dxa" w:w="5025"/>
            <w:shd w:fill="FF7C0A" w:val="clear"/>
            <w:vAlign w:val="center"/>
          </w:tcPr>
          <w:p>
            <w:pPr>
              <w:jc w:val="left"/>
              <w:spacing w:before="40" w:after="40"/>
            </w:pPr>
            <w:r>
              <w:rPr>
                <w:rFonts w:ascii="DM Sans" w:hAnsi="DM Sans" w:cs="DM Sans"/>
                <w:b/>
                <w:i w:val="0"/>
                <w:color w:val="FFFFFF"/>
                <w:sz w:val="20"/>
                <w:u w:val="none"/>
              </w:rPr>
              <w:t>Note</w:t>
            </w:r>
          </w:p>
        </w:tc>
      </w:tr>
      <w:tr>
        <w:tc>
          <w:tcPr>
            <w:tcW w:type="dxa" w:w="395"/>
            <w:vAlign w:val="center"/>
          </w:tcPr>
          <w:p>
            <w:pPr>
              <w:spacing w:before="30" w:after="30"/>
            </w:pPr>
            <w:r>
              <w:rPr>
                <w:rFonts w:ascii="DM Sans" w:hAnsi="DM Sans" w:cs="DM Sans"/>
                <w:b w:val="0"/>
                <w:i w:val="0"/>
                <w:color w:val="050C2A"/>
                <w:sz w:val="20"/>
                <w:u w:val="none"/>
              </w:rPr>
              <w:t>12.01</w:t>
            </w:r>
          </w:p>
        </w:tc>
        <w:tc>
          <w:tcPr>
            <w:tcW w:type="dxa" w:w="884"/>
            <w:vAlign w:val="center"/>
          </w:tcPr>
          <w:p>
            <w:pPr>
              <w:spacing w:before="30" w:after="30"/>
            </w:pPr>
            <w:r>
              <w:rPr>
                <w:rFonts w:ascii="DM Sans" w:hAnsi="DM Sans" w:cs="DM Sans"/>
                <w:b w:val="0"/>
                <w:i w:val="0"/>
                <w:color w:val="050C2A"/>
                <w:sz w:val="20"/>
                <w:u w:val="none"/>
              </w:rPr>
              <w:t>Course Orientation</w:t>
            </w:r>
          </w:p>
        </w:tc>
        <w:tc>
          <w:tcPr>
            <w:tcW w:type="dxa" w:w="1669"/>
            <w:vAlign w:val="center"/>
          </w:tcPr>
          <w:p>
            <w:pPr>
              <w:spacing w:before="30" w:after="30"/>
            </w:pPr>
            <w:r>
              <w:rPr>
                <w:rFonts w:ascii="DM Sans" w:hAnsi="DM Sans" w:cs="DM Sans"/>
                <w:b w:val="0"/>
                <w:i w:val="0"/>
                <w:color w:val="050C2A"/>
                <w:sz w:val="20"/>
                <w:u w:val="none"/>
              </w:rPr>
              <w:t>Week 12 Overview — objectives, what's happening this week, suggested order of completion</w:t>
            </w:r>
          </w:p>
        </w:tc>
        <w:tc>
          <w:tcPr>
            <w:tcW w:type="dxa" w:w="468"/>
            <w:vAlign w:val="center"/>
          </w:tcPr>
          <w:p>
            <w:pPr>
              <w:spacing w:before="30" w:after="30"/>
            </w:pPr>
            <w:r>
              <w:rPr>
                <w:rFonts w:ascii="DM Sans" w:hAnsi="DM Sans" w:cs="DM Sans"/>
                <w:b w:val="0"/>
                <w:i w:val="0"/>
                <w:color w:val="050C2A"/>
                <w:sz w:val="20"/>
                <w:u w:val="none"/>
              </w:rPr>
              <w:t>Module</w:t>
            </w:r>
          </w:p>
        </w:tc>
        <w:tc>
          <w:tcPr>
            <w:tcW w:type="dxa" w:w="919"/>
            <w:vAlign w:val="center"/>
          </w:tcPr>
          <w:p>
            <w:pPr>
              <w:spacing w:before="30" w:after="30"/>
            </w:pPr>
            <w:r>
              <w:rPr>
                <w:rFonts w:ascii="DM Sans" w:hAnsi="DM Sans" w:cs="DM Sans"/>
                <w:b w:val="0"/>
                <w:i w:val="0"/>
                <w:color w:val="050C2A"/>
                <w:sz w:val="20"/>
                <w:u w:val="none"/>
              </w:rPr>
              <w:t>5</w:t>
            </w:r>
          </w:p>
        </w:tc>
        <w:tc>
          <w:tcPr>
            <w:tcW w:type="dxa" w:w="5025"/>
            <w:vAlign w:val="center"/>
          </w:tcPr>
          <w:p>
            <w:pPr>
              <w:spacing w:before="30" w:after="30"/>
            </w:pPr>
            <w:r>
              <w:rPr>
                <w:rFonts w:ascii="DM Sans" w:hAnsi="DM Sans" w:cs="DM Sans"/>
                <w:b w:val="0"/>
                <w:i w:val="0"/>
                <w:color w:val="050C2A"/>
                <w:sz w:val="20"/>
                <w:u w:val="none"/>
              </w:rPr>
              <w:t>Names the week's dual focus: finishing the deliverable and beginning to plan the presentation; orients students to the fact that Final Deliverables are due next week (Week 13, 30% of grade); flags Reflection #4 as due this week; no employer touchpoint — last was Near-Final Review (Week 11), next is optional Final Check-In (Week 13); suggests sequencing: process feedback first (12.05), then finalize (12.06), then draft presentation outline (12.07) and reflection (12.08)</w:t>
            </w:r>
          </w:p>
        </w:tc>
      </w:tr>
      <w:tr>
        <w:tc>
          <w:tcPr>
            <w:tcW w:type="dxa" w:w="395"/>
            <w:shd w:fill="F5F5F5" w:val="clear"/>
            <w:vAlign w:val="center"/>
          </w:tcPr>
          <w:p>
            <w:pPr>
              <w:spacing w:before="30" w:after="30"/>
            </w:pPr>
            <w:r>
              <w:rPr>
                <w:rFonts w:ascii="DM Sans" w:hAnsi="DM Sans" w:cs="DM Sans"/>
                <w:b w:val="0"/>
                <w:i w:val="0"/>
                <w:color w:val="050C2A"/>
                <w:sz w:val="20"/>
                <w:u w:val="none"/>
              </w:rPr>
              <w:t>12.02</w:t>
            </w:r>
          </w:p>
        </w:tc>
        <w:tc>
          <w:tcPr>
            <w:tcW w:type="dxa" w:w="884"/>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669"/>
            <w:shd w:fill="F5F5F5" w:val="clear"/>
            <w:vAlign w:val="center"/>
          </w:tcPr>
          <w:p>
            <w:pPr>
              <w:spacing w:before="30" w:after="30"/>
            </w:pPr>
            <w:r>
              <w:rPr>
                <w:rFonts w:ascii="DM Sans" w:hAnsi="DM Sans" w:cs="DM Sans"/>
                <w:b w:val="0"/>
                <w:i w:val="0"/>
                <w:color w:val="050C2A"/>
                <w:sz w:val="20"/>
                <w:u w:val="none"/>
              </w:rPr>
              <w:t>Module: Final Iteration — Incorporating Feedback and Knowing When to Stop</w:t>
            </w:r>
          </w:p>
        </w:tc>
        <w:tc>
          <w:tcPr>
            <w:tcW w:type="dxa" w:w="468"/>
            <w:shd w:fill="F5F5F5" w:val="clear"/>
            <w:vAlign w:val="center"/>
          </w:tcPr>
          <w:p>
            <w:pPr>
              <w:spacing w:before="30" w:after="30"/>
            </w:pPr>
            <w:r>
              <w:rPr>
                <w:rFonts w:ascii="DM Sans" w:hAnsi="DM Sans" w:cs="DM Sans"/>
                <w:b w:val="0"/>
                <w:i w:val="0"/>
                <w:color w:val="050C2A"/>
                <w:sz w:val="20"/>
                <w:u w:val="none"/>
              </w:rPr>
              <w:t>Module</w:t>
            </w:r>
          </w:p>
        </w:tc>
        <w:tc>
          <w:tcPr>
            <w:tcW w:type="dxa" w:w="919"/>
            <w:shd w:fill="F5F5F5" w:val="clear"/>
            <w:vAlign w:val="center"/>
          </w:tcPr>
          <w:p>
            <w:pPr>
              <w:spacing w:before="30" w:after="30"/>
            </w:pPr>
            <w:r>
              <w:rPr>
                <w:rFonts w:ascii="DM Sans" w:hAnsi="DM Sans" w:cs="DM Sans"/>
                <w:b w:val="0"/>
                <w:i w:val="0"/>
                <w:color w:val="050C2A"/>
                <w:sz w:val="20"/>
                <w:u w:val="none"/>
              </w:rPr>
              <w:t>15</w:t>
            </w:r>
          </w:p>
        </w:tc>
        <w:tc>
          <w:tcPr>
            <w:tcW w:type="dxa" w:w="5025"/>
            <w:shd w:fill="F5F5F5" w:val="clear"/>
            <w:vAlign w:val="center"/>
          </w:tcPr>
          <w:p>
            <w:pPr>
              <w:spacing w:before="30" w:after="30"/>
            </w:pPr>
            <w:r>
              <w:rPr>
                <w:rFonts w:ascii="DM Sans" w:hAnsi="DM Sans" w:cs="DM Sans"/>
                <w:b w:val="0"/>
                <w:i w:val="0"/>
                <w:color w:val="050C2A"/>
                <w:sz w:val="20"/>
                <w:u w:val="none"/>
              </w:rPr>
              <w:t>The hardest judgment call in revision: knowing when the work is done; how to triage Near-Final Review feedback — what requires action, what to acknowledge but not change, what to document in the Change Log as a deliberate decision; the professional distinction between perfectionism and quality; why late-stage overhauls usually do more harm than good; connects directly to the Responsiveness to Feedback dimension on the Final Deliverables rubric (10% of grade) and the Change Log practice introduced in Week 10</w:t>
            </w:r>
          </w:p>
        </w:tc>
      </w:tr>
      <w:tr>
        <w:tc>
          <w:tcPr>
            <w:tcW w:type="dxa" w:w="395"/>
            <w:vAlign w:val="center"/>
          </w:tcPr>
          <w:p>
            <w:pPr>
              <w:spacing w:before="30" w:after="30"/>
            </w:pPr>
            <w:r>
              <w:rPr>
                <w:rFonts w:ascii="DM Sans" w:hAnsi="DM Sans" w:cs="DM Sans"/>
                <w:b w:val="0"/>
                <w:i w:val="0"/>
                <w:color w:val="050C2A"/>
                <w:sz w:val="20"/>
                <w:u w:val="none"/>
              </w:rPr>
              <w:t>12.03</w:t>
            </w:r>
          </w:p>
        </w:tc>
        <w:tc>
          <w:tcPr>
            <w:tcW w:type="dxa" w:w="884"/>
            <w:vAlign w:val="center"/>
          </w:tcPr>
          <w:p>
            <w:pPr>
              <w:spacing w:before="30" w:after="30"/>
            </w:pPr>
            <w:r>
              <w:rPr>
                <w:rFonts w:ascii="DM Sans" w:hAnsi="DM Sans" w:cs="DM Sans"/>
                <w:b w:val="0"/>
                <w:i w:val="0"/>
                <w:color w:val="050C2A"/>
                <w:sz w:val="20"/>
                <w:u w:val="none"/>
              </w:rPr>
              <w:t>Professional Fundamentals</w:t>
            </w:r>
          </w:p>
        </w:tc>
        <w:tc>
          <w:tcPr>
            <w:tcW w:type="dxa" w:w="1669"/>
            <w:vAlign w:val="center"/>
          </w:tcPr>
          <w:p>
            <w:pPr>
              <w:spacing w:before="30" w:after="30"/>
            </w:pPr>
            <w:r>
              <w:rPr>
                <w:rFonts w:ascii="DM Sans" w:hAnsi="DM Sans" w:cs="DM Sans"/>
                <w:b w:val="0"/>
                <w:i w:val="0"/>
                <w:color w:val="050C2A"/>
                <w:sz w:val="20"/>
                <w:u w:val="none"/>
              </w:rPr>
              <w:t>Module: Approaching Reflection #4</w:t>
            </w:r>
          </w:p>
        </w:tc>
        <w:tc>
          <w:tcPr>
            <w:tcW w:type="dxa" w:w="468"/>
            <w:vAlign w:val="center"/>
          </w:tcPr>
          <w:p>
            <w:pPr>
              <w:spacing w:before="30" w:after="30"/>
            </w:pPr>
            <w:r>
              <w:rPr>
                <w:rFonts w:ascii="DM Sans" w:hAnsi="DM Sans" w:cs="DM Sans"/>
                <w:b w:val="0"/>
                <w:i w:val="0"/>
                <w:color w:val="050C2A"/>
                <w:sz w:val="20"/>
                <w:u w:val="none"/>
              </w:rPr>
              <w:t>Module</w:t>
            </w:r>
          </w:p>
        </w:tc>
        <w:tc>
          <w:tcPr>
            <w:tcW w:type="dxa" w:w="919"/>
            <w:vAlign w:val="center"/>
          </w:tcPr>
          <w:p>
            <w:pPr>
              <w:spacing w:before="30" w:after="30"/>
            </w:pPr>
            <w:r>
              <w:rPr>
                <w:rFonts w:ascii="DM Sans" w:hAnsi="DM Sans" w:cs="DM Sans"/>
                <w:b w:val="0"/>
                <w:i w:val="0"/>
                <w:color w:val="050C2A"/>
                <w:sz w:val="20"/>
                <w:u w:val="none"/>
              </w:rPr>
              <w:t>10</w:t>
            </w:r>
          </w:p>
        </w:tc>
        <w:tc>
          <w:tcPr>
            <w:tcW w:type="dxa" w:w="5025"/>
            <w:vAlign w:val="center"/>
          </w:tcPr>
          <w:p>
            <w:pPr>
              <w:spacing w:before="30" w:after="30"/>
            </w:pPr>
            <w:r>
              <w:rPr>
                <w:rFonts w:ascii="DM Sans" w:hAnsi="DM Sans" w:cs="DM Sans"/>
                <w:b w:val="0"/>
                <w:i w:val="0"/>
                <w:color w:val="050C2A"/>
                <w:sz w:val="20"/>
                <w:u w:val="none"/>
              </w:rPr>
              <w:t>Just-in-time scaffolding for the fourth DEAL reflection; the prompt asks students to examine the gap between the plan they made in Week 4 and the work they've actually produced — what changed and what that reveals about how they learn through practice; this is a different analytical move than prior reflections — students are connecting theory to practice, not just examining a single moment; techniques for strengthening the Examine stage when the subject is your own evolving understanding rather than an event; reinforces the AI-as-Socratic-partner strategy for deepening self-examination</w:t>
            </w:r>
          </w:p>
        </w:tc>
      </w:tr>
      <w:tr>
        <w:tc>
          <w:tcPr>
            <w:tcW w:type="dxa" w:w="395"/>
            <w:shd w:fill="F5F5F5" w:val="clear"/>
            <w:vAlign w:val="center"/>
          </w:tcPr>
          <w:p>
            <w:pPr>
              <w:spacing w:before="30" w:after="30"/>
            </w:pPr>
            <w:r>
              <w:rPr>
                <w:rFonts w:ascii="DM Sans" w:hAnsi="DM Sans" w:cs="DM Sans"/>
                <w:b w:val="0"/>
                <w:i w:val="0"/>
                <w:color w:val="050C2A"/>
                <w:sz w:val="20"/>
                <w:u w:val="none"/>
              </w:rPr>
              <w:t>12.04</w:t>
            </w:r>
          </w:p>
        </w:tc>
        <w:tc>
          <w:tcPr>
            <w:tcW w:type="dxa" w:w="884"/>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669"/>
            <w:shd w:fill="F5F5F5" w:val="clear"/>
            <w:vAlign w:val="center"/>
          </w:tcPr>
          <w:p>
            <w:pPr>
              <w:spacing w:before="30" w:after="30"/>
            </w:pPr>
            <w:r>
              <w:rPr>
                <w:rFonts w:ascii="DM Sans" w:hAnsi="DM Sans" w:cs="DM Sans"/>
                <w:b w:val="0"/>
                <w:i w:val="0"/>
                <w:color w:val="050C2A"/>
                <w:sz w:val="20"/>
                <w:u w:val="none"/>
              </w:rPr>
              <w:t>Module: Presentation Fundamentals</w:t>
            </w:r>
          </w:p>
        </w:tc>
        <w:tc>
          <w:tcPr>
            <w:tcW w:type="dxa" w:w="468"/>
            <w:shd w:fill="F5F5F5" w:val="clear"/>
            <w:vAlign w:val="center"/>
          </w:tcPr>
          <w:p>
            <w:pPr>
              <w:spacing w:before="30" w:after="30"/>
            </w:pPr>
            <w:r>
              <w:rPr>
                <w:rFonts w:ascii="DM Sans" w:hAnsi="DM Sans" w:cs="DM Sans"/>
                <w:b w:val="0"/>
                <w:i w:val="0"/>
                <w:color w:val="050C2A"/>
                <w:sz w:val="20"/>
                <w:u w:val="none"/>
              </w:rPr>
              <w:t>Module</w:t>
            </w:r>
          </w:p>
        </w:tc>
        <w:tc>
          <w:tcPr>
            <w:tcW w:type="dxa" w:w="919"/>
            <w:shd w:fill="F5F5F5" w:val="clear"/>
            <w:vAlign w:val="center"/>
          </w:tcPr>
          <w:p>
            <w:pPr>
              <w:spacing w:before="30" w:after="30"/>
            </w:pPr>
            <w:r>
              <w:rPr>
                <w:rFonts w:ascii="DM Sans" w:hAnsi="DM Sans" w:cs="DM Sans"/>
                <w:b w:val="0"/>
                <w:i w:val="0"/>
                <w:color w:val="050C2A"/>
                <w:sz w:val="20"/>
                <w:u w:val="none"/>
              </w:rPr>
              <w:t>25</w:t>
            </w:r>
          </w:p>
        </w:tc>
        <w:tc>
          <w:tcPr>
            <w:tcW w:type="dxa" w:w="5025"/>
            <w:shd w:fill="F5F5F5" w:val="clear"/>
            <w:vAlign w:val="center"/>
          </w:tcPr>
          <w:p>
            <w:pPr>
              <w:spacing w:before="30" w:after="30"/>
            </w:pPr>
            <w:r>
              <w:rPr>
                <w:rFonts w:ascii="DM Sans" w:hAnsi="DM Sans" w:cs="DM Sans"/>
                <w:b w:val="0"/>
                <w:i w:val="0"/>
                <w:color w:val="050C2A"/>
                <w:sz w:val="20"/>
                <w:u w:val="none"/>
              </w:rPr>
              <w:t>Introduces core presentation skills that apply regardless of project type: knowing your audience (the employer already knows the details — what do they need to hear?), building a narrative arc (not just reporting what you did), designing slides that support rather than replace the speaker, coordinating multiple speakers so the presentation feels unified rather than like a series of individual reports; moved here from Week 14 to create a two-week presentation arc — learn the concepts this week, apply them in the outline (12.07), refine and rehearse in Week 14; includes guidance on using AI to help structure slide narratives and draft speaker notes, with the caution that AI-generated presentation language tends toward generic polish and needs to be grounded in the team's specific work and findings</w:t>
            </w:r>
          </w:p>
        </w:tc>
      </w:tr>
      <w:tr>
        <w:tc>
          <w:tcPr>
            <w:tcW w:type="dxa" w:w="395"/>
            <w:vAlign w:val="center"/>
          </w:tcPr>
          <w:p>
            <w:pPr>
              <w:spacing w:before="30" w:after="30"/>
            </w:pPr>
            <w:r>
              <w:rPr>
                <w:rFonts w:ascii="DM Sans" w:hAnsi="DM Sans" w:cs="DM Sans"/>
                <w:b w:val="0"/>
                <w:i w:val="0"/>
                <w:color w:val="050C2A"/>
                <w:sz w:val="20"/>
                <w:u w:val="none"/>
              </w:rPr>
              <w:t>12.05</w:t>
            </w:r>
          </w:p>
        </w:tc>
        <w:tc>
          <w:tcPr>
            <w:tcW w:type="dxa" w:w="884"/>
            <w:vAlign w:val="center"/>
          </w:tcPr>
          <w:p>
            <w:pPr>
              <w:spacing w:before="30" w:after="30"/>
            </w:pPr>
            <w:r>
              <w:rPr>
                <w:rFonts w:ascii="DM Sans" w:hAnsi="DM Sans" w:cs="DM Sans"/>
                <w:b w:val="0"/>
                <w:i w:val="0"/>
                <w:color w:val="050C2A"/>
                <w:sz w:val="20"/>
                <w:u w:val="none"/>
              </w:rPr>
              <w:t>Project Work</w:t>
            </w:r>
          </w:p>
        </w:tc>
        <w:tc>
          <w:tcPr>
            <w:tcW w:type="dxa" w:w="1669"/>
            <w:vAlign w:val="center"/>
          </w:tcPr>
          <w:p>
            <w:pPr>
              <w:spacing w:before="30" w:after="30"/>
            </w:pPr>
            <w:r>
              <w:rPr>
                <w:rFonts w:ascii="DM Sans" w:hAnsi="DM Sans" w:cs="DM Sans"/>
                <w:b w:val="0"/>
                <w:i w:val="0"/>
                <w:color w:val="050C2A"/>
                <w:sz w:val="20"/>
                <w:u w:val="none"/>
              </w:rPr>
              <w:t>Team sync — review Near-Final Review feedback, plan final revisions and presentation work</w:t>
            </w:r>
          </w:p>
        </w:tc>
        <w:tc>
          <w:tcPr>
            <w:tcW w:type="dxa" w:w="468"/>
            <w:vAlign w:val="center"/>
          </w:tcPr>
          <w:p>
            <w:pPr>
              <w:spacing w:before="30" w:after="30"/>
            </w:pPr>
            <w:r>
              <w:rPr>
                <w:rFonts w:ascii="DM Sans" w:hAnsi="DM Sans" w:cs="DM Sans"/>
                <w:b w:val="0"/>
                <w:i w:val="0"/>
                <w:color w:val="050C2A"/>
                <w:sz w:val="20"/>
                <w:u w:val="none"/>
              </w:rPr>
              <w:t>Project</w:t>
            </w:r>
          </w:p>
        </w:tc>
        <w:tc>
          <w:tcPr>
            <w:tcW w:type="dxa" w:w="919"/>
            <w:vAlign w:val="center"/>
          </w:tcPr>
          <w:p>
            <w:pPr>
              <w:spacing w:before="30" w:after="30"/>
            </w:pPr>
            <w:r>
              <w:rPr>
                <w:rFonts w:ascii="DM Sans" w:hAnsi="DM Sans" w:cs="DM Sans"/>
                <w:b w:val="0"/>
                <w:i w:val="0"/>
                <w:color w:val="050C2A"/>
                <w:sz w:val="20"/>
                <w:u w:val="none"/>
              </w:rPr>
              <w:t>45</w:t>
            </w:r>
          </w:p>
        </w:tc>
        <w:tc>
          <w:tcPr>
            <w:tcW w:type="dxa" w:w="5025"/>
            <w:vAlign w:val="center"/>
          </w:tcPr>
          <w:p>
            <w:pPr>
              <w:spacing w:before="30" w:after="30"/>
            </w:pPr>
            <w:r>
              <w:rPr>
                <w:rFonts w:ascii="DM Sans" w:hAnsi="DM Sans" w:cs="DM Sans"/>
                <w:b w:val="0"/>
                <w:i w:val="0"/>
                <w:color w:val="050C2A"/>
                <w:sz w:val="20"/>
                <w:u w:val="none"/>
              </w:rPr>
              <w:t>Primary coordination meeting; teams process the Near-Final Review debrief notes (captured in 11.10) and apply the triage framework from 12.02: which feedback items require revision, which are acknowledged in the Change Log, which represent scope they don't have time to address; also allocates time between deliverable finalization (the priority) and presentation planning (the secondary focus); heavier than a routine check-in because this meeting sets the agenda for everything that happens in the week's remaining production time</w:t>
            </w:r>
          </w:p>
        </w:tc>
      </w:tr>
      <w:tr>
        <w:tc>
          <w:tcPr>
            <w:tcW w:type="dxa" w:w="395"/>
            <w:shd w:fill="F5F5F5" w:val="clear"/>
            <w:vAlign w:val="center"/>
          </w:tcPr>
          <w:p>
            <w:pPr>
              <w:spacing w:before="30" w:after="30"/>
            </w:pPr>
            <w:r>
              <w:rPr>
                <w:rFonts w:ascii="DM Sans" w:hAnsi="DM Sans" w:cs="DM Sans"/>
                <w:b w:val="0"/>
                <w:i w:val="0"/>
                <w:color w:val="050C2A"/>
                <w:sz w:val="20"/>
                <w:u w:val="none"/>
              </w:rPr>
              <w:t>12.06</w:t>
            </w:r>
          </w:p>
        </w:tc>
        <w:tc>
          <w:tcPr>
            <w:tcW w:type="dxa" w:w="884"/>
            <w:shd w:fill="F5F5F5" w:val="clear"/>
            <w:vAlign w:val="center"/>
          </w:tcPr>
          <w:p>
            <w:pPr>
              <w:spacing w:before="30" w:after="30"/>
            </w:pPr>
            <w:r>
              <w:rPr>
                <w:rFonts w:ascii="DM Sans" w:hAnsi="DM Sans" w:cs="DM Sans"/>
                <w:b w:val="0"/>
                <w:i w:val="0"/>
                <w:color w:val="050C2A"/>
                <w:sz w:val="20"/>
                <w:u w:val="none"/>
              </w:rPr>
              <w:t>Project Work</w:t>
            </w:r>
          </w:p>
        </w:tc>
        <w:tc>
          <w:tcPr>
            <w:tcW w:type="dxa" w:w="1669"/>
            <w:shd w:fill="F5F5F5" w:val="clear"/>
            <w:vAlign w:val="center"/>
          </w:tcPr>
          <w:p>
            <w:pPr>
              <w:spacing w:before="30" w:after="30"/>
            </w:pPr>
            <w:r>
              <w:rPr>
                <w:rFonts w:ascii="DM Sans" w:hAnsi="DM Sans" w:cs="DM Sans"/>
                <w:b w:val="0"/>
                <w:i w:val="0"/>
                <w:color w:val="050C2A"/>
                <w:sz w:val="20"/>
                <w:u w:val="none"/>
              </w:rPr>
              <w:t>Apply Near-Final Review feedback and finalize deliverables</w:t>
            </w:r>
          </w:p>
        </w:tc>
        <w:tc>
          <w:tcPr>
            <w:tcW w:type="dxa" w:w="468"/>
            <w:shd w:fill="F5F5F5" w:val="clear"/>
            <w:vAlign w:val="center"/>
          </w:tcPr>
          <w:p>
            <w:pPr>
              <w:spacing w:before="30" w:after="30"/>
            </w:pPr>
            <w:r>
              <w:rPr>
                <w:rFonts w:ascii="DM Sans" w:hAnsi="DM Sans" w:cs="DM Sans"/>
                <w:b w:val="0"/>
                <w:i w:val="0"/>
                <w:color w:val="050C2A"/>
                <w:sz w:val="20"/>
                <w:u w:val="none"/>
              </w:rPr>
              <w:t>Project</w:t>
            </w:r>
          </w:p>
        </w:tc>
        <w:tc>
          <w:tcPr>
            <w:tcW w:type="dxa" w:w="919"/>
            <w:shd w:fill="F5F5F5" w:val="clear"/>
            <w:vAlign w:val="center"/>
          </w:tcPr>
          <w:p>
            <w:pPr>
              <w:spacing w:before="30" w:after="30"/>
            </w:pPr>
            <w:r>
              <w:rPr>
                <w:rFonts w:ascii="DM Sans" w:hAnsi="DM Sans" w:cs="DM Sans"/>
                <w:b w:val="0"/>
                <w:i w:val="0"/>
                <w:color w:val="050C2A"/>
                <w:sz w:val="20"/>
                <w:u w:val="none"/>
              </w:rPr>
              <w:t>180</w:t>
            </w:r>
          </w:p>
        </w:tc>
        <w:tc>
          <w:tcPr>
            <w:tcW w:type="dxa" w:w="5025"/>
            <w:shd w:fill="F5F5F5" w:val="clear"/>
            <w:vAlign w:val="center"/>
          </w:tcPr>
          <w:p>
            <w:pPr>
              <w:spacing w:before="30" w:after="30"/>
            </w:pPr>
            <w:r>
              <w:rPr>
                <w:rFonts w:ascii="DM Sans" w:hAnsi="DM Sans" w:cs="DM Sans"/>
                <w:b w:val="0"/>
                <w:i w:val="0"/>
                <w:color w:val="050C2A"/>
                <w:sz w:val="20"/>
                <w:u w:val="none"/>
              </w:rPr>
              <w:t>Largest production block; emphasis is on targeted revision and polish, not new content; teams incorporate the feedback items identified as requiring action in the team sync (12.05), update the Change Log with decisions made, and bring the deliverable package to submission-ready quality; includes final integration pass — does the package read as a coherent professional document, not a collection of separately authored sections?; this is the last major production block before Final Deliverables submission in Week 13</w:t>
            </w:r>
          </w:p>
        </w:tc>
      </w:tr>
      <w:tr>
        <w:tc>
          <w:tcPr>
            <w:tcW w:type="dxa" w:w="395"/>
            <w:vAlign w:val="center"/>
          </w:tcPr>
          <w:p>
            <w:pPr>
              <w:spacing w:before="30" w:after="30"/>
            </w:pPr>
            <w:r>
              <w:rPr>
                <w:rFonts w:ascii="DM Sans" w:hAnsi="DM Sans" w:cs="DM Sans"/>
                <w:b w:val="0"/>
                <w:i w:val="0"/>
                <w:color w:val="050C2A"/>
                <w:sz w:val="20"/>
                <w:u w:val="none"/>
              </w:rPr>
              <w:t>12.07</w:t>
            </w:r>
          </w:p>
        </w:tc>
        <w:tc>
          <w:tcPr>
            <w:tcW w:type="dxa" w:w="884"/>
            <w:vAlign w:val="center"/>
          </w:tcPr>
          <w:p>
            <w:pPr>
              <w:spacing w:before="30" w:after="30"/>
            </w:pPr>
            <w:r>
              <w:rPr>
                <w:rFonts w:ascii="DM Sans" w:hAnsi="DM Sans" w:cs="DM Sans"/>
                <w:b w:val="0"/>
                <w:i w:val="0"/>
                <w:color w:val="050C2A"/>
                <w:sz w:val="20"/>
                <w:u w:val="none"/>
              </w:rPr>
              <w:t>Project Work</w:t>
            </w:r>
          </w:p>
        </w:tc>
        <w:tc>
          <w:tcPr>
            <w:tcW w:type="dxa" w:w="1669"/>
            <w:vAlign w:val="center"/>
          </w:tcPr>
          <w:p>
            <w:pPr>
              <w:spacing w:before="30" w:after="30"/>
            </w:pPr>
            <w:r>
              <w:rPr>
                <w:rFonts w:ascii="DM Sans" w:hAnsi="DM Sans" w:cs="DM Sans"/>
                <w:b w:val="0"/>
                <w:i w:val="0"/>
                <w:color w:val="050C2A"/>
                <w:sz w:val="20"/>
                <w:u w:val="none"/>
              </w:rPr>
              <w:t>Draft Presentation Outline</w:t>
            </w:r>
          </w:p>
        </w:tc>
        <w:tc>
          <w:tcPr>
            <w:tcW w:type="dxa" w:w="468"/>
            <w:vAlign w:val="center"/>
          </w:tcPr>
          <w:p>
            <w:pPr>
              <w:spacing w:before="30" w:after="30"/>
            </w:pPr>
            <w:r>
              <w:rPr>
                <w:rFonts w:ascii="DM Sans" w:hAnsi="DM Sans" w:cs="DM Sans"/>
                <w:b w:val="0"/>
                <w:i w:val="0"/>
                <w:color w:val="050C2A"/>
                <w:sz w:val="20"/>
                <w:u w:val="none"/>
              </w:rPr>
              <w:t>Project</w:t>
            </w:r>
          </w:p>
        </w:tc>
        <w:tc>
          <w:tcPr>
            <w:tcW w:type="dxa" w:w="919"/>
            <w:vAlign w:val="center"/>
          </w:tcPr>
          <w:p>
            <w:pPr>
              <w:spacing w:before="30" w:after="30"/>
            </w:pPr>
            <w:r>
              <w:rPr>
                <w:rFonts w:ascii="DM Sans" w:hAnsi="DM Sans" w:cs="DM Sans"/>
                <w:b w:val="0"/>
                <w:i w:val="0"/>
                <w:color w:val="050C2A"/>
                <w:sz w:val="20"/>
                <w:u w:val="none"/>
              </w:rPr>
              <w:t>45</w:t>
            </w:r>
          </w:p>
        </w:tc>
        <w:tc>
          <w:tcPr>
            <w:tcW w:type="dxa" w:w="5025"/>
            <w:vAlign w:val="center"/>
          </w:tcPr>
          <w:p>
            <w:pPr>
              <w:spacing w:before="30" w:after="30"/>
            </w:pPr>
            <w:r>
              <w:rPr>
                <w:rFonts w:ascii="DM Sans" w:hAnsi="DM Sans" w:cs="DM Sans"/>
                <w:b w:val="0"/>
                <w:i w:val="0"/>
                <w:color w:val="050C2A"/>
                <w:sz w:val="20"/>
                <w:u w:val="none"/>
              </w:rPr>
              <w:t>Teams apply the concepts from Presentation Fundamentals (12.04) to draft a structured outline of their Week 15 presentation; outline includes: key messages (what does the employer need to take away?), narrative arc (how does the presentation tell a story, not just report activities?), visual approach (what needs slides, what's better said than shown?), and speaking assignments (who presents what, and how do handoffs work?); the outline is submitted as a checkpoint in Week 14, so this is the drafting session — refinement and rehearsal happen next week</w:t>
            </w:r>
          </w:p>
        </w:tc>
      </w:tr>
      <w:tr>
        <w:tc>
          <w:tcPr>
            <w:tcW w:type="dxa" w:w="395"/>
            <w:shd w:fill="F5F5F5" w:val="clear"/>
            <w:vAlign w:val="center"/>
          </w:tcPr>
          <w:p>
            <w:pPr>
              <w:spacing w:before="30" w:after="30"/>
            </w:pPr>
            <w:r>
              <w:rPr>
                <w:rFonts w:ascii="DM Sans" w:hAnsi="DM Sans" w:cs="DM Sans"/>
                <w:b w:val="0"/>
                <w:i w:val="0"/>
                <w:color w:val="050C2A"/>
                <w:sz w:val="20"/>
                <w:u w:val="none"/>
              </w:rPr>
              <w:t>12.08</w:t>
            </w:r>
          </w:p>
        </w:tc>
        <w:tc>
          <w:tcPr>
            <w:tcW w:type="dxa" w:w="884"/>
            <w:shd w:fill="F5F5F5" w:val="clear"/>
            <w:vAlign w:val="center"/>
          </w:tcPr>
          <w:p>
            <w:pPr>
              <w:spacing w:before="30" w:after="30"/>
            </w:pPr>
            <w:r>
              <w:rPr>
                <w:rFonts w:ascii="DM Sans" w:hAnsi="DM Sans" w:cs="DM Sans"/>
                <w:b w:val="0"/>
                <w:i w:val="0"/>
                <w:color w:val="050C2A"/>
                <w:sz w:val="20"/>
                <w:u w:val="none"/>
              </w:rPr>
              <w:t>Reflection &amp; Assessment</w:t>
            </w:r>
          </w:p>
        </w:tc>
        <w:tc>
          <w:tcPr>
            <w:tcW w:type="dxa" w:w="1669"/>
            <w:shd w:fill="F5F5F5" w:val="clear"/>
            <w:vAlign w:val="center"/>
          </w:tcPr>
          <w:p>
            <w:pPr>
              <w:spacing w:before="30" w:after="30"/>
            </w:pPr>
            <w:r>
              <w:rPr>
                <w:rFonts w:ascii="DM Sans" w:hAnsi="DM Sans" w:cs="DM Sans"/>
                <w:b w:val="0"/>
                <w:i w:val="0"/>
                <w:color w:val="050C2A"/>
                <w:sz w:val="20"/>
                <w:u w:val="none"/>
              </w:rPr>
              <w:t>Reflection #4 — draft and submit (DEAL model)</w:t>
            </w:r>
          </w:p>
        </w:tc>
        <w:tc>
          <w:tcPr>
            <w:tcW w:type="dxa" w:w="468"/>
            <w:shd w:fill="F5F5F5" w:val="clear"/>
            <w:vAlign w:val="center"/>
          </w:tcPr>
          <w:p>
            <w:pPr>
              <w:spacing w:before="30" w:after="30"/>
            </w:pPr>
            <w:r>
              <w:rPr>
                <w:rFonts w:ascii="DM Sans" w:hAnsi="DM Sans" w:cs="DM Sans"/>
                <w:b w:val="0"/>
                <w:i w:val="0"/>
                <w:color w:val="050C2A"/>
                <w:sz w:val="20"/>
                <w:u w:val="none"/>
              </w:rPr>
              <w:t>Text</w:t>
            </w:r>
          </w:p>
        </w:tc>
        <w:tc>
          <w:tcPr>
            <w:tcW w:type="dxa" w:w="919"/>
            <w:shd w:fill="F5F5F5" w:val="clear"/>
            <w:vAlign w:val="center"/>
          </w:tcPr>
          <w:p>
            <w:pPr>
              <w:spacing w:before="30" w:after="30"/>
            </w:pPr>
            <w:r>
              <w:rPr>
                <w:rFonts w:ascii="DM Sans" w:hAnsi="DM Sans" w:cs="DM Sans"/>
                <w:b w:val="0"/>
                <w:i w:val="0"/>
                <w:color w:val="050C2A"/>
                <w:sz w:val="20"/>
                <w:u w:val="none"/>
              </w:rPr>
              <w:t>90</w:t>
            </w:r>
          </w:p>
        </w:tc>
        <w:tc>
          <w:tcPr>
            <w:tcW w:type="dxa" w:w="5025"/>
            <w:shd w:fill="F5F5F5" w:val="clear"/>
            <w:vAlign w:val="center"/>
          </w:tcPr>
          <w:p>
            <w:pPr>
              <w:spacing w:before="30" w:after="30"/>
            </w:pPr>
            <w:r>
              <w:rPr>
                <w:rFonts w:ascii="DM Sans" w:hAnsi="DM Sans" w:cs="DM Sans"/>
                <w:b w:val="0"/>
                <w:i w:val="0"/>
                <w:color w:val="050C2A"/>
                <w:sz w:val="20"/>
                <w:u w:val="none"/>
              </w:rPr>
              <w:t>Fourth DEAL reflection; draws from Weeks 10–12 (transition from Development to Refinement, quality reviews, the gap between plan and reality); focus: a specific moment where the student's understanding of the problem, deliverables, or their own capabilities changed significantly from earlier assumptions; 90 min reflects the higher depth expectation — by the fourth reflection, students should be demonstrating nuanced examination that connects specific experiences to broader professional understanding; competency connection: Career &amp; Self-Development (reflection, growth orientation) and Critical Thinking (evidence-based reasoning); AI-as-Socratic-partner prompt embedded in assignment; submitted via Riipen; AI-assisted drafting off-limits for reflections; AI disclosure required</w:t>
            </w:r>
          </w:p>
        </w:tc>
      </w:tr>
      <w:tr>
        <w:tc>
          <w:tcPr>
            <w:tcW w:type="dxa" w:w="395"/>
            <w:vAlign w:val="center"/>
          </w:tcPr>
          <w:p>
            <w:pPr>
              <w:spacing w:before="30" w:after="30"/>
            </w:pPr>
            <w:r>
              <w:rPr>
                <w:rFonts w:ascii="DM Sans" w:hAnsi="DM Sans" w:cs="DM Sans"/>
                <w:b w:val="0"/>
                <w:i w:val="0"/>
                <w:color w:val="050C2A"/>
                <w:sz w:val="20"/>
                <w:u w:val="none"/>
              </w:rPr>
              <w:t>12.09</w:t>
            </w:r>
          </w:p>
        </w:tc>
        <w:tc>
          <w:tcPr>
            <w:tcW w:type="dxa" w:w="884"/>
            <w:vAlign w:val="center"/>
          </w:tcPr>
          <w:p>
            <w:pPr>
              <w:spacing w:before="30" w:after="30"/>
            </w:pPr>
            <w:r>
              <w:rPr>
                <w:rFonts w:ascii="DM Sans" w:hAnsi="DM Sans" w:cs="DM Sans"/>
                <w:b w:val="0"/>
                <w:i w:val="0"/>
                <w:color w:val="050C2A"/>
                <w:sz w:val="20"/>
                <w:u w:val="none"/>
              </w:rPr>
              <w:t>Project Work</w:t>
            </w:r>
          </w:p>
        </w:tc>
        <w:tc>
          <w:tcPr>
            <w:tcW w:type="dxa" w:w="1669"/>
            <w:vAlign w:val="center"/>
          </w:tcPr>
          <w:p>
            <w:pPr>
              <w:spacing w:before="30" w:after="30"/>
            </w:pPr>
            <w:r>
              <w:rPr>
                <w:rFonts w:ascii="DM Sans" w:hAnsi="DM Sans" w:cs="DM Sans"/>
                <w:b w:val="0"/>
                <w:i w:val="0"/>
                <w:color w:val="050C2A"/>
                <w:sz w:val="20"/>
                <w:u w:val="none"/>
              </w:rPr>
              <w:t>Async team communication across the week</w:t>
            </w:r>
          </w:p>
        </w:tc>
        <w:tc>
          <w:tcPr>
            <w:tcW w:type="dxa" w:w="468"/>
            <w:vAlign w:val="center"/>
          </w:tcPr>
          <w:p>
            <w:pPr>
              <w:spacing w:before="30" w:after="30"/>
            </w:pPr>
            <w:r>
              <w:rPr>
                <w:rFonts w:ascii="DM Sans" w:hAnsi="DM Sans" w:cs="DM Sans"/>
                <w:b w:val="0"/>
                <w:i w:val="0"/>
                <w:color w:val="050C2A"/>
                <w:sz w:val="20"/>
                <w:u w:val="none"/>
              </w:rPr>
              <w:t>Project</w:t>
            </w:r>
          </w:p>
        </w:tc>
        <w:tc>
          <w:tcPr>
            <w:tcW w:type="dxa" w:w="919"/>
            <w:vAlign w:val="center"/>
          </w:tcPr>
          <w:p>
            <w:pPr>
              <w:spacing w:before="30" w:after="30"/>
            </w:pPr>
            <w:r>
              <w:rPr>
                <w:rFonts w:ascii="DM Sans" w:hAnsi="DM Sans" w:cs="DM Sans"/>
                <w:b w:val="0"/>
                <w:i w:val="0"/>
                <w:color w:val="050C2A"/>
                <w:sz w:val="20"/>
                <w:u w:val="none"/>
              </w:rPr>
              <w:t>45</w:t>
            </w:r>
          </w:p>
        </w:tc>
        <w:tc>
          <w:tcPr>
            <w:tcW w:type="dxa" w:w="5025"/>
            <w:vAlign w:val="center"/>
          </w:tcPr>
          <w:p>
            <w:pPr>
              <w:spacing w:before="30" w:after="30"/>
            </w:pPr>
            <w:r>
              <w:rPr>
                <w:rFonts w:ascii="DM Sans" w:hAnsi="DM Sans" w:cs="DM Sans"/>
                <w:b w:val="0"/>
                <w:i w:val="0"/>
                <w:color w:val="050C2A"/>
                <w:sz w:val="20"/>
                <w:u w:val="none"/>
              </w:rPr>
              <w:t>Coordination, logistics, check-ins outside structured activities; includes standing prompts: Weekly Progress Check-In (continues from Week 7), Status Update to Employer (between-reviews update appropriate since Final Check-In isn't until Week 13), and Change Log entry (continuing practice from Week 10); slightly more time than recent weeks (45 vs. 30 min) to accommodate coordination across both the deliverable finalization and presentation planning workstreams; contribution record relevant to Professional Engagement and Peer Evaluation #2 in Week 15</w:t>
            </w:r>
          </w:p>
        </w:tc>
      </w:tr>
      <w:tr>
        <w:tc>
          <w:tcPr>
            <w:tcW w:type="dxa" w:w="395"/>
            <w:shd w:fill="F5F5F5" w:val="clear"/>
            <w:vAlign w:val="center"/>
          </w:tcPr>
          <w:p>
            <w:pPr>
              <w:spacing w:before="30" w:after="30"/>
            </w:pPr>
          </w:p>
        </w:tc>
        <w:tc>
          <w:tcPr>
            <w:tcW w:type="dxa" w:w="884"/>
            <w:shd w:fill="F5F5F5" w:val="clear"/>
            <w:vAlign w:val="center"/>
          </w:tcPr>
          <w:p>
            <w:pPr>
              <w:spacing w:before="30" w:after="30"/>
            </w:pPr>
          </w:p>
        </w:tc>
        <w:tc>
          <w:tcPr>
            <w:tcW w:type="dxa" w:w="1669"/>
            <w:shd w:fill="F5F5F5" w:val="clear"/>
            <w:vAlign w:val="center"/>
          </w:tcPr>
          <w:p>
            <w:pPr>
              <w:spacing w:before="30" w:after="30"/>
            </w:pPr>
            <w:r>
              <w:rPr>
                <w:rFonts w:ascii="DM Sans" w:hAnsi="DM Sans" w:cs="DM Sans"/>
                <w:b/>
                <w:i w:val="0"/>
                <w:color w:val="050C2A"/>
                <w:sz w:val="20"/>
                <w:u w:val="none"/>
              </w:rPr>
              <w:t>TOTAL</w:t>
            </w:r>
          </w:p>
        </w:tc>
        <w:tc>
          <w:tcPr>
            <w:tcW w:type="dxa" w:w="468"/>
            <w:shd w:fill="F5F5F5" w:val="clear"/>
            <w:vAlign w:val="center"/>
          </w:tcPr>
          <w:p>
            <w:pPr>
              <w:spacing w:before="30" w:after="30"/>
            </w:pPr>
          </w:p>
        </w:tc>
        <w:tc>
          <w:tcPr>
            <w:tcW w:type="dxa" w:w="919"/>
            <w:shd w:fill="F5F5F5" w:val="clear"/>
            <w:vAlign w:val="center"/>
          </w:tcPr>
          <w:p>
            <w:pPr>
              <w:spacing w:before="30" w:after="30"/>
            </w:pPr>
            <w:r>
              <w:rPr>
                <w:rFonts w:ascii="DM Sans" w:hAnsi="DM Sans" w:cs="DM Sans"/>
                <w:b/>
                <w:i w:val="0"/>
                <w:color w:val="050C2A"/>
                <w:sz w:val="20"/>
                <w:u w:val="none"/>
              </w:rPr>
              <w:t>460 min (~7 hrs 40 min)</w:t>
            </w:r>
          </w:p>
        </w:tc>
        <w:tc>
          <w:tcPr>
            <w:tcW w:type="dxa" w:w="5025"/>
            <w:shd w:fill="F5F5F5" w:val="clear"/>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83"/>
            <w:shd w:fill="FF7C0A" w:val="clear"/>
            <w:vAlign w:val="center"/>
          </w:tcPr>
          <w:p>
            <w:pPr>
              <w:jc w:val="left"/>
              <w:spacing w:before="40" w:after="40"/>
            </w:pPr>
            <w:r>
              <w:rPr>
                <w:rFonts w:ascii="DM Sans" w:hAnsi="DM Sans" w:cs="DM Sans"/>
                <w:b/>
                <w:i w:val="0"/>
                <w:color w:val="FFFFFF"/>
                <w:sz w:val="20"/>
                <w:u w:val="none"/>
              </w:rPr>
              <w:t>Competency Area</w:t>
            </w:r>
          </w:p>
        </w:tc>
        <w:tc>
          <w:tcPr>
            <w:tcW w:type="dxa" w:w="1483"/>
            <w:shd w:fill="FF7C0A" w:val="clear"/>
            <w:vAlign w:val="center"/>
          </w:tcPr>
          <w:p>
            <w:pPr>
              <w:jc w:val="left"/>
              <w:spacing w:before="40" w:after="40"/>
            </w:pPr>
            <w:r>
              <w:rPr>
                <w:rFonts w:ascii="DM Sans" w:hAnsi="DM Sans" w:cs="DM Sans"/>
                <w:b/>
                <w:i w:val="0"/>
                <w:color w:val="FFFFFF"/>
                <w:sz w:val="20"/>
                <w:u w:val="none"/>
              </w:rPr>
              <w:t>Subskill</w:t>
            </w:r>
          </w:p>
        </w:tc>
        <w:tc>
          <w:tcPr>
            <w:tcW w:type="dxa" w:w="6394"/>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483"/>
            <w:vAlign w:val="center"/>
          </w:tcPr>
          <w:p>
            <w:pPr>
              <w:spacing w:before="30" w:after="30"/>
            </w:pPr>
            <w:r>
              <w:rPr>
                <w:rFonts w:ascii="DM Sans" w:hAnsi="DM Sans" w:cs="DM Sans"/>
                <w:b/>
                <w:i w:val="0"/>
                <w:color w:val="050C2A"/>
                <w:sz w:val="20"/>
                <w:u w:val="none"/>
              </w:rPr>
              <w:t>Professionalism</w:t>
            </w:r>
          </w:p>
        </w:tc>
        <w:tc>
          <w:tcPr>
            <w:tcW w:type="dxa" w:w="1483"/>
            <w:vAlign w:val="center"/>
          </w:tcPr>
          <w:p>
            <w:pPr>
              <w:spacing w:before="30" w:after="30"/>
            </w:pPr>
            <w:r>
              <w:rPr>
                <w:rFonts w:ascii="DM Sans" w:hAnsi="DM Sans" w:cs="DM Sans"/>
                <w:b w:val="0"/>
                <w:i w:val="0"/>
                <w:color w:val="050C2A"/>
                <w:sz w:val="20"/>
                <w:u w:val="none"/>
              </w:rPr>
              <w:t>Feedback Reception</w:t>
            </w:r>
          </w:p>
        </w:tc>
        <w:tc>
          <w:tcPr>
            <w:tcW w:type="dxa" w:w="6394"/>
            <w:vAlign w:val="center"/>
          </w:tcPr>
          <w:p>
            <w:pPr>
              <w:spacing w:before="30" w:after="30"/>
            </w:pPr>
            <w:r>
              <w:rPr>
                <w:rFonts w:ascii="DM Sans" w:hAnsi="DM Sans" w:cs="DM Sans"/>
                <w:b w:val="0"/>
                <w:i w:val="0"/>
                <w:color w:val="050C2A"/>
                <w:sz w:val="20"/>
                <w:u w:val="none"/>
              </w:rPr>
              <w:t xml:space="preserve">Module 12.02 reframes feedback reception for the final iteration stage, where the professional skill is not just incorporating feedback but deciding what </w:t>
            </w:r>
            <w:r>
              <w:rPr>
                <w:rFonts w:ascii="DM Sans" w:hAnsi="DM Sans" w:cs="DM Sans"/>
                <w:b w:val="0"/>
                <w:i/>
                <w:color w:val="050C2A"/>
                <w:sz w:val="20"/>
                <w:u w:val="none"/>
              </w:rPr>
              <w:t>not</w:t>
            </w:r>
            <w:r>
              <w:rPr>
                <w:rFonts w:ascii="DM Sans" w:hAnsi="DM Sans" w:cs="DM Sans"/>
                <w:b w:val="0"/>
                <w:i w:val="0"/>
                <w:color w:val="050C2A"/>
                <w:sz w:val="20"/>
                <w:u w:val="none"/>
              </w:rPr>
              <w:t xml:space="preserve"> to change and documenting why. The team sync (12.05) is where this plays out — teams must triage employer feedback rather than treating every comment as a required revision. The Change Log makes these decisions visible and defensible, which is what the Responsiveness to Feedback dimension on the Final Deliverables rubric actually evaluates.</w:t>
            </w:r>
          </w:p>
        </w:tc>
      </w:tr>
      <w:tr>
        <w:tc>
          <w:tcPr>
            <w:tcW w:type="dxa" w:w="1483"/>
            <w:shd w:fill="F5F5F5" w:val="clear"/>
            <w:vAlign w:val="center"/>
          </w:tcPr>
          <w:p>
            <w:pPr>
              <w:spacing w:before="30" w:after="30"/>
            </w:pPr>
            <w:r>
              <w:rPr>
                <w:rFonts w:ascii="DM Sans" w:hAnsi="DM Sans" w:cs="DM Sans"/>
                <w:b/>
                <w:i w:val="0"/>
                <w:color w:val="050C2A"/>
                <w:sz w:val="20"/>
                <w:u w:val="none"/>
              </w:rPr>
              <w:t>Professionalism</w:t>
            </w:r>
          </w:p>
        </w:tc>
        <w:tc>
          <w:tcPr>
            <w:tcW w:type="dxa" w:w="1483"/>
            <w:shd w:fill="F5F5F5" w:val="clear"/>
            <w:vAlign w:val="center"/>
          </w:tcPr>
          <w:p>
            <w:pPr>
              <w:spacing w:before="30" w:after="30"/>
            </w:pPr>
            <w:r>
              <w:rPr>
                <w:rFonts w:ascii="DM Sans" w:hAnsi="DM Sans" w:cs="DM Sans"/>
                <w:b w:val="0"/>
                <w:i w:val="0"/>
                <w:color w:val="050C2A"/>
                <w:sz w:val="20"/>
                <w:u w:val="none"/>
              </w:rPr>
              <w:t>Quality &amp; Attention to Detail</w:t>
            </w:r>
          </w:p>
        </w:tc>
        <w:tc>
          <w:tcPr>
            <w:tcW w:type="dxa" w:w="6394"/>
            <w:shd w:fill="F5F5F5" w:val="clear"/>
            <w:vAlign w:val="center"/>
          </w:tcPr>
          <w:p>
            <w:pPr>
              <w:spacing w:before="30" w:after="30"/>
            </w:pPr>
            <w:r>
              <w:rPr>
                <w:rFonts w:ascii="DM Sans" w:hAnsi="DM Sans" w:cs="DM Sans"/>
                <w:b w:val="0"/>
                <w:i w:val="0"/>
                <w:color w:val="050C2A"/>
                <w:sz w:val="20"/>
                <w:u w:val="none"/>
              </w:rPr>
              <w:t>The production block (12.06) is the last major opportunity to bring the deliverable to professional quality before Week 13 submission. The emphasis is no longer on whether the content is right but whether the package is polished — consistent formatting, clean prose, logical flow, visual coherence. This continues the quality orientation from Week 11 but at a finer grain: the work has been through employer review and the remaining improvements are about craft, not substance.</w:t>
            </w:r>
          </w:p>
        </w:tc>
      </w:tr>
      <w:tr>
        <w:tc>
          <w:tcPr>
            <w:tcW w:type="dxa" w:w="1483"/>
            <w:vAlign w:val="center"/>
          </w:tcPr>
          <w:p>
            <w:pPr>
              <w:spacing w:before="30" w:after="30"/>
            </w:pPr>
            <w:r>
              <w:rPr>
                <w:rFonts w:ascii="DM Sans" w:hAnsi="DM Sans" w:cs="DM Sans"/>
                <w:b/>
                <w:i w:val="0"/>
                <w:color w:val="050C2A"/>
                <w:sz w:val="20"/>
                <w:u w:val="none"/>
              </w:rPr>
              <w:t>Communication</w:t>
            </w:r>
          </w:p>
        </w:tc>
        <w:tc>
          <w:tcPr>
            <w:tcW w:type="dxa" w:w="1483"/>
            <w:vAlign w:val="center"/>
          </w:tcPr>
          <w:p>
            <w:pPr>
              <w:spacing w:before="30" w:after="30"/>
            </w:pPr>
            <w:r>
              <w:rPr>
                <w:rFonts w:ascii="DM Sans" w:hAnsi="DM Sans" w:cs="DM Sans"/>
                <w:b w:val="0"/>
                <w:i w:val="0"/>
                <w:color w:val="050C2A"/>
                <w:sz w:val="20"/>
                <w:u w:val="none"/>
              </w:rPr>
              <w:t>Oral Presentation</w:t>
            </w:r>
          </w:p>
        </w:tc>
        <w:tc>
          <w:tcPr>
            <w:tcW w:type="dxa" w:w="6394"/>
            <w:vAlign w:val="center"/>
          </w:tcPr>
          <w:p>
            <w:pPr>
              <w:spacing w:before="30" w:after="30"/>
            </w:pPr>
            <w:r>
              <w:rPr>
                <w:rFonts w:ascii="DM Sans" w:hAnsi="DM Sans" w:cs="DM Sans"/>
                <w:b w:val="0"/>
                <w:i w:val="0"/>
                <w:color w:val="050C2A"/>
                <w:sz w:val="20"/>
                <w:u w:val="none"/>
              </w:rPr>
              <w:t>Module 12.04 is the first formal instruction on presentation skills in the course. Prior employer touchpoints have been question-driven or document-sharing meetings — only Weeks 5 and 15 involve formal presentations, and Week 5 focused on the Direction Check content rather than presentation skills per se. The presentation outline (12.07) is the first application site, requiring teams to think about narrative, audience, visual design, and speaker coordination as a unified communication challenge.</w:t>
            </w:r>
          </w:p>
        </w:tc>
      </w:tr>
      <w:tr>
        <w:tc>
          <w:tcPr>
            <w:tcW w:type="dxa" w:w="1483"/>
            <w:shd w:fill="F5F5F5" w:val="clear"/>
            <w:vAlign w:val="center"/>
          </w:tcPr>
          <w:p>
            <w:pPr>
              <w:spacing w:before="30" w:after="30"/>
            </w:pPr>
            <w:r>
              <w:rPr>
                <w:rFonts w:ascii="DM Sans" w:hAnsi="DM Sans" w:cs="DM Sans"/>
                <w:b/>
                <w:i w:val="0"/>
                <w:color w:val="050C2A"/>
                <w:sz w:val="20"/>
                <w:u w:val="none"/>
              </w:rPr>
              <w:t>Career &amp; Self-Development</w:t>
            </w:r>
          </w:p>
        </w:tc>
        <w:tc>
          <w:tcPr>
            <w:tcW w:type="dxa" w:w="1483"/>
            <w:shd w:fill="F5F5F5" w:val="clear"/>
            <w:vAlign w:val="center"/>
          </w:tcPr>
          <w:p>
            <w:pPr>
              <w:spacing w:before="30" w:after="30"/>
            </w:pPr>
            <w:r>
              <w:rPr>
                <w:rFonts w:ascii="DM Sans" w:hAnsi="DM Sans" w:cs="DM Sans"/>
                <w:b w:val="0"/>
                <w:i w:val="0"/>
                <w:color w:val="050C2A"/>
                <w:sz w:val="20"/>
                <w:u w:val="none"/>
              </w:rPr>
              <w:t>Reflection</w:t>
            </w:r>
          </w:p>
        </w:tc>
        <w:tc>
          <w:tcPr>
            <w:tcW w:type="dxa" w:w="6394"/>
            <w:shd w:fill="F5F5F5" w:val="clear"/>
            <w:vAlign w:val="center"/>
          </w:tcPr>
          <w:p>
            <w:pPr>
              <w:spacing w:before="30" w:after="30"/>
            </w:pPr>
            <w:r>
              <w:rPr>
                <w:rFonts w:ascii="DM Sans" w:hAnsi="DM Sans" w:cs="DM Sans"/>
                <w:b w:val="0"/>
                <w:i w:val="0"/>
                <w:color w:val="050C2A"/>
                <w:sz w:val="20"/>
                <w:u w:val="none"/>
              </w:rPr>
              <w:t>Reflection #4 asks students to do something harder than describing an event — they must examine how their understanding evolved over weeks of doing the work, connecting the plan they made in Week 4 to the reality they've produced. This is the "connecting theory and practice" move that modules 10.02 and 10.03 prepared them for. The calibration expectation is that articulated learning should be noticeably more nuanced than in earlier reflections — not just "I learned X" but "I learned X, and here's how that changes how I'd approach Y."</w:t>
            </w:r>
          </w:p>
        </w:tc>
      </w:tr>
      <w:tr>
        <w:tc>
          <w:tcPr>
            <w:tcW w:type="dxa" w:w="1483"/>
            <w:vAlign w:val="center"/>
          </w:tcPr>
          <w:p>
            <w:pPr>
              <w:spacing w:before="30" w:after="30"/>
            </w:pPr>
            <w:r>
              <w:rPr>
                <w:rFonts w:ascii="DM Sans" w:hAnsi="DM Sans" w:cs="DM Sans"/>
                <w:b/>
                <w:i w:val="0"/>
                <w:color w:val="050C2A"/>
                <w:sz w:val="20"/>
                <w:u w:val="none"/>
              </w:rPr>
              <w:t>Critical Thinking</w:t>
            </w:r>
          </w:p>
        </w:tc>
        <w:tc>
          <w:tcPr>
            <w:tcW w:type="dxa" w:w="1483"/>
            <w:vAlign w:val="center"/>
          </w:tcPr>
          <w:p>
            <w:pPr>
              <w:spacing w:before="30" w:after="30"/>
            </w:pPr>
            <w:r>
              <w:rPr>
                <w:rFonts w:ascii="DM Sans" w:hAnsi="DM Sans" w:cs="DM Sans"/>
                <w:b w:val="0"/>
                <w:i w:val="0"/>
                <w:color w:val="050C2A"/>
                <w:sz w:val="20"/>
                <w:u w:val="none"/>
              </w:rPr>
              <w:t>Evidence-Based Reasoning</w:t>
            </w:r>
          </w:p>
        </w:tc>
        <w:tc>
          <w:tcPr>
            <w:tcW w:type="dxa" w:w="6394"/>
            <w:vAlign w:val="center"/>
          </w:tcPr>
          <w:p>
            <w:pPr>
              <w:spacing w:before="30" w:after="30"/>
            </w:pPr>
            <w:r>
              <w:rPr>
                <w:rFonts w:ascii="DM Sans" w:hAnsi="DM Sans" w:cs="DM Sans"/>
                <w:b w:val="0"/>
                <w:i w:val="0"/>
                <w:color w:val="050C2A"/>
                <w:sz w:val="20"/>
                <w:u w:val="none"/>
              </w:rPr>
              <w:t>Reflection #4 generates secondary competency evidence for this subskill through the content of the reflection, not through a separate rubric dimension. A strong Reflection #4 will demonstrate evidence-based reasoning because the prompt directs students to examine what caused a shift in their understanding — which requires them to identify evidence from their project experience rather than relying on generalization.</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Reflection #4 → Career &amp; Self-Development (Reflection, Growth Orientation) + Critical Thinking (Evidence-Based Reasoning)</w:t>
      </w:r>
    </w:p>
    <w:p>
      <w:pPr>
        <w:spacing w:before="0" w:after="120" w:line="276" w:lineRule="auto"/>
      </w:pPr>
      <w:r>
        <w:rPr>
          <w:rFonts w:ascii="DM Sans" w:hAnsi="DM Sans" w:cs="DM Sans"/>
          <w:b w:val="0"/>
          <w:i w:val="0"/>
          <w:color w:val="050C2A"/>
          <w:sz w:val="20"/>
          <w:u w:val="none"/>
        </w:rPr>
        <w:t>Graded; individual submission; ~5% of final grade. The fourth of five DEAL reflections. Students examine the gap between the plan they made in Week 4 (the Context Analysis &amp; Project Plan) and the work they've actually produced — what changed, what caused the change, and what doing the work taught them that planning alone could not. The experiential pool is Weeks 10–12: the transition from Development to Refinement, the quality review process, the near-final production push, and the distance between early assumptions and current reality.</w:t>
      </w:r>
    </w:p>
    <w:p>
      <w:pPr>
        <w:spacing w:before="0" w:after="120" w:line="276" w:lineRule="auto"/>
      </w:pPr>
      <w:r>
        <w:rPr>
          <w:rFonts w:ascii="DM Sans" w:hAnsi="DM Sans" w:cs="DM Sans"/>
          <w:b w:val="0"/>
          <w:i w:val="0"/>
          <w:color w:val="050C2A"/>
          <w:sz w:val="20"/>
          <w:u w:val="none"/>
        </w:rPr>
        <w:t>The same rubric applies as for all reflections: Descriptive Specificity (25%), Critical Examination (25%), Personal Accountability (25%), Articulation of Learning (25%). By Reflection #4, the calibration expectation is that articulated learning should be noticeably more nuanced than earlier reflections and that the examination should connect specific project experiences to broader professional understanding — not just what happened, but what it means for how the student approaches professional work.</w:t>
      </w:r>
    </w:p>
    <w:p>
      <w:pPr>
        <w:spacing w:before="0" w:after="120" w:line="276" w:lineRule="auto"/>
      </w:pPr>
      <w:r>
        <w:rPr>
          <w:rFonts w:ascii="DM Sans" w:hAnsi="DM Sans" w:cs="DM Sans"/>
          <w:b w:val="0"/>
          <w:i w:val="0"/>
          <w:color w:val="050C2A"/>
          <w:sz w:val="20"/>
          <w:u w:val="none"/>
        </w:rPr>
        <w:t>AI-as-Socratic-partner prompt is embedded in the assignment. AI-assisted drafting is off-limits for reflections. AI disclosure required on submission.</w:t>
      </w:r>
    </w:p>
    <w:p>
      <w:pPr>
        <w:spacing w:before="0" w:after="120" w:line="276" w:lineRule="auto"/>
      </w:pPr>
      <w:r>
        <w:rPr>
          <w:rFonts w:ascii="DM Sans" w:hAnsi="DM Sans" w:cs="DM Sans"/>
          <w:b/>
          <w:i w:val="0"/>
          <w:color w:val="050C2A"/>
          <w:sz w:val="20"/>
          <w:u w:val="none"/>
        </w:rPr>
        <w:t>Presentation Outline</w:t>
      </w:r>
      <w:r>
        <w:rPr>
          <w:rFonts w:ascii="DM Sans" w:hAnsi="DM Sans" w:cs="DM Sans"/>
          <w:b w:val="0"/>
          <w:i w:val="0"/>
          <w:color w:val="050C2A"/>
          <w:sz w:val="20"/>
          <w:u w:val="none"/>
        </w:rPr>
        <w:t xml:space="preserve"> — Not submitted this week. The draft is produced in 12.07 but the checkpoint submission occurs in Week 14. Teams should treat this week's draft as working material to be refined through rehearsal and peer feedback next week.</w:t>
      </w:r>
    </w:p>
    <w:p>
      <w:pPr>
        <w:spacing w:before="0" w:after="120" w:line="276" w:lineRule="auto"/>
      </w:pPr>
      <w:r>
        <w:rPr>
          <w:rFonts w:ascii="DM Sans" w:hAnsi="DM Sans" w:cs="DM Sans"/>
          <w:b/>
          <w:i w:val="0"/>
          <w:color w:val="050C2A"/>
          <w:sz w:val="20"/>
          <w:u w:val="none"/>
        </w:rPr>
        <w:t>Final Deliverables</w:t>
      </w:r>
      <w:r>
        <w:rPr>
          <w:rFonts w:ascii="DM Sans" w:hAnsi="DM Sans" w:cs="DM Sans"/>
          <w:b w:val="0"/>
          <w:i w:val="0"/>
          <w:color w:val="050C2A"/>
          <w:sz w:val="20"/>
          <w:u w:val="none"/>
        </w:rPr>
        <w:t xml:space="preserve"> — Not submitted this week but due next week (Week 13, 30% of grade). The production block (12.06) is the last major opportunity to bring the package to submission quality. The Final Deliverables rubric (Deliverable Quality 30%, Analytical Rigor 25%, Actionability 20%, Communication 15%, Responsiveness to Feedback 10%) applies to the Week 13 submission.</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Production-oriented AI use from Week 8 onward continues for deliverable finalization (12.06). At this stage, AI is most useful for final-pass quality work — catching inconsistencies, tightening prose, checking that formatting is uniform across sections, and verifying that the document reads as a coherent whole rather than a patchwork of separately authored pieces. Using AI to organize and structure the Change Log — ensuring feedback items are clearly documented with the team's response and rationale — is appropriate and encouraged.</w:t>
      </w:r>
    </w:p>
    <w:p>
      <w:pPr>
        <w:spacing w:before="0" w:after="120" w:line="276" w:lineRule="auto"/>
      </w:pPr>
      <w:r>
        <w:rPr>
          <w:rFonts w:ascii="DM Sans" w:hAnsi="DM Sans" w:cs="DM Sans"/>
          <w:b w:val="0"/>
          <w:i w:val="0"/>
          <w:color w:val="050C2A"/>
          <w:sz w:val="20"/>
          <w:u w:val="none"/>
        </w:rPr>
        <w:t>For presentation planning, module 12.04 introduces AI use in a new domain: using AI to help structure slide narratives and draft speaker notes. The caution is that AI-generated presentation language tends toward generic polish — "Today we'll walk you through our findings" — and needs to be grounded in the team's specific work, findings, and recommendations. AI can help organize what to say; it cannot substitute for knowing what matters and why.</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AI-assisted drafting is off-limits for Reflection #4. The reflection must be grounded in the student's actual experience in this course — the gap between plan and reality is something only the student can examine because only the student was there. AI as a Socratic thinking partner (asking follow-up questions, pushing back on surface-level observations, challenging generalizations) is permitted and encouraged.</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required on Reflection #4 submission.</w:t>
      </w:r>
    </w:p>
    <w:p>
      <w:pPr>
        <w:spacing w:before="0" w:after="120" w:line="276" w:lineRule="auto"/>
      </w:pPr>
      <w:r>
        <w:rPr>
          <w:rFonts w:ascii="DM Sans" w:hAnsi="DM Sans" w:cs="DM Sans"/>
          <w:b/>
          <w:i w:val="0"/>
          <w:color w:val="050C2A"/>
          <w:sz w:val="20"/>
          <w:u w:val="none"/>
        </w:rPr>
        <w:t>Prompt strategy reinforced:</w:t>
      </w:r>
      <w:r>
        <w:rPr>
          <w:rFonts w:ascii="DM Sans" w:hAnsi="DM Sans" w:cs="DM Sans"/>
          <w:b w:val="0"/>
          <w:i w:val="0"/>
          <w:color w:val="050C2A"/>
          <w:sz w:val="20"/>
          <w:u w:val="none"/>
        </w:rPr>
        <w:t xml:space="preserve"> Two AI strategies are active this week. For the deliverable, the quality review application from Week 11 continues — using AI to evaluate the team's own work rather than generate new content. For the presentation outline, AI enters as a structural planning tool — helping teams organize their narrative and identify what the audience needs to hear. For the reflection, the Socratic partner strategy (introduced in Week 1, reinforced in Weeks 3, 6, and 9) applies: using AI to deepen examination, not to produce it.</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Dual focus: finishing and beginning.</w:t>
      </w:r>
      <w:r>
        <w:rPr>
          <w:rFonts w:ascii="DM Sans" w:hAnsi="DM Sans" w:cs="DM Sans"/>
          <w:b w:val="0"/>
          <w:i w:val="0"/>
          <w:color w:val="050C2A"/>
          <w:sz w:val="20"/>
          <w:u w:val="none"/>
        </w:rPr>
        <w:t xml:space="preserve"> Week 12 asks students to do two things that require different mindsets — closing out the deliverable (convergent, detail-oriented) and beginning to think about how to present their work (expansive, narrative-oriented). The design addresses this by front-loading the deliverable work (12.02, 12.05, 12.06) and placing the presentation planning later in the sequence (12.04, 12.07), with the team sync (12.05) as the bridge that allocates time across both. The suggested sequencing in the overview makes this explicit.</w:t>
      </w:r>
    </w:p>
    <w:p>
      <w:pPr>
        <w:spacing w:before="0" w:after="120" w:line="276" w:lineRule="auto"/>
      </w:pPr>
      <w:r>
        <w:rPr>
          <w:rFonts w:ascii="DM Sans" w:hAnsi="DM Sans" w:cs="DM Sans"/>
          <w:b/>
          <w:i w:val="0"/>
          <w:color w:val="050C2A"/>
          <w:sz w:val="20"/>
          <w:u w:val="none"/>
        </w:rPr>
        <w:t>2. Presentation Fundamentals moved from Week 14.</w:t>
      </w:r>
      <w:r>
        <w:rPr>
          <w:rFonts w:ascii="DM Sans" w:hAnsi="DM Sans" w:cs="DM Sans"/>
          <w:b w:val="0"/>
          <w:i w:val="0"/>
          <w:color w:val="050C2A"/>
          <w:sz w:val="20"/>
          <w:u w:val="none"/>
        </w:rPr>
        <w:t xml:space="preserve"> In the original design, both the conceptual module and the application lived in Week 14. Moving the module to Week 12 creates a two-week presentation arc: learn the concepts this week, draft the outline this week, then refine, rehearse, and submit in Week 14. This prevents the common failure mode where teams cobble together a presentation in the final days without thinking about narrative, audience, or coordination. The outline checkpoint stays in Week 14 so teams have time to refine after initial drafting.</w:t>
      </w:r>
    </w:p>
    <w:p>
      <w:pPr>
        <w:spacing w:before="0" w:after="120" w:line="276" w:lineRule="auto"/>
      </w:pPr>
      <w:r>
        <w:rPr>
          <w:rFonts w:ascii="DM Sans" w:hAnsi="DM Sans" w:cs="DM Sans"/>
          <w:b/>
          <w:i w:val="0"/>
          <w:color w:val="050C2A"/>
          <w:sz w:val="20"/>
          <w:u w:val="none"/>
        </w:rPr>
        <w:t>3. "Knowing when to stop" as a teachable skill.</w:t>
      </w:r>
      <w:r>
        <w:rPr>
          <w:rFonts w:ascii="DM Sans" w:hAnsi="DM Sans" w:cs="DM Sans"/>
          <w:b w:val="0"/>
          <w:i w:val="0"/>
          <w:color w:val="050C2A"/>
          <w:sz w:val="20"/>
          <w:u w:val="none"/>
        </w:rPr>
        <w:t xml:space="preserve"> Module 12.02 addresses something students almost never encounter in academic work: the judgment that the deliverable is good enough. In academic contexts, students revise until the deadline hits. In professional contexts, there is a point where additional revision creates diminishing returns or introduces new errors. The module teaches this as a professional skill connected to the triage framework — not every piece of feedback requires action, and late-stage overhauls usually do more harm than good.</w:t>
      </w:r>
    </w:p>
    <w:p>
      <w:pPr>
        <w:spacing w:before="0" w:after="120" w:line="276" w:lineRule="auto"/>
      </w:pPr>
      <w:r>
        <w:rPr>
          <w:rFonts w:ascii="DM Sans" w:hAnsi="DM Sans" w:cs="DM Sans"/>
          <w:b/>
          <w:i w:val="0"/>
          <w:color w:val="050C2A"/>
          <w:sz w:val="20"/>
          <w:u w:val="none"/>
        </w:rPr>
        <w:t>4. Reflection #4 scaffolded by Week 10 modules.</w:t>
      </w:r>
      <w:r>
        <w:rPr>
          <w:rFonts w:ascii="DM Sans" w:hAnsi="DM Sans" w:cs="DM Sans"/>
          <w:b w:val="0"/>
          <w:i w:val="0"/>
          <w:color w:val="050C2A"/>
          <w:sz w:val="20"/>
          <w:u w:val="none"/>
        </w:rPr>
        <w:t xml:space="preserve"> The "gap between plan and reality" prompt requires a specific analytical move — connecting what was planned to what was produced and examining what caused the difference. Modules 10.02 (What Are You Actually Learning?) and 10.03 (From Experience to Concept) prepared students for this move two weeks before they need to execute it. Module 12.03 provides just-in-time scaffolding for the specific prompt, not a re-introduction of the DEAL framework itself.</w:t>
      </w:r>
    </w:p>
    <w:p>
      <w:pPr>
        <w:spacing w:before="0" w:after="120" w:line="276" w:lineRule="auto"/>
      </w:pPr>
      <w:r>
        <w:rPr>
          <w:rFonts w:ascii="DM Sans" w:hAnsi="DM Sans" w:cs="DM Sans"/>
          <w:b/>
          <w:i w:val="0"/>
          <w:color w:val="050C2A"/>
          <w:sz w:val="20"/>
          <w:u w:val="none"/>
        </w:rPr>
        <w:t>5. Production block sized for refinement, not generation.</w:t>
      </w:r>
      <w:r>
        <w:rPr>
          <w:rFonts w:ascii="DM Sans" w:hAnsi="DM Sans" w:cs="DM Sans"/>
          <w:b w:val="0"/>
          <w:i w:val="0"/>
          <w:color w:val="050C2A"/>
          <w:sz w:val="20"/>
          <w:u w:val="none"/>
        </w:rPr>
        <w:t xml:space="preserve"> The 180-minute production block is the largest activity this week but smaller than Week 11's (180 min) and substantially smaller than Week 10's (245 min). This reflects the design assumption that by Week 12, the deliverable is substantially complete and the remaining work is targeted revision and polish. Teams that are still producing new content at this stage have a problem that more time won't solve — the module content (12.02) names this directly.</w:t>
      </w:r>
    </w:p>
    <w:p>
      <w:pPr>
        <w:spacing w:before="0" w:after="120" w:line="276" w:lineRule="auto"/>
      </w:pPr>
      <w:r>
        <w:rPr>
          <w:rFonts w:ascii="DM Sans" w:hAnsi="DM Sans" w:cs="DM Sans"/>
          <w:b/>
          <w:i w:val="0"/>
          <w:color w:val="050C2A"/>
          <w:sz w:val="20"/>
          <w:u w:val="none"/>
        </w:rPr>
        <w:t>6. Async time increased.</w:t>
      </w:r>
      <w:r>
        <w:rPr>
          <w:rFonts w:ascii="DM Sans" w:hAnsi="DM Sans" w:cs="DM Sans"/>
          <w:b w:val="0"/>
          <w:i w:val="0"/>
          <w:color w:val="050C2A"/>
          <w:sz w:val="20"/>
          <w:u w:val="none"/>
        </w:rPr>
        <w:t xml:space="preserve"> The async communication block is 45 minutes (up from 30 in recent weeks) because teams are coordinating across two workstreams: deliverable finalization and presentation planning. The additional coordination overhead is real and should be accounted for rather than absorbed invisibly.</w:t>
      </w:r>
    </w:p>
    <w:p>
      <w:pPr>
        <w:spacing w:before="0" w:after="120" w:line="276" w:lineRule="auto"/>
      </w:pPr>
      <w:r>
        <w:rPr>
          <w:rFonts w:ascii="DM Sans" w:hAnsi="DM Sans" w:cs="DM Sans"/>
          <w:b/>
          <w:i w:val="0"/>
          <w:color w:val="050C2A"/>
          <w:sz w:val="20"/>
          <w:u w:val="none"/>
        </w:rPr>
        <w:t>7. No employer touchpoint.</w:t>
      </w:r>
      <w:r>
        <w:rPr>
          <w:rFonts w:ascii="DM Sans" w:hAnsi="DM Sans" w:cs="DM Sans"/>
          <w:b w:val="0"/>
          <w:i w:val="0"/>
          <w:color w:val="050C2A"/>
          <w:sz w:val="20"/>
          <w:u w:val="none"/>
        </w:rPr>
        <w:t xml:space="preserve"> Week 12 is one of the few weeks without an employer meeting. The Near-Final Review was in Week 11; the optional Final Check-In is in Week 13. This creates an uninterrupted work week — which is what teams need at this stage. The feedback they're working from (Near-Final Review) is already in hand; the next feedback opportunity is after they've had time to act on it.</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