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13 — Finalizing Deliverables</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130"/>
            <w:shd w:fill="FF7C0A" w:val="clear"/>
            <w:vAlign w:val="center"/>
          </w:tcPr>
          <w:p>
            <w:pPr>
              <w:jc w:val="left"/>
              <w:spacing w:before="40" w:after="40"/>
            </w:pPr>
            <w:r>
              <w:rPr>
                <w:rFonts w:ascii="DM Sans" w:hAnsi="DM Sans" w:cs="DM Sans"/>
                <w:b/>
                <w:i w:val="0"/>
                <w:color w:val="FFFFFF"/>
                <w:sz w:val="20"/>
                <w:u w:val="none"/>
              </w:rPr>
            </w:r>
          </w:p>
        </w:tc>
        <w:tc>
          <w:tcPr>
            <w:tcW w:type="dxa" w:w="6230"/>
            <w:shd w:fill="FF7C0A" w:val="clear"/>
            <w:vAlign w:val="center"/>
          </w:tcPr>
          <w:p>
            <w:pPr>
              <w:jc w:val="left"/>
              <w:spacing w:before="40" w:after="40"/>
            </w:pPr>
            <w:r>
              <w:rPr>
                <w:rFonts w:ascii="DM Sans" w:hAnsi="DM Sans" w:cs="DM Sans"/>
                <w:b/>
                <w:i w:val="0"/>
                <w:color w:val="FFFFFF"/>
                <w:sz w:val="20"/>
                <w:u w:val="none"/>
              </w:rPr>
            </w:r>
          </w:p>
        </w:tc>
      </w:tr>
      <w:tr>
        <w:tc>
          <w:tcPr>
            <w:tcW w:type="dxa" w:w="3130"/>
            <w:vAlign w:val="center"/>
          </w:tcPr>
          <w:p>
            <w:pPr>
              <w:spacing w:before="30" w:after="30"/>
            </w:pPr>
            <w:r>
              <w:rPr>
                <w:rFonts w:ascii="DM Sans" w:hAnsi="DM Sans" w:cs="DM Sans"/>
                <w:b/>
                <w:i w:val="0"/>
                <w:color w:val="050C2A"/>
                <w:sz w:val="20"/>
                <w:u w:val="none"/>
              </w:rPr>
              <w:t>Phase</w:t>
            </w:r>
          </w:p>
        </w:tc>
        <w:tc>
          <w:tcPr>
            <w:tcW w:type="dxa" w:w="6230"/>
            <w:vAlign w:val="center"/>
          </w:tcPr>
          <w:p>
            <w:pPr>
              <w:spacing w:before="30" w:after="30"/>
            </w:pPr>
            <w:r>
              <w:rPr>
                <w:rFonts w:ascii="DM Sans" w:hAnsi="DM Sans" w:cs="DM Sans"/>
                <w:b w:val="0"/>
                <w:i w:val="0"/>
                <w:color w:val="050C2A"/>
                <w:sz w:val="20"/>
                <w:u w:val="none"/>
              </w:rPr>
              <w:t>Refinement (final week)</w:t>
            </w:r>
          </w:p>
        </w:tc>
      </w:tr>
      <w:tr>
        <w:tc>
          <w:tcPr>
            <w:tcW w:type="dxa" w:w="3130"/>
            <w:shd w:fill="F5F5F5" w:val="clear"/>
            <w:vAlign w:val="center"/>
          </w:tcPr>
          <w:p>
            <w:pPr>
              <w:spacing w:before="30" w:after="30"/>
            </w:pPr>
            <w:r>
              <w:rPr>
                <w:rFonts w:ascii="DM Sans" w:hAnsi="DM Sans" w:cs="DM Sans"/>
                <w:b/>
                <w:i w:val="0"/>
                <w:color w:val="050C2A"/>
                <w:sz w:val="20"/>
                <w:u w:val="none"/>
              </w:rPr>
              <w:t>Module Title</w:t>
            </w:r>
          </w:p>
        </w:tc>
        <w:tc>
          <w:tcPr>
            <w:tcW w:type="dxa" w:w="6230"/>
            <w:shd w:fill="F5F5F5" w:val="clear"/>
            <w:vAlign w:val="center"/>
          </w:tcPr>
          <w:p>
            <w:pPr>
              <w:spacing w:before="30" w:after="30"/>
            </w:pPr>
            <w:r>
              <w:rPr>
                <w:rFonts w:ascii="DM Sans" w:hAnsi="DM Sans" w:cs="DM Sans"/>
                <w:b w:val="0"/>
                <w:i w:val="0"/>
                <w:color w:val="050C2A"/>
                <w:sz w:val="20"/>
                <w:u w:val="none"/>
              </w:rPr>
              <w:t>Finalizing Deliverables</w:t>
            </w:r>
          </w:p>
        </w:tc>
      </w:tr>
      <w:tr>
        <w:tc>
          <w:tcPr>
            <w:tcW w:type="dxa" w:w="3130"/>
            <w:vAlign w:val="center"/>
          </w:tcPr>
          <w:p>
            <w:pPr>
              <w:spacing w:before="30" w:after="30"/>
            </w:pPr>
            <w:r>
              <w:rPr>
                <w:rFonts w:ascii="DM Sans" w:hAnsi="DM Sans" w:cs="DM Sans"/>
                <w:b/>
                <w:i w:val="0"/>
                <w:color w:val="050C2A"/>
                <w:sz w:val="20"/>
                <w:u w:val="none"/>
              </w:rPr>
              <w:t>Primary Function</w:t>
            </w:r>
          </w:p>
        </w:tc>
        <w:tc>
          <w:tcPr>
            <w:tcW w:type="dxa" w:w="6230"/>
            <w:vAlign w:val="center"/>
          </w:tcPr>
          <w:p>
            <w:pPr>
              <w:spacing w:before="30" w:after="30"/>
            </w:pPr>
            <w:r>
              <w:rPr>
                <w:rFonts w:ascii="DM Sans" w:hAnsi="DM Sans" w:cs="DM Sans"/>
                <w:b w:val="0"/>
                <w:i w:val="0"/>
                <w:color w:val="050C2A"/>
                <w:sz w:val="20"/>
                <w:u w:val="none"/>
              </w:rPr>
              <w:t>Final deliverable assembly + submission + optional employer check-in + forward prep for Weeks 14–15</w:t>
            </w:r>
          </w:p>
        </w:tc>
      </w:tr>
      <w:tr>
        <w:tc>
          <w:tcPr>
            <w:tcW w:type="dxa" w:w="3130"/>
            <w:shd w:fill="F5F5F5" w:val="clear"/>
            <w:vAlign w:val="center"/>
          </w:tcPr>
          <w:p>
            <w:pPr>
              <w:spacing w:before="30" w:after="30"/>
            </w:pPr>
            <w:r>
              <w:rPr>
                <w:rFonts w:ascii="DM Sans" w:hAnsi="DM Sans" w:cs="DM Sans"/>
                <w:b/>
                <w:i w:val="0"/>
                <w:color w:val="050C2A"/>
                <w:sz w:val="20"/>
                <w:u w:val="none"/>
              </w:rPr>
              <w:t>Total Student Time</w:t>
            </w:r>
          </w:p>
        </w:tc>
        <w:tc>
          <w:tcPr>
            <w:tcW w:type="dxa" w:w="6230"/>
            <w:shd w:fill="F5F5F5" w:val="clear"/>
            <w:vAlign w:val="center"/>
          </w:tcPr>
          <w:p>
            <w:pPr>
              <w:spacing w:before="30" w:after="30"/>
            </w:pPr>
            <w:r>
              <w:rPr>
                <w:rFonts w:ascii="DM Sans" w:hAnsi="DM Sans" w:cs="DM Sans"/>
                <w:b w:val="0"/>
                <w:i w:val="0"/>
                <w:color w:val="050C2A"/>
                <w:sz w:val="20"/>
                <w:u w:val="none"/>
              </w:rPr>
              <w:t>460 min (~7 hrs 40 min)</w:t>
            </w:r>
          </w:p>
        </w:tc>
      </w:tr>
      <w:tr>
        <w:tc>
          <w:tcPr>
            <w:tcW w:type="dxa" w:w="3130"/>
            <w:vAlign w:val="center"/>
          </w:tcPr>
          <w:p>
            <w:pPr>
              <w:spacing w:before="30" w:after="30"/>
            </w:pPr>
            <w:r>
              <w:rPr>
                <w:rFonts w:ascii="DM Sans" w:hAnsi="DM Sans" w:cs="DM Sans"/>
                <w:b/>
                <w:i w:val="0"/>
                <w:color w:val="050C2A"/>
                <w:sz w:val="20"/>
                <w:u w:val="none"/>
              </w:rPr>
              <w:t>Deliverable This Week</w:t>
            </w:r>
          </w:p>
        </w:tc>
        <w:tc>
          <w:tcPr>
            <w:tcW w:type="dxa" w:w="6230"/>
            <w:vAlign w:val="center"/>
          </w:tcPr>
          <w:p>
            <w:pPr>
              <w:spacing w:before="30" w:after="30"/>
            </w:pPr>
            <w:r>
              <w:rPr>
                <w:rFonts w:ascii="DM Sans" w:hAnsi="DM Sans" w:cs="DM Sans"/>
                <w:b w:val="0"/>
                <w:i w:val="0"/>
                <w:color w:val="050C2A"/>
                <w:sz w:val="20"/>
                <w:u w:val="none"/>
              </w:rPr>
              <w:t>Final Deliverables (Graded — team submission, 30% of course grade)</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13,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42"/>
            <w:shd w:fill="FF7C0A" w:val="clear"/>
            <w:vAlign w:val="center"/>
          </w:tcPr>
          <w:p>
            <w:pPr>
              <w:jc w:val="left"/>
              <w:spacing w:before="40" w:after="40"/>
            </w:pPr>
            <w:r>
              <w:rPr>
                <w:rFonts w:ascii="DM Sans" w:hAnsi="DM Sans" w:cs="DM Sans"/>
                <w:b/>
                <w:i w:val="0"/>
                <w:color w:val="FFFFFF"/>
                <w:sz w:val="20"/>
                <w:u w:val="none"/>
              </w:rPr>
              <w:t>#</w:t>
            </w:r>
          </w:p>
        </w:tc>
        <w:tc>
          <w:tcPr>
            <w:tcW w:type="dxa" w:w="5084"/>
            <w:shd w:fill="FF7C0A" w:val="clear"/>
            <w:vAlign w:val="center"/>
          </w:tcPr>
          <w:p>
            <w:pPr>
              <w:jc w:val="left"/>
              <w:spacing w:before="40" w:after="40"/>
            </w:pPr>
            <w:r>
              <w:rPr>
                <w:rFonts w:ascii="DM Sans" w:hAnsi="DM Sans" w:cs="DM Sans"/>
                <w:b/>
                <w:i w:val="0"/>
                <w:color w:val="FFFFFF"/>
                <w:sz w:val="20"/>
                <w:u w:val="none"/>
              </w:rPr>
              <w:t>Objective</w:t>
            </w:r>
          </w:p>
        </w:tc>
        <w:tc>
          <w:tcPr>
            <w:tcW w:type="dxa" w:w="3434"/>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42"/>
            <w:vAlign w:val="center"/>
          </w:tcPr>
          <w:p>
            <w:pPr>
              <w:spacing w:before="30" w:after="30"/>
            </w:pPr>
            <w:r>
              <w:rPr>
                <w:rFonts w:ascii="DM Sans" w:hAnsi="DM Sans" w:cs="DM Sans"/>
                <w:b/>
                <w:i w:val="0"/>
                <w:color w:val="050C2A"/>
                <w:sz w:val="20"/>
                <w:u w:val="none"/>
              </w:rPr>
              <w:t>1</w:t>
            </w:r>
          </w:p>
        </w:tc>
        <w:tc>
          <w:tcPr>
            <w:tcW w:type="dxa" w:w="5084"/>
            <w:vAlign w:val="center"/>
          </w:tcPr>
          <w:p>
            <w:pPr>
              <w:spacing w:before="30" w:after="30"/>
            </w:pPr>
            <w:r>
              <w:rPr>
                <w:rFonts w:ascii="DM Sans" w:hAnsi="DM Sans" w:cs="DM Sans"/>
                <w:b w:val="0"/>
                <w:i w:val="0"/>
                <w:color w:val="050C2A"/>
                <w:sz w:val="20"/>
                <w:u w:val="none"/>
              </w:rPr>
              <w:t>Execute a systematic pre-submission review of a multi-component deliverable package, verifying formatting consistency, rubric alignment, and completeness before final submission.</w:t>
            </w:r>
          </w:p>
        </w:tc>
        <w:tc>
          <w:tcPr>
            <w:tcW w:type="dxa" w:w="3434"/>
            <w:vAlign w:val="center"/>
          </w:tcPr>
          <w:p>
            <w:pPr>
              <w:spacing w:before="30" w:after="30"/>
            </w:pPr>
            <w:r>
              <w:rPr>
                <w:rFonts w:ascii="DM Sans" w:hAnsi="DM Sans" w:cs="DM Sans"/>
                <w:b w:val="0"/>
                <w:i w:val="0"/>
                <w:color w:val="050C2A"/>
                <w:sz w:val="20"/>
                <w:u w:val="none"/>
              </w:rPr>
              <w:t>Professionalism → Quality &amp; Attention to Detail</w:t>
            </w:r>
          </w:p>
        </w:tc>
      </w:tr>
      <w:tr>
        <w:tc>
          <w:tcPr>
            <w:tcW w:type="dxa" w:w="842"/>
            <w:shd w:fill="F5F5F5" w:val="clear"/>
            <w:vAlign w:val="center"/>
          </w:tcPr>
          <w:p>
            <w:pPr>
              <w:spacing w:before="30" w:after="30"/>
            </w:pPr>
            <w:r>
              <w:rPr>
                <w:rFonts w:ascii="DM Sans" w:hAnsi="DM Sans" w:cs="DM Sans"/>
                <w:b/>
                <w:i w:val="0"/>
                <w:color w:val="050C2A"/>
                <w:sz w:val="20"/>
                <w:u w:val="none"/>
              </w:rPr>
              <w:t>2</w:t>
            </w:r>
          </w:p>
        </w:tc>
        <w:tc>
          <w:tcPr>
            <w:tcW w:type="dxa" w:w="5084"/>
            <w:shd w:fill="F5F5F5" w:val="clear"/>
            <w:vAlign w:val="center"/>
          </w:tcPr>
          <w:p>
            <w:pPr>
              <w:spacing w:before="30" w:after="30"/>
            </w:pPr>
            <w:r>
              <w:rPr>
                <w:rFonts w:ascii="DM Sans" w:hAnsi="DM Sans" w:cs="DM Sans"/>
                <w:b w:val="0"/>
                <w:i w:val="0"/>
                <w:color w:val="050C2A"/>
                <w:sz w:val="20"/>
                <w:u w:val="none"/>
              </w:rPr>
              <w:t>Distinguish between targeted final adjustments that improve a deliverable and last-minute overhauls that introduce new problems, applying judgment about when work is ready to submit.</w:t>
            </w:r>
          </w:p>
        </w:tc>
        <w:tc>
          <w:tcPr>
            <w:tcW w:type="dxa" w:w="3434"/>
            <w:shd w:fill="F5F5F5" w:val="clear"/>
            <w:vAlign w:val="center"/>
          </w:tcPr>
          <w:p>
            <w:pPr>
              <w:spacing w:before="30" w:after="30"/>
            </w:pPr>
            <w:r>
              <w:rPr>
                <w:rFonts w:ascii="DM Sans" w:hAnsi="DM Sans" w:cs="DM Sans"/>
                <w:b w:val="0"/>
                <w:i w:val="0"/>
                <w:color w:val="050C2A"/>
                <w:sz w:val="20"/>
                <w:u w:val="none"/>
              </w:rPr>
              <w:t>Professionalism → Quality &amp; Attention to Detail; Critical Thinking → Prioritization</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13 is a submission week. The module content is deliberately minimal (20 minutes total) because students don't need instruction at this point — they need time to finish. The week's anchor is the Final Deliverables submission, worth 30% of the course grade and representing the culmination of the project work that began with the Context Analysis in Week 4. The only employer touchpoint is the Final Check-In, held as a 60-minute block that teams should cancel if they don't have substantive remaining questions. Whether or not the meeting is held, teams must communicate with the employer about Week 15 presentation logistics — format, timing, and attendees. The forward prep activity (13.09) previews both Reflection #5 and Peer Evaluation #2, giving students time to begin noticing what they'll write about and evaluate before the pressure of Week 15.</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400"/>
            <w:shd w:fill="FF7C0A" w:val="clear"/>
            <w:vAlign w:val="center"/>
          </w:tcPr>
          <w:p>
            <w:pPr>
              <w:jc w:val="left"/>
              <w:spacing w:before="40" w:after="40"/>
            </w:pPr>
            <w:r>
              <w:rPr>
                <w:rFonts w:ascii="DM Sans" w:hAnsi="DM Sans" w:cs="DM Sans"/>
                <w:b/>
                <w:i w:val="0"/>
                <w:color w:val="FFFFFF"/>
                <w:sz w:val="20"/>
                <w:u w:val="none"/>
              </w:rPr>
              <w:t>#</w:t>
            </w:r>
          </w:p>
        </w:tc>
        <w:tc>
          <w:tcPr>
            <w:tcW w:type="dxa" w:w="895"/>
            <w:shd w:fill="FF7C0A" w:val="clear"/>
            <w:vAlign w:val="center"/>
          </w:tcPr>
          <w:p>
            <w:pPr>
              <w:jc w:val="left"/>
              <w:spacing w:before="40" w:after="40"/>
            </w:pPr>
            <w:r>
              <w:rPr>
                <w:rFonts w:ascii="DM Sans" w:hAnsi="DM Sans" w:cs="DM Sans"/>
                <w:b/>
                <w:i w:val="0"/>
                <w:color w:val="FFFFFF"/>
                <w:sz w:val="20"/>
                <w:u w:val="none"/>
              </w:rPr>
              <w:t>Category</w:t>
            </w:r>
          </w:p>
        </w:tc>
        <w:tc>
          <w:tcPr>
            <w:tcW w:type="dxa" w:w="2104"/>
            <w:shd w:fill="FF7C0A" w:val="clear"/>
            <w:vAlign w:val="center"/>
          </w:tcPr>
          <w:p>
            <w:pPr>
              <w:jc w:val="left"/>
              <w:spacing w:before="40" w:after="40"/>
            </w:pPr>
            <w:r>
              <w:rPr>
                <w:rFonts w:ascii="DM Sans" w:hAnsi="DM Sans" w:cs="DM Sans"/>
                <w:b/>
                <w:i w:val="0"/>
                <w:color w:val="FFFFFF"/>
                <w:sz w:val="20"/>
                <w:u w:val="none"/>
              </w:rPr>
              <w:t>Activity</w:t>
            </w:r>
          </w:p>
        </w:tc>
        <w:tc>
          <w:tcPr>
            <w:tcW w:type="dxa" w:w="474"/>
            <w:shd w:fill="FF7C0A" w:val="clear"/>
            <w:vAlign w:val="center"/>
          </w:tcPr>
          <w:p>
            <w:pPr>
              <w:jc w:val="left"/>
              <w:spacing w:before="40" w:after="40"/>
            </w:pPr>
            <w:r>
              <w:rPr>
                <w:rFonts w:ascii="DM Sans" w:hAnsi="DM Sans" w:cs="DM Sans"/>
                <w:b/>
                <w:i w:val="0"/>
                <w:color w:val="FFFFFF"/>
                <w:sz w:val="20"/>
                <w:u w:val="none"/>
              </w:rPr>
              <w:t>Format</w:t>
            </w:r>
          </w:p>
        </w:tc>
        <w:tc>
          <w:tcPr>
            <w:tcW w:type="dxa" w:w="930"/>
            <w:shd w:fill="FF7C0A" w:val="clear"/>
            <w:vAlign w:val="center"/>
          </w:tcPr>
          <w:p>
            <w:pPr>
              <w:jc w:val="left"/>
              <w:spacing w:before="40" w:after="40"/>
            </w:pPr>
            <w:r>
              <w:rPr>
                <w:rFonts w:ascii="DM Sans" w:hAnsi="DM Sans" w:cs="DM Sans"/>
                <w:b/>
                <w:i w:val="0"/>
                <w:color w:val="FFFFFF"/>
                <w:sz w:val="20"/>
                <w:u w:val="none"/>
              </w:rPr>
              <w:t>Min</w:t>
            </w:r>
          </w:p>
        </w:tc>
        <w:tc>
          <w:tcPr>
            <w:tcW w:type="dxa" w:w="4557"/>
            <w:shd w:fill="FF7C0A" w:val="clear"/>
            <w:vAlign w:val="center"/>
          </w:tcPr>
          <w:p>
            <w:pPr>
              <w:jc w:val="left"/>
              <w:spacing w:before="40" w:after="40"/>
            </w:pPr>
            <w:r>
              <w:rPr>
                <w:rFonts w:ascii="DM Sans" w:hAnsi="DM Sans" w:cs="DM Sans"/>
                <w:b/>
                <w:i w:val="0"/>
                <w:color w:val="FFFFFF"/>
                <w:sz w:val="20"/>
                <w:u w:val="none"/>
              </w:rPr>
              <w:t>Note</w:t>
            </w:r>
          </w:p>
        </w:tc>
      </w:tr>
      <w:tr>
        <w:tc>
          <w:tcPr>
            <w:tcW w:type="dxa" w:w="400"/>
            <w:vAlign w:val="center"/>
          </w:tcPr>
          <w:p>
            <w:pPr>
              <w:spacing w:before="30" w:after="30"/>
            </w:pPr>
            <w:r>
              <w:rPr>
                <w:rFonts w:ascii="DM Sans" w:hAnsi="DM Sans" w:cs="DM Sans"/>
                <w:b w:val="0"/>
                <w:i w:val="0"/>
                <w:color w:val="050C2A"/>
                <w:sz w:val="20"/>
                <w:u w:val="none"/>
              </w:rPr>
              <w:t>13.01</w:t>
            </w:r>
          </w:p>
        </w:tc>
        <w:tc>
          <w:tcPr>
            <w:tcW w:type="dxa" w:w="895"/>
            <w:vAlign w:val="center"/>
          </w:tcPr>
          <w:p>
            <w:pPr>
              <w:spacing w:before="30" w:after="30"/>
            </w:pPr>
            <w:r>
              <w:rPr>
                <w:rFonts w:ascii="DM Sans" w:hAnsi="DM Sans" w:cs="DM Sans"/>
                <w:b w:val="0"/>
                <w:i w:val="0"/>
                <w:color w:val="050C2A"/>
                <w:sz w:val="20"/>
                <w:u w:val="none"/>
              </w:rPr>
              <w:t>Course Orientation</w:t>
            </w:r>
          </w:p>
        </w:tc>
        <w:tc>
          <w:tcPr>
            <w:tcW w:type="dxa" w:w="2104"/>
            <w:vAlign w:val="center"/>
          </w:tcPr>
          <w:p>
            <w:pPr>
              <w:spacing w:before="30" w:after="30"/>
            </w:pPr>
            <w:r>
              <w:rPr>
                <w:rFonts w:ascii="DM Sans" w:hAnsi="DM Sans" w:cs="DM Sans"/>
                <w:b w:val="0"/>
                <w:i w:val="0"/>
                <w:color w:val="050C2A"/>
                <w:sz w:val="20"/>
                <w:u w:val="none"/>
              </w:rPr>
              <w:t>Week 13 Overview — objectives, what's happening this week, suggested order of completion</w:t>
            </w:r>
          </w:p>
        </w:tc>
        <w:tc>
          <w:tcPr>
            <w:tcW w:type="dxa" w:w="474"/>
            <w:vAlign w:val="center"/>
          </w:tcPr>
          <w:p>
            <w:pPr>
              <w:spacing w:before="30" w:after="30"/>
            </w:pPr>
            <w:r>
              <w:rPr>
                <w:rFonts w:ascii="DM Sans" w:hAnsi="DM Sans" w:cs="DM Sans"/>
                <w:b w:val="0"/>
                <w:i w:val="0"/>
                <w:color w:val="050C2A"/>
                <w:sz w:val="20"/>
                <w:u w:val="none"/>
              </w:rPr>
              <w:t>Module</w:t>
            </w:r>
          </w:p>
        </w:tc>
        <w:tc>
          <w:tcPr>
            <w:tcW w:type="dxa" w:w="930"/>
            <w:vAlign w:val="center"/>
          </w:tcPr>
          <w:p>
            <w:pPr>
              <w:spacing w:before="30" w:after="30"/>
            </w:pPr>
            <w:r>
              <w:rPr>
                <w:rFonts w:ascii="DM Sans" w:hAnsi="DM Sans" w:cs="DM Sans"/>
                <w:b w:val="0"/>
                <w:i w:val="0"/>
                <w:color w:val="050C2A"/>
                <w:sz w:val="20"/>
                <w:u w:val="none"/>
              </w:rPr>
              <w:t>5</w:t>
            </w:r>
          </w:p>
        </w:tc>
        <w:tc>
          <w:tcPr>
            <w:tcW w:type="dxa" w:w="4557"/>
            <w:vAlign w:val="center"/>
          </w:tcPr>
          <w:p>
            <w:pPr>
              <w:spacing w:before="30" w:after="30"/>
            </w:pPr>
            <w:r>
              <w:rPr>
                <w:rFonts w:ascii="DM Sans" w:hAnsi="DM Sans" w:cs="DM Sans"/>
                <w:b w:val="0"/>
                <w:i w:val="0"/>
                <w:color w:val="050C2A"/>
                <w:sz w:val="20"/>
                <w:u w:val="none"/>
              </w:rPr>
              <w:t>Names Final Deliverables submission as the week's anchor (30% of course grade); Final Check-In with employer available if team has substantive questions but should be cancelled if not needed — async communication about Week 15 presentation logistics either way; orients to this being primarily a submission week with minimal module content; suggests sequencing: team sync first (13.04), then final revisions (13.06), internal review gate (13.07), then submit (13.08); forward prep (13.09) can happen any time</w:t>
            </w:r>
          </w:p>
        </w:tc>
      </w:tr>
      <w:tr>
        <w:tc>
          <w:tcPr>
            <w:tcW w:type="dxa" w:w="400"/>
            <w:shd w:fill="F5F5F5" w:val="clear"/>
            <w:vAlign w:val="center"/>
          </w:tcPr>
          <w:p>
            <w:pPr>
              <w:spacing w:before="30" w:after="30"/>
            </w:pPr>
            <w:r>
              <w:rPr>
                <w:rFonts w:ascii="DM Sans" w:hAnsi="DM Sans" w:cs="DM Sans"/>
                <w:b w:val="0"/>
                <w:i w:val="0"/>
                <w:color w:val="050C2A"/>
                <w:sz w:val="20"/>
                <w:u w:val="none"/>
              </w:rPr>
              <w:t>13.02</w:t>
            </w:r>
          </w:p>
        </w:tc>
        <w:tc>
          <w:tcPr>
            <w:tcW w:type="dxa" w:w="895"/>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104"/>
            <w:shd w:fill="F5F5F5" w:val="clear"/>
            <w:vAlign w:val="center"/>
          </w:tcPr>
          <w:p>
            <w:pPr>
              <w:spacing w:before="30" w:after="30"/>
            </w:pPr>
            <w:r>
              <w:rPr>
                <w:rFonts w:ascii="DM Sans" w:hAnsi="DM Sans" w:cs="DM Sans"/>
                <w:b w:val="0"/>
                <w:i w:val="0"/>
                <w:color w:val="050C2A"/>
                <w:sz w:val="20"/>
                <w:u w:val="none"/>
              </w:rPr>
              <w:t>Module: Final Deliverable Checklist</w:t>
            </w:r>
          </w:p>
        </w:tc>
        <w:tc>
          <w:tcPr>
            <w:tcW w:type="dxa" w:w="474"/>
            <w:shd w:fill="F5F5F5" w:val="clear"/>
            <w:vAlign w:val="center"/>
          </w:tcPr>
          <w:p>
            <w:pPr>
              <w:spacing w:before="30" w:after="30"/>
            </w:pPr>
            <w:r>
              <w:rPr>
                <w:rFonts w:ascii="DM Sans" w:hAnsi="DM Sans" w:cs="DM Sans"/>
                <w:b w:val="0"/>
                <w:i w:val="0"/>
                <w:color w:val="050C2A"/>
                <w:sz w:val="20"/>
                <w:u w:val="none"/>
              </w:rPr>
              <w:t>Module</w:t>
            </w:r>
          </w:p>
        </w:tc>
        <w:tc>
          <w:tcPr>
            <w:tcW w:type="dxa" w:w="930"/>
            <w:shd w:fill="F5F5F5" w:val="clear"/>
            <w:vAlign w:val="center"/>
          </w:tcPr>
          <w:p>
            <w:pPr>
              <w:spacing w:before="30" w:after="30"/>
            </w:pPr>
            <w:r>
              <w:rPr>
                <w:rFonts w:ascii="DM Sans" w:hAnsi="DM Sans" w:cs="DM Sans"/>
                <w:b w:val="0"/>
                <w:i w:val="0"/>
                <w:color w:val="050C2A"/>
                <w:sz w:val="20"/>
                <w:u w:val="none"/>
              </w:rPr>
              <w:t>10</w:t>
            </w:r>
          </w:p>
        </w:tc>
        <w:tc>
          <w:tcPr>
            <w:tcW w:type="dxa" w:w="4557"/>
            <w:shd w:fill="F5F5F5" w:val="clear"/>
            <w:vAlign w:val="center"/>
          </w:tcPr>
          <w:p>
            <w:pPr>
              <w:spacing w:before="30" w:after="30"/>
            </w:pPr>
            <w:r>
              <w:rPr>
                <w:rFonts w:ascii="DM Sans" w:hAnsi="DM Sans" w:cs="DM Sans"/>
                <w:b w:val="0"/>
                <w:i w:val="0"/>
                <w:color w:val="050C2A"/>
                <w:sz w:val="20"/>
                <w:u w:val="none"/>
              </w:rPr>
              <w:t>Pre-submission review checklist — practical, not conceptual; students run through this before hitting submit; items include: formatting consistency across sections, Change Log completeness (all feedback documented with team's response or rationale), alignment between deliverable content and the project brief, alignment with rubric dimensions (Deliverable Quality, Analytical Rigor, Actionability, Communication, Responsiveness to Feedback), and AI disclosure included; connects to the self-review protocol introduced in 11.03 but scaled down to a final-pass checklist rather than a deep review</w:t>
            </w:r>
          </w:p>
        </w:tc>
      </w:tr>
      <w:tr>
        <w:tc>
          <w:tcPr>
            <w:tcW w:type="dxa" w:w="400"/>
            <w:vAlign w:val="center"/>
          </w:tcPr>
          <w:p>
            <w:pPr>
              <w:spacing w:before="30" w:after="30"/>
            </w:pPr>
            <w:r>
              <w:rPr>
                <w:rFonts w:ascii="DM Sans" w:hAnsi="DM Sans" w:cs="DM Sans"/>
                <w:b w:val="0"/>
                <w:i w:val="0"/>
                <w:color w:val="050C2A"/>
                <w:sz w:val="20"/>
                <w:u w:val="none"/>
              </w:rPr>
              <w:t>13.03</w:t>
            </w:r>
          </w:p>
        </w:tc>
        <w:tc>
          <w:tcPr>
            <w:tcW w:type="dxa" w:w="895"/>
            <w:vAlign w:val="center"/>
          </w:tcPr>
          <w:p>
            <w:pPr>
              <w:spacing w:before="30" w:after="30"/>
            </w:pPr>
            <w:r>
              <w:rPr>
                <w:rFonts w:ascii="DM Sans" w:hAnsi="DM Sans" w:cs="DM Sans"/>
                <w:b w:val="0"/>
                <w:i w:val="0"/>
                <w:color w:val="050C2A"/>
                <w:sz w:val="20"/>
                <w:u w:val="none"/>
              </w:rPr>
              <w:t>Professional Fundamentals</w:t>
            </w:r>
          </w:p>
        </w:tc>
        <w:tc>
          <w:tcPr>
            <w:tcW w:type="dxa" w:w="2104"/>
            <w:vAlign w:val="center"/>
          </w:tcPr>
          <w:p>
            <w:pPr>
              <w:spacing w:before="30" w:after="30"/>
            </w:pPr>
            <w:r>
              <w:rPr>
                <w:rFonts w:ascii="DM Sans" w:hAnsi="DM Sans" w:cs="DM Sans"/>
                <w:b w:val="0"/>
                <w:i w:val="0"/>
                <w:color w:val="050C2A"/>
                <w:sz w:val="20"/>
                <w:u w:val="none"/>
              </w:rPr>
              <w:t>Module: The Home Stretch</w:t>
            </w:r>
          </w:p>
        </w:tc>
        <w:tc>
          <w:tcPr>
            <w:tcW w:type="dxa" w:w="474"/>
            <w:vAlign w:val="center"/>
          </w:tcPr>
          <w:p>
            <w:pPr>
              <w:spacing w:before="30" w:after="30"/>
            </w:pPr>
            <w:r>
              <w:rPr>
                <w:rFonts w:ascii="DM Sans" w:hAnsi="DM Sans" w:cs="DM Sans"/>
                <w:b w:val="0"/>
                <w:i w:val="0"/>
                <w:color w:val="050C2A"/>
                <w:sz w:val="20"/>
                <w:u w:val="none"/>
              </w:rPr>
              <w:t>Module</w:t>
            </w:r>
          </w:p>
        </w:tc>
        <w:tc>
          <w:tcPr>
            <w:tcW w:type="dxa" w:w="930"/>
            <w:vAlign w:val="center"/>
          </w:tcPr>
          <w:p>
            <w:pPr>
              <w:spacing w:before="30" w:after="30"/>
            </w:pPr>
            <w:r>
              <w:rPr>
                <w:rFonts w:ascii="DM Sans" w:hAnsi="DM Sans" w:cs="DM Sans"/>
                <w:b w:val="0"/>
                <w:i w:val="0"/>
                <w:color w:val="050C2A"/>
                <w:sz w:val="20"/>
                <w:u w:val="none"/>
              </w:rPr>
              <w:t>10</w:t>
            </w:r>
          </w:p>
        </w:tc>
        <w:tc>
          <w:tcPr>
            <w:tcW w:type="dxa" w:w="4557"/>
            <w:vAlign w:val="center"/>
          </w:tcPr>
          <w:p>
            <w:pPr>
              <w:spacing w:before="30" w:after="30"/>
            </w:pPr>
            <w:r>
              <w:rPr>
                <w:rFonts w:ascii="DM Sans" w:hAnsi="DM Sans" w:cs="DM Sans"/>
                <w:b w:val="0"/>
                <w:i w:val="0"/>
                <w:color w:val="050C2A"/>
                <w:sz w:val="20"/>
                <w:u w:val="none"/>
              </w:rPr>
              <w:t>Brief mindset content — finishing strong, managing the last-minute impulse to overhaul, trusting the work you've done; reinforces the "knowing when to stop" lesson from 12.02 in a lighter format; names the common failure mode at this stage: teams who make substantive changes the night before submission usually introduce more problems than they solve; short because students don't need a lecture at this point — they need permission to trust their process and submit</w:t>
            </w:r>
          </w:p>
        </w:tc>
      </w:tr>
      <w:tr>
        <w:tc>
          <w:tcPr>
            <w:tcW w:type="dxa" w:w="400"/>
            <w:shd w:fill="F5F5F5" w:val="clear"/>
            <w:vAlign w:val="center"/>
          </w:tcPr>
          <w:p>
            <w:pPr>
              <w:spacing w:before="30" w:after="30"/>
            </w:pPr>
            <w:r>
              <w:rPr>
                <w:rFonts w:ascii="DM Sans" w:hAnsi="DM Sans" w:cs="DM Sans"/>
                <w:b w:val="0"/>
                <w:i w:val="0"/>
                <w:color w:val="050C2A"/>
                <w:sz w:val="20"/>
                <w:u w:val="none"/>
              </w:rPr>
              <w:t>13.04</w:t>
            </w:r>
          </w:p>
        </w:tc>
        <w:tc>
          <w:tcPr>
            <w:tcW w:type="dxa" w:w="895"/>
            <w:shd w:fill="F5F5F5" w:val="clear"/>
            <w:vAlign w:val="center"/>
          </w:tcPr>
          <w:p>
            <w:pPr>
              <w:spacing w:before="30" w:after="30"/>
            </w:pPr>
            <w:r>
              <w:rPr>
                <w:rFonts w:ascii="DM Sans" w:hAnsi="DM Sans" w:cs="DM Sans"/>
                <w:b w:val="0"/>
                <w:i w:val="0"/>
                <w:color w:val="050C2A"/>
                <w:sz w:val="20"/>
                <w:u w:val="none"/>
              </w:rPr>
              <w:t>Project Work</w:t>
            </w:r>
          </w:p>
        </w:tc>
        <w:tc>
          <w:tcPr>
            <w:tcW w:type="dxa" w:w="2104"/>
            <w:shd w:fill="F5F5F5" w:val="clear"/>
            <w:vAlign w:val="center"/>
          </w:tcPr>
          <w:p>
            <w:pPr>
              <w:spacing w:before="30" w:after="30"/>
            </w:pPr>
            <w:r>
              <w:rPr>
                <w:rFonts w:ascii="DM Sans" w:hAnsi="DM Sans" w:cs="DM Sans"/>
                <w:b w:val="0"/>
                <w:i w:val="0"/>
                <w:color w:val="050C2A"/>
                <w:sz w:val="20"/>
                <w:u w:val="none"/>
              </w:rPr>
              <w:t>Team sync — review submission readiness, decide on Final Check-In, coordinate presentation logistics</w:t>
            </w:r>
          </w:p>
        </w:tc>
        <w:tc>
          <w:tcPr>
            <w:tcW w:type="dxa" w:w="474"/>
            <w:shd w:fill="F5F5F5" w:val="clear"/>
            <w:vAlign w:val="center"/>
          </w:tcPr>
          <w:p>
            <w:pPr>
              <w:spacing w:before="30" w:after="30"/>
            </w:pPr>
            <w:r>
              <w:rPr>
                <w:rFonts w:ascii="DM Sans" w:hAnsi="DM Sans" w:cs="DM Sans"/>
                <w:b w:val="0"/>
                <w:i w:val="0"/>
                <w:color w:val="050C2A"/>
                <w:sz w:val="20"/>
                <w:u w:val="none"/>
              </w:rPr>
              <w:t>Project</w:t>
            </w:r>
          </w:p>
        </w:tc>
        <w:tc>
          <w:tcPr>
            <w:tcW w:type="dxa" w:w="930"/>
            <w:shd w:fill="F5F5F5" w:val="clear"/>
            <w:vAlign w:val="center"/>
          </w:tcPr>
          <w:p>
            <w:pPr>
              <w:spacing w:before="30" w:after="30"/>
            </w:pPr>
            <w:r>
              <w:rPr>
                <w:rFonts w:ascii="DM Sans" w:hAnsi="DM Sans" w:cs="DM Sans"/>
                <w:b w:val="0"/>
                <w:i w:val="0"/>
                <w:color w:val="050C2A"/>
                <w:sz w:val="20"/>
                <w:u w:val="none"/>
              </w:rPr>
              <w:t>30</w:t>
            </w:r>
          </w:p>
        </w:tc>
        <w:tc>
          <w:tcPr>
            <w:tcW w:type="dxa" w:w="4557"/>
            <w:shd w:fill="F5F5F5" w:val="clear"/>
            <w:vAlign w:val="center"/>
          </w:tcPr>
          <w:p>
            <w:pPr>
              <w:spacing w:before="30" w:after="30"/>
            </w:pPr>
            <w:r>
              <w:rPr>
                <w:rFonts w:ascii="DM Sans" w:hAnsi="DM Sans" w:cs="DM Sans"/>
                <w:b w:val="0"/>
                <w:i w:val="0"/>
                <w:color w:val="050C2A"/>
                <w:sz w:val="20"/>
                <w:u w:val="none"/>
              </w:rPr>
              <w:t>Lighter coordination meeting than recent weeks; three agenda items: (1) review deliverable status against rubric dimensions — is the package submission-ready or are there specific gaps to close in 13.06? (2) decide whether to hold or cancel the Final Check-In based on whether the team has substantive questions for the employer — "substantive" means questions where the answer would change the deliverable, not just reassurance-seeking; (3) coordinate async communication to employer about Week 15 presentation logistics (format, timing, attendees) regardless of whether the Final Check-In is held</w:t>
            </w:r>
          </w:p>
        </w:tc>
      </w:tr>
      <w:tr>
        <w:tc>
          <w:tcPr>
            <w:tcW w:type="dxa" w:w="400"/>
            <w:vAlign w:val="center"/>
          </w:tcPr>
          <w:p>
            <w:pPr>
              <w:spacing w:before="30" w:after="30"/>
            </w:pPr>
            <w:r>
              <w:rPr>
                <w:rFonts w:ascii="DM Sans" w:hAnsi="DM Sans" w:cs="DM Sans"/>
                <w:b w:val="0"/>
                <w:i w:val="0"/>
                <w:color w:val="050C2A"/>
                <w:sz w:val="20"/>
                <w:u w:val="none"/>
              </w:rPr>
              <w:t>13.05</w:t>
            </w:r>
          </w:p>
        </w:tc>
        <w:tc>
          <w:tcPr>
            <w:tcW w:type="dxa" w:w="895"/>
            <w:vAlign w:val="center"/>
          </w:tcPr>
          <w:p>
            <w:pPr>
              <w:spacing w:before="30" w:after="30"/>
            </w:pPr>
            <w:r>
              <w:rPr>
                <w:rFonts w:ascii="DM Sans" w:hAnsi="DM Sans" w:cs="DM Sans"/>
                <w:b w:val="0"/>
                <w:i w:val="0"/>
                <w:color w:val="050C2A"/>
                <w:sz w:val="20"/>
                <w:u w:val="none"/>
              </w:rPr>
              <w:t>Employer Engagement</w:t>
            </w:r>
          </w:p>
        </w:tc>
        <w:tc>
          <w:tcPr>
            <w:tcW w:type="dxa" w:w="2104"/>
            <w:vAlign w:val="center"/>
          </w:tcPr>
          <w:p>
            <w:pPr>
              <w:spacing w:before="30" w:after="30"/>
            </w:pPr>
            <w:r>
              <w:rPr>
                <w:rFonts w:ascii="DM Sans" w:hAnsi="DM Sans" w:cs="DM Sans"/>
                <w:b w:val="0"/>
                <w:i w:val="0"/>
                <w:color w:val="050C2A"/>
                <w:sz w:val="20"/>
                <w:u w:val="none"/>
              </w:rPr>
              <w:t>Final Check-In — available if team has remaining questions; cancel if not needed; async communication about Week 15 presentation logistics</w:t>
            </w:r>
          </w:p>
        </w:tc>
        <w:tc>
          <w:tcPr>
            <w:tcW w:type="dxa" w:w="474"/>
            <w:vAlign w:val="center"/>
          </w:tcPr>
          <w:p>
            <w:pPr>
              <w:spacing w:before="30" w:after="30"/>
            </w:pPr>
            <w:r>
              <w:rPr>
                <w:rFonts w:ascii="DM Sans" w:hAnsi="DM Sans" w:cs="DM Sans"/>
                <w:b w:val="0"/>
                <w:i w:val="0"/>
                <w:color w:val="050C2A"/>
                <w:sz w:val="20"/>
                <w:u w:val="none"/>
              </w:rPr>
              <w:t>Project</w:t>
            </w:r>
          </w:p>
        </w:tc>
        <w:tc>
          <w:tcPr>
            <w:tcW w:type="dxa" w:w="930"/>
            <w:vAlign w:val="center"/>
          </w:tcPr>
          <w:p>
            <w:pPr>
              <w:spacing w:before="30" w:after="30"/>
            </w:pPr>
            <w:r>
              <w:rPr>
                <w:rFonts w:ascii="DM Sans" w:hAnsi="DM Sans" w:cs="DM Sans"/>
                <w:b w:val="0"/>
                <w:i w:val="0"/>
                <w:color w:val="050C2A"/>
                <w:sz w:val="20"/>
                <w:u w:val="none"/>
              </w:rPr>
              <w:t>60</w:t>
            </w:r>
          </w:p>
        </w:tc>
        <w:tc>
          <w:tcPr>
            <w:tcW w:type="dxa" w:w="4557"/>
            <w:vAlign w:val="center"/>
          </w:tcPr>
          <w:p>
            <w:pPr>
              <w:spacing w:before="30" w:after="30"/>
            </w:pPr>
            <w:r>
              <w:rPr>
                <w:rFonts w:ascii="DM Sans" w:hAnsi="DM Sans" w:cs="DM Sans"/>
                <w:b w:val="0"/>
                <w:i w:val="0"/>
                <w:color w:val="050C2A"/>
                <w:sz w:val="20"/>
                <w:u w:val="none"/>
              </w:rPr>
              <w:t>60-min hold; teams should cancel if they don't have substantive questions for the employer; if held: brief status update, remaining questions about deliverable quality or completeness, and confirm presentation logistics for Week 15; if cancelled: team sends async communication to employer confirming Week 15 presentation format, timing, and attendees; this is the final employer touchpoint before the Final Presentation in Week 15; the decision to hold or cancel is itself a professional judgment — knowing when you need input and when you don't is a skill, and cancelling a meeting you don't need is not laziness but respect for everyone's time</w:t>
            </w:r>
          </w:p>
        </w:tc>
      </w:tr>
      <w:tr>
        <w:tc>
          <w:tcPr>
            <w:tcW w:type="dxa" w:w="400"/>
            <w:shd w:fill="F5F5F5" w:val="clear"/>
            <w:vAlign w:val="center"/>
          </w:tcPr>
          <w:p>
            <w:pPr>
              <w:spacing w:before="30" w:after="30"/>
            </w:pPr>
            <w:r>
              <w:rPr>
                <w:rFonts w:ascii="DM Sans" w:hAnsi="DM Sans" w:cs="DM Sans"/>
                <w:b w:val="0"/>
                <w:i w:val="0"/>
                <w:color w:val="050C2A"/>
                <w:sz w:val="20"/>
                <w:u w:val="none"/>
              </w:rPr>
              <w:t>13.06</w:t>
            </w:r>
          </w:p>
        </w:tc>
        <w:tc>
          <w:tcPr>
            <w:tcW w:type="dxa" w:w="895"/>
            <w:shd w:fill="F5F5F5" w:val="clear"/>
            <w:vAlign w:val="center"/>
          </w:tcPr>
          <w:p>
            <w:pPr>
              <w:spacing w:before="30" w:after="30"/>
            </w:pPr>
            <w:r>
              <w:rPr>
                <w:rFonts w:ascii="DM Sans" w:hAnsi="DM Sans" w:cs="DM Sans"/>
                <w:b w:val="0"/>
                <w:i w:val="0"/>
                <w:color w:val="050C2A"/>
                <w:sz w:val="20"/>
                <w:u w:val="none"/>
              </w:rPr>
              <w:t>Project Work</w:t>
            </w:r>
          </w:p>
        </w:tc>
        <w:tc>
          <w:tcPr>
            <w:tcW w:type="dxa" w:w="2104"/>
            <w:shd w:fill="F5F5F5" w:val="clear"/>
            <w:vAlign w:val="center"/>
          </w:tcPr>
          <w:p>
            <w:pPr>
              <w:spacing w:before="30" w:after="30"/>
            </w:pPr>
            <w:r>
              <w:rPr>
                <w:rFonts w:ascii="DM Sans" w:hAnsi="DM Sans" w:cs="DM Sans"/>
                <w:b w:val="0"/>
                <w:i w:val="0"/>
                <w:color w:val="050C2A"/>
                <w:sz w:val="20"/>
                <w:u w:val="none"/>
              </w:rPr>
              <w:t>Final revisions and deliverable assembly</w:t>
            </w:r>
          </w:p>
        </w:tc>
        <w:tc>
          <w:tcPr>
            <w:tcW w:type="dxa" w:w="474"/>
            <w:shd w:fill="F5F5F5" w:val="clear"/>
            <w:vAlign w:val="center"/>
          </w:tcPr>
          <w:p>
            <w:pPr>
              <w:spacing w:before="30" w:after="30"/>
            </w:pPr>
            <w:r>
              <w:rPr>
                <w:rFonts w:ascii="DM Sans" w:hAnsi="DM Sans" w:cs="DM Sans"/>
                <w:b w:val="0"/>
                <w:i w:val="0"/>
                <w:color w:val="050C2A"/>
                <w:sz w:val="20"/>
                <w:u w:val="none"/>
              </w:rPr>
              <w:t>Project</w:t>
            </w:r>
          </w:p>
        </w:tc>
        <w:tc>
          <w:tcPr>
            <w:tcW w:type="dxa" w:w="930"/>
            <w:shd w:fill="F5F5F5" w:val="clear"/>
            <w:vAlign w:val="center"/>
          </w:tcPr>
          <w:p>
            <w:pPr>
              <w:spacing w:before="30" w:after="30"/>
            </w:pPr>
            <w:r>
              <w:rPr>
                <w:rFonts w:ascii="DM Sans" w:hAnsi="DM Sans" w:cs="DM Sans"/>
                <w:b w:val="0"/>
                <w:i w:val="0"/>
                <w:color w:val="050C2A"/>
                <w:sz w:val="20"/>
                <w:u w:val="none"/>
              </w:rPr>
              <w:t>210</w:t>
            </w:r>
          </w:p>
        </w:tc>
        <w:tc>
          <w:tcPr>
            <w:tcW w:type="dxa" w:w="4557"/>
            <w:shd w:fill="F5F5F5" w:val="clear"/>
            <w:vAlign w:val="center"/>
          </w:tcPr>
          <w:p>
            <w:pPr>
              <w:spacing w:before="30" w:after="30"/>
            </w:pPr>
            <w:r>
              <w:rPr>
                <w:rFonts w:ascii="DM Sans" w:hAnsi="DM Sans" w:cs="DM Sans"/>
                <w:b w:val="0"/>
                <w:i w:val="0"/>
                <w:color w:val="050C2A"/>
                <w:sz w:val="20"/>
                <w:u w:val="none"/>
              </w:rPr>
              <w:t>Final production block — the largest activity this week; teams make any last adjustments, run through the Final Deliverable Checklist (13.02), and ensure all components are assembled: deliverable package, Change Log, and AI disclosure; if the Final Check-In was held (13.05), incorporate any last input — but per the lesson from 12.02, late-stage feedback should be triaged carefully, not incorporated wholesale; emphasis is on assembly and polish, not new content; teams that are still producing new content at this stage have a problem that 210 minutes won't solve</w:t>
            </w:r>
          </w:p>
        </w:tc>
      </w:tr>
      <w:tr>
        <w:tc>
          <w:tcPr>
            <w:tcW w:type="dxa" w:w="400"/>
            <w:vAlign w:val="center"/>
          </w:tcPr>
          <w:p>
            <w:pPr>
              <w:spacing w:before="30" w:after="30"/>
            </w:pPr>
            <w:r>
              <w:rPr>
                <w:rFonts w:ascii="DM Sans" w:hAnsi="DM Sans" w:cs="DM Sans"/>
                <w:b w:val="0"/>
                <w:i w:val="0"/>
                <w:color w:val="050C2A"/>
                <w:sz w:val="20"/>
                <w:u w:val="none"/>
              </w:rPr>
              <w:t>13.07</w:t>
            </w:r>
          </w:p>
        </w:tc>
        <w:tc>
          <w:tcPr>
            <w:tcW w:type="dxa" w:w="895"/>
            <w:vAlign w:val="center"/>
          </w:tcPr>
          <w:p>
            <w:pPr>
              <w:spacing w:before="30" w:after="30"/>
            </w:pPr>
            <w:r>
              <w:rPr>
                <w:rFonts w:ascii="DM Sans" w:hAnsi="DM Sans" w:cs="DM Sans"/>
                <w:b w:val="0"/>
                <w:i w:val="0"/>
                <w:color w:val="050C2A"/>
                <w:sz w:val="20"/>
                <w:u w:val="none"/>
              </w:rPr>
              <w:t>Project Work</w:t>
            </w:r>
          </w:p>
        </w:tc>
        <w:tc>
          <w:tcPr>
            <w:tcW w:type="dxa" w:w="2104"/>
            <w:vAlign w:val="center"/>
          </w:tcPr>
          <w:p>
            <w:pPr>
              <w:spacing w:before="30" w:after="30"/>
            </w:pPr>
            <w:r>
              <w:rPr>
                <w:rFonts w:ascii="DM Sans" w:hAnsi="DM Sans" w:cs="DM Sans"/>
                <w:b w:val="0"/>
                <w:i w:val="0"/>
                <w:color w:val="050C2A"/>
                <w:sz w:val="20"/>
                <w:u w:val="none"/>
              </w:rPr>
              <w:t>Internal review gate — final end-to-end read before submission</w:t>
            </w:r>
          </w:p>
        </w:tc>
        <w:tc>
          <w:tcPr>
            <w:tcW w:type="dxa" w:w="474"/>
            <w:vAlign w:val="center"/>
          </w:tcPr>
          <w:p>
            <w:pPr>
              <w:spacing w:before="30" w:after="30"/>
            </w:pPr>
            <w:r>
              <w:rPr>
                <w:rFonts w:ascii="DM Sans" w:hAnsi="DM Sans" w:cs="DM Sans"/>
                <w:b w:val="0"/>
                <w:i w:val="0"/>
                <w:color w:val="050C2A"/>
                <w:sz w:val="20"/>
                <w:u w:val="none"/>
              </w:rPr>
              <w:t>Project</w:t>
            </w:r>
          </w:p>
        </w:tc>
        <w:tc>
          <w:tcPr>
            <w:tcW w:type="dxa" w:w="930"/>
            <w:vAlign w:val="center"/>
          </w:tcPr>
          <w:p>
            <w:pPr>
              <w:spacing w:before="30" w:after="30"/>
            </w:pPr>
            <w:r>
              <w:rPr>
                <w:rFonts w:ascii="DM Sans" w:hAnsi="DM Sans" w:cs="DM Sans"/>
                <w:b w:val="0"/>
                <w:i w:val="0"/>
                <w:color w:val="050C2A"/>
                <w:sz w:val="20"/>
                <w:u w:val="none"/>
              </w:rPr>
              <w:t>30</w:t>
            </w:r>
          </w:p>
        </w:tc>
        <w:tc>
          <w:tcPr>
            <w:tcW w:type="dxa" w:w="4557"/>
            <w:vAlign w:val="center"/>
          </w:tcPr>
          <w:p>
            <w:pPr>
              <w:spacing w:before="30" w:after="30"/>
            </w:pPr>
            <w:r>
              <w:rPr>
                <w:rFonts w:ascii="DM Sans" w:hAnsi="DM Sans" w:cs="DM Sans"/>
                <w:b w:val="0"/>
                <w:i w:val="0"/>
                <w:color w:val="050C2A"/>
                <w:sz w:val="20"/>
                <w:u w:val="none"/>
              </w:rPr>
              <w:t>Fourth and final instance of the internal review gate (introduced 9.07, repeated 10.07 and 11.07); last quality check before the highest-stakes submission of the course; teams read the complete package one final time with the rubric in hand; this is not a revision session — it's a read-through to catch anything that slipped through; at this point, the gate should confirm what the team already knows: the work is ready</w:t>
            </w:r>
          </w:p>
        </w:tc>
      </w:tr>
      <w:tr>
        <w:tc>
          <w:tcPr>
            <w:tcW w:type="dxa" w:w="400"/>
            <w:shd w:fill="F5F5F5" w:val="clear"/>
            <w:vAlign w:val="center"/>
          </w:tcPr>
          <w:p>
            <w:pPr>
              <w:spacing w:before="30" w:after="30"/>
            </w:pPr>
            <w:r>
              <w:rPr>
                <w:rFonts w:ascii="DM Sans" w:hAnsi="DM Sans" w:cs="DM Sans"/>
                <w:b w:val="0"/>
                <w:i w:val="0"/>
                <w:color w:val="050C2A"/>
                <w:sz w:val="20"/>
                <w:u w:val="none"/>
              </w:rPr>
              <w:t>13.08</w:t>
            </w:r>
          </w:p>
        </w:tc>
        <w:tc>
          <w:tcPr>
            <w:tcW w:type="dxa" w:w="895"/>
            <w:shd w:fill="F5F5F5" w:val="clear"/>
            <w:vAlign w:val="center"/>
          </w:tcPr>
          <w:p>
            <w:pPr>
              <w:spacing w:before="30" w:after="30"/>
            </w:pPr>
            <w:r>
              <w:rPr>
                <w:rFonts w:ascii="DM Sans" w:hAnsi="DM Sans" w:cs="DM Sans"/>
                <w:b w:val="0"/>
                <w:i w:val="0"/>
                <w:color w:val="050C2A"/>
                <w:sz w:val="20"/>
                <w:u w:val="none"/>
              </w:rPr>
              <w:t>Reflection &amp; Assessment</w:t>
            </w:r>
          </w:p>
        </w:tc>
        <w:tc>
          <w:tcPr>
            <w:tcW w:type="dxa" w:w="2104"/>
            <w:shd w:fill="F5F5F5" w:val="clear"/>
            <w:vAlign w:val="center"/>
          </w:tcPr>
          <w:p>
            <w:pPr>
              <w:spacing w:before="30" w:after="30"/>
            </w:pPr>
            <w:r>
              <w:rPr>
                <w:rFonts w:ascii="DM Sans" w:hAnsi="DM Sans" w:cs="DM Sans"/>
                <w:b w:val="0"/>
                <w:i w:val="0"/>
                <w:color w:val="050C2A"/>
                <w:sz w:val="20"/>
                <w:u w:val="none"/>
              </w:rPr>
              <w:t>Finalize and submit Final Deliverables (graded)</w:t>
            </w:r>
          </w:p>
        </w:tc>
        <w:tc>
          <w:tcPr>
            <w:tcW w:type="dxa" w:w="474"/>
            <w:shd w:fill="F5F5F5" w:val="clear"/>
            <w:vAlign w:val="center"/>
          </w:tcPr>
          <w:p>
            <w:pPr>
              <w:spacing w:before="30" w:after="30"/>
            </w:pPr>
            <w:r>
              <w:rPr>
                <w:rFonts w:ascii="DM Sans" w:hAnsi="DM Sans" w:cs="DM Sans"/>
                <w:b w:val="0"/>
                <w:i w:val="0"/>
                <w:color w:val="050C2A"/>
                <w:sz w:val="20"/>
                <w:u w:val="none"/>
              </w:rPr>
              <w:t>Project</w:t>
            </w:r>
          </w:p>
        </w:tc>
        <w:tc>
          <w:tcPr>
            <w:tcW w:type="dxa" w:w="930"/>
            <w:shd w:fill="F5F5F5" w:val="clear"/>
            <w:vAlign w:val="center"/>
          </w:tcPr>
          <w:p>
            <w:pPr>
              <w:spacing w:before="30" w:after="30"/>
            </w:pPr>
            <w:r>
              <w:rPr>
                <w:rFonts w:ascii="DM Sans" w:hAnsi="DM Sans" w:cs="DM Sans"/>
                <w:b w:val="0"/>
                <w:i w:val="0"/>
                <w:color w:val="050C2A"/>
                <w:sz w:val="20"/>
                <w:u w:val="none"/>
              </w:rPr>
              <w:t>45</w:t>
            </w:r>
          </w:p>
        </w:tc>
        <w:tc>
          <w:tcPr>
            <w:tcW w:type="dxa" w:w="4557"/>
            <w:shd w:fill="F5F5F5" w:val="clear"/>
            <w:vAlign w:val="center"/>
          </w:tcPr>
          <w:p>
            <w:pPr>
              <w:spacing w:before="30" w:after="30"/>
            </w:pPr>
            <w:r>
              <w:rPr>
                <w:rFonts w:ascii="DM Sans" w:hAnsi="DM Sans" w:cs="DM Sans"/>
                <w:b w:val="0"/>
                <w:i w:val="0"/>
                <w:color w:val="050C2A"/>
                <w:sz w:val="20"/>
                <w:u w:val="none"/>
              </w:rPr>
              <w:t>Team submits the complete deliverable package: all deliverable components, Change Log, and AI disclosure; rubric-based grading across five dimensions (Deliverable Quality 30%, Analytical Rigor 25%, Actionability 20%, Communication 15%, Responsiveness to Feedback 10%); this is 30% of the course grade — the single highest-weighted submission in the course; 45 minutes accounts for final formatting checks, upload, and team confirmation that the submitted version is correct; the Change Log is required — without it, the Responsiveness to Feedback dimension (10%) scores as "Not Submitted" (0%)</w:t>
            </w:r>
          </w:p>
        </w:tc>
      </w:tr>
      <w:tr>
        <w:tc>
          <w:tcPr>
            <w:tcW w:type="dxa" w:w="400"/>
            <w:vAlign w:val="center"/>
          </w:tcPr>
          <w:p>
            <w:pPr>
              <w:spacing w:before="30" w:after="30"/>
            </w:pPr>
            <w:r>
              <w:rPr>
                <w:rFonts w:ascii="DM Sans" w:hAnsi="DM Sans" w:cs="DM Sans"/>
                <w:b w:val="0"/>
                <w:i w:val="0"/>
                <w:color w:val="050C2A"/>
                <w:sz w:val="20"/>
                <w:u w:val="none"/>
              </w:rPr>
              <w:t>13.09</w:t>
            </w:r>
          </w:p>
        </w:tc>
        <w:tc>
          <w:tcPr>
            <w:tcW w:type="dxa" w:w="895"/>
            <w:vAlign w:val="center"/>
          </w:tcPr>
          <w:p>
            <w:pPr>
              <w:spacing w:before="30" w:after="30"/>
            </w:pPr>
            <w:r>
              <w:rPr>
                <w:rFonts w:ascii="DM Sans" w:hAnsi="DM Sans" w:cs="DM Sans"/>
                <w:b w:val="0"/>
                <w:i w:val="0"/>
                <w:color w:val="050C2A"/>
                <w:sz w:val="20"/>
                <w:u w:val="none"/>
              </w:rPr>
              <w:t>Reflection &amp; Assessment</w:t>
            </w:r>
          </w:p>
        </w:tc>
        <w:tc>
          <w:tcPr>
            <w:tcW w:type="dxa" w:w="2104"/>
            <w:vAlign w:val="center"/>
          </w:tcPr>
          <w:p>
            <w:pPr>
              <w:spacing w:before="30" w:after="30"/>
            </w:pPr>
            <w:r>
              <w:rPr>
                <w:rFonts w:ascii="DM Sans" w:hAnsi="DM Sans" w:cs="DM Sans"/>
                <w:b w:val="0"/>
                <w:i w:val="0"/>
                <w:color w:val="050C2A"/>
                <w:sz w:val="20"/>
                <w:u w:val="none"/>
              </w:rPr>
              <w:t>Preview Reflection #5 prompt and Peer Evaluation #2 instructions</w:t>
            </w:r>
          </w:p>
        </w:tc>
        <w:tc>
          <w:tcPr>
            <w:tcW w:type="dxa" w:w="474"/>
            <w:vAlign w:val="center"/>
          </w:tcPr>
          <w:p>
            <w:pPr>
              <w:spacing w:before="30" w:after="30"/>
            </w:pPr>
            <w:r>
              <w:rPr>
                <w:rFonts w:ascii="DM Sans" w:hAnsi="DM Sans" w:cs="DM Sans"/>
                <w:b w:val="0"/>
                <w:i w:val="0"/>
                <w:color w:val="050C2A"/>
                <w:sz w:val="20"/>
                <w:u w:val="none"/>
              </w:rPr>
              <w:t>Text</w:t>
            </w:r>
          </w:p>
        </w:tc>
        <w:tc>
          <w:tcPr>
            <w:tcW w:type="dxa" w:w="930"/>
            <w:vAlign w:val="center"/>
          </w:tcPr>
          <w:p>
            <w:pPr>
              <w:spacing w:before="30" w:after="30"/>
            </w:pPr>
            <w:r>
              <w:rPr>
                <w:rFonts w:ascii="DM Sans" w:hAnsi="DM Sans" w:cs="DM Sans"/>
                <w:b w:val="0"/>
                <w:i w:val="0"/>
                <w:color w:val="050C2A"/>
                <w:sz w:val="20"/>
                <w:u w:val="none"/>
              </w:rPr>
              <w:t>15</w:t>
            </w:r>
          </w:p>
        </w:tc>
        <w:tc>
          <w:tcPr>
            <w:tcW w:type="dxa" w:w="4557"/>
            <w:vAlign w:val="center"/>
          </w:tcPr>
          <w:p>
            <w:pPr>
              <w:spacing w:before="30" w:after="30"/>
            </w:pPr>
            <w:r>
              <w:rPr>
                <w:rFonts w:ascii="DM Sans" w:hAnsi="DM Sans" w:cs="DM Sans"/>
                <w:b w:val="0"/>
                <w:i w:val="0"/>
                <w:color w:val="050C2A"/>
                <w:sz w:val="20"/>
                <w:u w:val="none"/>
              </w:rPr>
              <w:t>Forward prep for Weeks 14–15; students read both the Reflection #5 prompt (the final DEAL reflection, examining the full course arc) and the Peer Evaluation #2 instructions (summative evaluation using the same BARS framework as Week 8); reading both now helps students begin noticing what they'll reflect on and start thinking about teammate contributions before the pressure of the final week; explicitly signals that starting early on both is encouraged — Week 14 provides dedicated time for both</w:t>
            </w:r>
          </w:p>
        </w:tc>
      </w:tr>
      <w:tr>
        <w:tc>
          <w:tcPr>
            <w:tcW w:type="dxa" w:w="400"/>
            <w:shd w:fill="F5F5F5" w:val="clear"/>
            <w:vAlign w:val="center"/>
          </w:tcPr>
          <w:p>
            <w:pPr>
              <w:spacing w:before="30" w:after="30"/>
            </w:pPr>
            <w:r>
              <w:rPr>
                <w:rFonts w:ascii="DM Sans" w:hAnsi="DM Sans" w:cs="DM Sans"/>
                <w:b w:val="0"/>
                <w:i w:val="0"/>
                <w:color w:val="050C2A"/>
                <w:sz w:val="20"/>
                <w:u w:val="none"/>
              </w:rPr>
              <w:t>13.10</w:t>
            </w:r>
          </w:p>
        </w:tc>
        <w:tc>
          <w:tcPr>
            <w:tcW w:type="dxa" w:w="895"/>
            <w:shd w:fill="F5F5F5" w:val="clear"/>
            <w:vAlign w:val="center"/>
          </w:tcPr>
          <w:p>
            <w:pPr>
              <w:spacing w:before="30" w:after="30"/>
            </w:pPr>
            <w:r>
              <w:rPr>
                <w:rFonts w:ascii="DM Sans" w:hAnsi="DM Sans" w:cs="DM Sans"/>
                <w:b w:val="0"/>
                <w:i w:val="0"/>
                <w:color w:val="050C2A"/>
                <w:sz w:val="20"/>
                <w:u w:val="none"/>
              </w:rPr>
              <w:t>Project Work</w:t>
            </w:r>
          </w:p>
        </w:tc>
        <w:tc>
          <w:tcPr>
            <w:tcW w:type="dxa" w:w="2104"/>
            <w:shd w:fill="F5F5F5" w:val="clear"/>
            <w:vAlign w:val="center"/>
          </w:tcPr>
          <w:p>
            <w:pPr>
              <w:spacing w:before="30" w:after="30"/>
            </w:pPr>
            <w:r>
              <w:rPr>
                <w:rFonts w:ascii="DM Sans" w:hAnsi="DM Sans" w:cs="DM Sans"/>
                <w:b w:val="0"/>
                <w:i w:val="0"/>
                <w:color w:val="050C2A"/>
                <w:sz w:val="20"/>
                <w:u w:val="none"/>
              </w:rPr>
              <w:t>Async team communication across the week</w:t>
            </w:r>
          </w:p>
        </w:tc>
        <w:tc>
          <w:tcPr>
            <w:tcW w:type="dxa" w:w="474"/>
            <w:shd w:fill="F5F5F5" w:val="clear"/>
            <w:vAlign w:val="center"/>
          </w:tcPr>
          <w:p>
            <w:pPr>
              <w:spacing w:before="30" w:after="30"/>
            </w:pPr>
            <w:r>
              <w:rPr>
                <w:rFonts w:ascii="DM Sans" w:hAnsi="DM Sans" w:cs="DM Sans"/>
                <w:b w:val="0"/>
                <w:i w:val="0"/>
                <w:color w:val="050C2A"/>
                <w:sz w:val="20"/>
                <w:u w:val="none"/>
              </w:rPr>
              <w:t>Project</w:t>
            </w:r>
          </w:p>
        </w:tc>
        <w:tc>
          <w:tcPr>
            <w:tcW w:type="dxa" w:w="930"/>
            <w:shd w:fill="F5F5F5" w:val="clear"/>
            <w:vAlign w:val="center"/>
          </w:tcPr>
          <w:p>
            <w:pPr>
              <w:spacing w:before="30" w:after="30"/>
            </w:pPr>
            <w:r>
              <w:rPr>
                <w:rFonts w:ascii="DM Sans" w:hAnsi="DM Sans" w:cs="DM Sans"/>
                <w:b w:val="0"/>
                <w:i w:val="0"/>
                <w:color w:val="050C2A"/>
                <w:sz w:val="20"/>
                <w:u w:val="none"/>
              </w:rPr>
              <w:t>45</w:t>
            </w:r>
          </w:p>
        </w:tc>
        <w:tc>
          <w:tcPr>
            <w:tcW w:type="dxa" w:w="4557"/>
            <w:shd w:fill="F5F5F5" w:val="clear"/>
            <w:vAlign w:val="center"/>
          </w:tcPr>
          <w:p>
            <w:pPr>
              <w:spacing w:before="30" w:after="30"/>
            </w:pPr>
            <w:r>
              <w:rPr>
                <w:rFonts w:ascii="DM Sans" w:hAnsi="DM Sans" w:cs="DM Sans"/>
                <w:b w:val="0"/>
                <w:i w:val="0"/>
                <w:color w:val="050C2A"/>
                <w:sz w:val="20"/>
                <w:u w:val="none"/>
              </w:rPr>
              <w:t>Coordination, logistics, check-ins outside structured activities; includes employer communication about Week 15 presentation logistics if the Final Check-In is cancelled (13.05); final week of Weekly Progress Check-In standing prompt (continues from Week 7); contribution record relevant to Peer Evaluation #2 in Week 15; 45 minutes maintained from Week 12 because coordination across deliverable finalization and employer communication about the presentation requires real time</w:t>
            </w:r>
          </w:p>
        </w:tc>
      </w:tr>
      <w:tr>
        <w:tc>
          <w:tcPr>
            <w:tcW w:type="dxa" w:w="400"/>
            <w:vAlign w:val="center"/>
          </w:tcPr>
          <w:p>
            <w:pPr>
              <w:spacing w:before="30" w:after="30"/>
            </w:pPr>
          </w:p>
        </w:tc>
        <w:tc>
          <w:tcPr>
            <w:tcW w:type="dxa" w:w="895"/>
            <w:vAlign w:val="center"/>
          </w:tcPr>
          <w:p>
            <w:pPr>
              <w:spacing w:before="30" w:after="30"/>
            </w:pPr>
          </w:p>
        </w:tc>
        <w:tc>
          <w:tcPr>
            <w:tcW w:type="dxa" w:w="2104"/>
            <w:vAlign w:val="center"/>
          </w:tcPr>
          <w:p>
            <w:pPr>
              <w:spacing w:before="30" w:after="30"/>
            </w:pPr>
            <w:r>
              <w:rPr>
                <w:rFonts w:ascii="DM Sans" w:hAnsi="DM Sans" w:cs="DM Sans"/>
                <w:b/>
                <w:i w:val="0"/>
                <w:color w:val="050C2A"/>
                <w:sz w:val="20"/>
                <w:u w:val="none"/>
              </w:rPr>
              <w:t>TOTAL</w:t>
            </w:r>
          </w:p>
        </w:tc>
        <w:tc>
          <w:tcPr>
            <w:tcW w:type="dxa" w:w="474"/>
            <w:vAlign w:val="center"/>
          </w:tcPr>
          <w:p>
            <w:pPr>
              <w:spacing w:before="30" w:after="30"/>
            </w:pPr>
          </w:p>
        </w:tc>
        <w:tc>
          <w:tcPr>
            <w:tcW w:type="dxa" w:w="930"/>
            <w:vAlign w:val="center"/>
          </w:tcPr>
          <w:p>
            <w:pPr>
              <w:spacing w:before="30" w:after="30"/>
            </w:pPr>
            <w:r>
              <w:rPr>
                <w:rFonts w:ascii="DM Sans" w:hAnsi="DM Sans" w:cs="DM Sans"/>
                <w:b/>
                <w:i w:val="0"/>
                <w:color w:val="050C2A"/>
                <w:sz w:val="20"/>
                <w:u w:val="none"/>
              </w:rPr>
              <w:t>460 min (~7 hrs 40 min)</w:t>
            </w:r>
          </w:p>
        </w:tc>
        <w:tc>
          <w:tcPr>
            <w:tcW w:type="dxa" w:w="4557"/>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413"/>
            <w:shd w:fill="FF7C0A" w:val="clear"/>
            <w:vAlign w:val="center"/>
          </w:tcPr>
          <w:p>
            <w:pPr>
              <w:jc w:val="left"/>
              <w:spacing w:before="40" w:after="40"/>
            </w:pPr>
            <w:r>
              <w:rPr>
                <w:rFonts w:ascii="DM Sans" w:hAnsi="DM Sans" w:cs="DM Sans"/>
                <w:b/>
                <w:i w:val="0"/>
                <w:color w:val="FFFFFF"/>
                <w:sz w:val="20"/>
                <w:u w:val="none"/>
              </w:rPr>
              <w:t>Competency Area</w:t>
            </w:r>
          </w:p>
        </w:tc>
        <w:tc>
          <w:tcPr>
            <w:tcW w:type="dxa" w:w="1413"/>
            <w:shd w:fill="FF7C0A" w:val="clear"/>
            <w:vAlign w:val="center"/>
          </w:tcPr>
          <w:p>
            <w:pPr>
              <w:jc w:val="left"/>
              <w:spacing w:before="40" w:after="40"/>
            </w:pPr>
            <w:r>
              <w:rPr>
                <w:rFonts w:ascii="DM Sans" w:hAnsi="DM Sans" w:cs="DM Sans"/>
                <w:b/>
                <w:i w:val="0"/>
                <w:color w:val="FFFFFF"/>
                <w:sz w:val="20"/>
                <w:u w:val="none"/>
              </w:rPr>
              <w:t>Subskill</w:t>
            </w:r>
          </w:p>
        </w:tc>
        <w:tc>
          <w:tcPr>
            <w:tcW w:type="dxa" w:w="6534"/>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413"/>
            <w:vAlign w:val="center"/>
          </w:tcPr>
          <w:p>
            <w:pPr>
              <w:spacing w:before="30" w:after="30"/>
            </w:pPr>
            <w:r>
              <w:rPr>
                <w:rFonts w:ascii="DM Sans" w:hAnsi="DM Sans" w:cs="DM Sans"/>
                <w:b/>
                <w:i w:val="0"/>
                <w:color w:val="050C2A"/>
                <w:sz w:val="20"/>
                <w:u w:val="none"/>
              </w:rPr>
              <w:t>Professionalism</w:t>
            </w:r>
          </w:p>
        </w:tc>
        <w:tc>
          <w:tcPr>
            <w:tcW w:type="dxa" w:w="1413"/>
            <w:vAlign w:val="center"/>
          </w:tcPr>
          <w:p>
            <w:pPr>
              <w:spacing w:before="30" w:after="30"/>
            </w:pPr>
            <w:r>
              <w:rPr>
                <w:rFonts w:ascii="DM Sans" w:hAnsi="DM Sans" w:cs="DM Sans"/>
                <w:b w:val="0"/>
                <w:i w:val="0"/>
                <w:color w:val="050C2A"/>
                <w:sz w:val="20"/>
                <w:u w:val="none"/>
              </w:rPr>
              <w:t>Quality &amp; Attention to Detail</w:t>
            </w:r>
          </w:p>
        </w:tc>
        <w:tc>
          <w:tcPr>
            <w:tcW w:type="dxa" w:w="6534"/>
            <w:vAlign w:val="center"/>
          </w:tcPr>
          <w:p>
            <w:pPr>
              <w:spacing w:before="30" w:after="30"/>
            </w:pPr>
            <w:r>
              <w:rPr>
                <w:rFonts w:ascii="DM Sans" w:hAnsi="DM Sans" w:cs="DM Sans"/>
                <w:b w:val="0"/>
                <w:i w:val="0"/>
                <w:color w:val="050C2A"/>
                <w:sz w:val="20"/>
                <w:u w:val="none"/>
              </w:rPr>
              <w:t>This is the culminating week for quality. Module 13.02 provides a concrete pre-submission checklist, but the real test is the internal review gate (13.07) and the submission itself (13.08). The deliverable package represents 12 weeks of work distilled into a professional document — formatting consistency, error-free prose, complete Change Log, and a package that reads as a coherent whole. Every quality-building activity since Week 7 leads to this moment: the self-review protocol (11.03), the "knowing when to stop" judgment (12.02), and the checklist approach (13.02) are all embedded in the final production block.</w:t>
            </w:r>
          </w:p>
        </w:tc>
      </w:tr>
      <w:tr>
        <w:tc>
          <w:tcPr>
            <w:tcW w:type="dxa" w:w="1413"/>
            <w:shd w:fill="F5F5F5" w:val="clear"/>
            <w:vAlign w:val="center"/>
          </w:tcPr>
          <w:p>
            <w:pPr>
              <w:spacing w:before="30" w:after="30"/>
            </w:pPr>
            <w:r>
              <w:rPr>
                <w:rFonts w:ascii="DM Sans" w:hAnsi="DM Sans" w:cs="DM Sans"/>
                <w:b/>
                <w:i w:val="0"/>
                <w:color w:val="050C2A"/>
                <w:sz w:val="20"/>
                <w:u w:val="none"/>
              </w:rPr>
              <w:t>Professionalism</w:t>
            </w:r>
          </w:p>
        </w:tc>
        <w:tc>
          <w:tcPr>
            <w:tcW w:type="dxa" w:w="1413"/>
            <w:shd w:fill="F5F5F5" w:val="clear"/>
            <w:vAlign w:val="center"/>
          </w:tcPr>
          <w:p>
            <w:pPr>
              <w:spacing w:before="30" w:after="30"/>
            </w:pPr>
            <w:r>
              <w:rPr>
                <w:rFonts w:ascii="DM Sans" w:hAnsi="DM Sans" w:cs="DM Sans"/>
                <w:b w:val="0"/>
                <w:i w:val="0"/>
                <w:color w:val="050C2A"/>
                <w:sz w:val="20"/>
                <w:u w:val="none"/>
              </w:rPr>
              <w:t>Initiative</w:t>
            </w:r>
          </w:p>
        </w:tc>
        <w:tc>
          <w:tcPr>
            <w:tcW w:type="dxa" w:w="6534"/>
            <w:shd w:fill="F5F5F5" w:val="clear"/>
            <w:vAlign w:val="center"/>
          </w:tcPr>
          <w:p>
            <w:pPr>
              <w:spacing w:before="30" w:after="30"/>
            </w:pPr>
            <w:r>
              <w:rPr>
                <w:rFonts w:ascii="DM Sans" w:hAnsi="DM Sans" w:cs="DM Sans"/>
                <w:b w:val="0"/>
                <w:i w:val="0"/>
                <w:color w:val="050C2A"/>
                <w:sz w:val="20"/>
                <w:u w:val="none"/>
              </w:rPr>
              <w:t>The Final Check-In decision (13.04, 13.05) is the clearest test of initiative in the Refinement phase. Teams must evaluate whether they have substantive remaining questions and make a deliberate choice — hold the meeting or cancel it. Cancelling a scheduled meeting because you genuinely don't need it is a harder professional move than showing up by default. Either way, the async communication about presentation logistics requires teams to take the initiative on coordination rather than waiting to be told what to do.</w:t>
            </w:r>
          </w:p>
        </w:tc>
      </w:tr>
      <w:tr>
        <w:tc>
          <w:tcPr>
            <w:tcW w:type="dxa" w:w="1413"/>
            <w:vAlign w:val="center"/>
          </w:tcPr>
          <w:p>
            <w:pPr>
              <w:spacing w:before="30" w:after="30"/>
            </w:pPr>
            <w:r>
              <w:rPr>
                <w:rFonts w:ascii="DM Sans" w:hAnsi="DM Sans" w:cs="DM Sans"/>
                <w:b/>
                <w:i w:val="0"/>
                <w:color w:val="050C2A"/>
                <w:sz w:val="20"/>
                <w:u w:val="none"/>
              </w:rPr>
              <w:t>Communication</w:t>
            </w:r>
          </w:p>
        </w:tc>
        <w:tc>
          <w:tcPr>
            <w:tcW w:type="dxa" w:w="1413"/>
            <w:vAlign w:val="center"/>
          </w:tcPr>
          <w:p>
            <w:pPr>
              <w:spacing w:before="30" w:after="30"/>
            </w:pPr>
            <w:r>
              <w:rPr>
                <w:rFonts w:ascii="DM Sans" w:hAnsi="DM Sans" w:cs="DM Sans"/>
                <w:b w:val="0"/>
                <w:i w:val="0"/>
                <w:color w:val="050C2A"/>
                <w:sz w:val="20"/>
                <w:u w:val="none"/>
              </w:rPr>
              <w:t>Professional Correspondence</w:t>
            </w:r>
          </w:p>
        </w:tc>
        <w:tc>
          <w:tcPr>
            <w:tcW w:type="dxa" w:w="6534"/>
            <w:vAlign w:val="center"/>
          </w:tcPr>
          <w:p>
            <w:pPr>
              <w:spacing w:before="30" w:after="30"/>
            </w:pPr>
            <w:r>
              <w:rPr>
                <w:rFonts w:ascii="DM Sans" w:hAnsi="DM Sans" w:cs="DM Sans"/>
                <w:b w:val="0"/>
                <w:i w:val="0"/>
                <w:color w:val="050C2A"/>
                <w:sz w:val="20"/>
                <w:u w:val="none"/>
              </w:rPr>
              <w:t>Whether the Final Check-In is held or cancelled, teams communicate with the employer about Week 15 presentation logistics. This is a different communication challenge than prior touchpoints — it's administrative and forward-looking, not feedback-seeking. Students must confirm format, timing, and attendees in a professional tone. If the meeting is cancelled, the communication also needs to convey that the team is on track without being dismissive of the employer's time.</w:t>
            </w:r>
          </w:p>
        </w:tc>
      </w:tr>
      <w:tr>
        <w:tc>
          <w:tcPr>
            <w:tcW w:type="dxa" w:w="1413"/>
            <w:shd w:fill="F5F5F5" w:val="clear"/>
            <w:vAlign w:val="center"/>
          </w:tcPr>
          <w:p>
            <w:pPr>
              <w:spacing w:before="30" w:after="30"/>
            </w:pPr>
            <w:r>
              <w:rPr>
                <w:rFonts w:ascii="DM Sans" w:hAnsi="DM Sans" w:cs="DM Sans"/>
                <w:b/>
                <w:i w:val="0"/>
                <w:color w:val="050C2A"/>
                <w:sz w:val="20"/>
                <w:u w:val="none"/>
              </w:rPr>
              <w:t>Communication</w:t>
            </w:r>
          </w:p>
        </w:tc>
        <w:tc>
          <w:tcPr>
            <w:tcW w:type="dxa" w:w="1413"/>
            <w:shd w:fill="F5F5F5" w:val="clear"/>
            <w:vAlign w:val="center"/>
          </w:tcPr>
          <w:p>
            <w:pPr>
              <w:spacing w:before="30" w:after="30"/>
            </w:pPr>
            <w:r>
              <w:rPr>
                <w:rFonts w:ascii="DM Sans" w:hAnsi="DM Sans" w:cs="DM Sans"/>
                <w:b w:val="0"/>
                <w:i w:val="0"/>
                <w:color w:val="050C2A"/>
                <w:sz w:val="20"/>
                <w:u w:val="none"/>
              </w:rPr>
              <w:t>Written Clarity</w:t>
            </w:r>
          </w:p>
        </w:tc>
        <w:tc>
          <w:tcPr>
            <w:tcW w:type="dxa" w:w="6534"/>
            <w:shd w:fill="F5F5F5" w:val="clear"/>
            <w:vAlign w:val="center"/>
          </w:tcPr>
          <w:p>
            <w:pPr>
              <w:spacing w:before="30" w:after="30"/>
            </w:pPr>
            <w:r>
              <w:rPr>
                <w:rFonts w:ascii="DM Sans" w:hAnsi="DM Sans" w:cs="DM Sans"/>
                <w:b w:val="0"/>
                <w:i w:val="0"/>
                <w:color w:val="050C2A"/>
                <w:sz w:val="20"/>
                <w:u w:val="none"/>
              </w:rPr>
              <w:t>The Final Deliverables submission is the highest-stakes written communication in the course. The Communication dimension (15% of the rubric) assesses whether the document is clearly organized, professionally written, and accessible to its intended audience. This is the summative site for all the written communication skill-building that began with the Context Analysis in Week 4 and developed through every production and revision block since.</w:t>
            </w:r>
          </w:p>
        </w:tc>
      </w:tr>
      <w:tr>
        <w:tc>
          <w:tcPr>
            <w:tcW w:type="dxa" w:w="1413"/>
            <w:vAlign w:val="center"/>
          </w:tcPr>
          <w:p>
            <w:pPr>
              <w:spacing w:before="30" w:after="30"/>
            </w:pPr>
            <w:r>
              <w:rPr>
                <w:rFonts w:ascii="DM Sans" w:hAnsi="DM Sans" w:cs="DM Sans"/>
                <w:b/>
                <w:i w:val="0"/>
                <w:color w:val="050C2A"/>
                <w:sz w:val="20"/>
                <w:u w:val="none"/>
              </w:rPr>
              <w:t>Career &amp; Self-Development</w:t>
            </w:r>
          </w:p>
        </w:tc>
        <w:tc>
          <w:tcPr>
            <w:tcW w:type="dxa" w:w="1413"/>
            <w:vAlign w:val="center"/>
          </w:tcPr>
          <w:p>
            <w:pPr>
              <w:spacing w:before="30" w:after="30"/>
            </w:pPr>
            <w:r>
              <w:rPr>
                <w:rFonts w:ascii="DM Sans" w:hAnsi="DM Sans" w:cs="DM Sans"/>
                <w:b w:val="0"/>
                <w:i w:val="0"/>
                <w:color w:val="050C2A"/>
                <w:sz w:val="20"/>
                <w:u w:val="none"/>
              </w:rPr>
              <w:t>Reflection</w:t>
            </w:r>
          </w:p>
        </w:tc>
        <w:tc>
          <w:tcPr>
            <w:tcW w:type="dxa" w:w="6534"/>
            <w:vAlign w:val="center"/>
          </w:tcPr>
          <w:p>
            <w:pPr>
              <w:spacing w:before="30" w:after="30"/>
            </w:pPr>
            <w:r>
              <w:rPr>
                <w:rFonts w:ascii="DM Sans" w:hAnsi="DM Sans" w:cs="DM Sans"/>
                <w:b w:val="0"/>
                <w:i w:val="0"/>
                <w:color w:val="050C2A"/>
                <w:sz w:val="20"/>
                <w:u w:val="none"/>
              </w:rPr>
              <w:t>The forward prep activity (13.09) is not a reflection itself but sets up the conditions for a strong Reflection #5. By previewing the prompt — which asks students to step back over the full course arc and identify the single most important thing they learned — students begin the noticing process while the project experience is still immediate. This is consistent with the course's approach to reflection scaffolding: give students the prompt before the experience it draws from is complete.</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Final Deliverables → Critical Thinking (Problem Framing, Research &amp; Analysis, Evidence-Based Reasoning) + Communication (Written Clarity) + Professionalism (Quality &amp; Attention to Detail, Feedback Reception)</w:t>
      </w:r>
    </w:p>
    <w:p>
      <w:pPr>
        <w:spacing w:before="0" w:after="120" w:line="276" w:lineRule="auto"/>
      </w:pPr>
      <w:r>
        <w:rPr>
          <w:rFonts w:ascii="DM Sans" w:hAnsi="DM Sans" w:cs="DM Sans"/>
          <w:b w:val="0"/>
          <w:i w:val="0"/>
          <w:color w:val="050C2A"/>
          <w:sz w:val="20"/>
          <w:u w:val="none"/>
        </w:rPr>
        <w:t>Graded; rubric-based. Team submission. Worth 30% of the course grade — the single highest-weighted submission. The Final Deliverables package includes all deliverable components specified in the project brief, a Change Log documenting the feedback received across employer touchpoints and draft reviews along with the team's response to each item, and an AI disclosure statement.</w:t>
      </w:r>
    </w:p>
    <w:p>
      <w:pPr>
        <w:spacing w:before="0" w:after="120" w:line="276" w:lineRule="auto"/>
      </w:pPr>
      <w:r>
        <w:rPr>
          <w:rFonts w:ascii="DM Sans" w:hAnsi="DM Sans" w:cs="DM Sans"/>
          <w:b w:val="0"/>
          <w:i w:val="0"/>
          <w:color w:val="050C2A"/>
          <w:sz w:val="20"/>
          <w:u w:val="none"/>
        </w:rPr>
        <w:t>The rubric assesses five dimensions: Deliverable Quality (30%) evaluates whether the work product meets the employer's needs and demonstrates understanding of the project scope. Analytical Rigor (25%) evaluates the quality of research, evidence, and reasoning that supports the deliverable's claims and recommendations. Actionability (20%) evaluates whether the recommendations are specific, feasible, and useful to the employer. Communication (15%) evaluates the clarity, organization, and professionalism of the written document. Responsiveness to Feedback (10%) evaluates the team's documented engagement with feedback across the project arc, assessed through the Change Log.</w:t>
      </w:r>
    </w:p>
    <w:p>
      <w:pPr>
        <w:spacing w:before="0" w:after="120" w:line="276" w:lineRule="auto"/>
      </w:pPr>
      <w:r>
        <w:rPr>
          <w:rFonts w:ascii="DM Sans" w:hAnsi="DM Sans" w:cs="DM Sans"/>
          <w:b w:val="0"/>
          <w:i w:val="0"/>
          <w:color w:val="050C2A"/>
          <w:sz w:val="20"/>
          <w:u w:val="none"/>
        </w:rPr>
        <w:t>The Change Log is required. Without it, the Responsiveness to Feedback dimension scores as "Not Submitted" (0%). The Change Log is assessed based on its documentation of the feedback cycle, not the evaluator's memory of check-ins.</w:t>
      </w:r>
    </w:p>
    <w:p>
      <w:pPr>
        <w:spacing w:before="0" w:after="120" w:line="276" w:lineRule="auto"/>
      </w:pPr>
      <w:r>
        <w:rPr>
          <w:rFonts w:ascii="DM Sans" w:hAnsi="DM Sans" w:cs="DM Sans"/>
          <w:b w:val="0"/>
          <w:i w:val="0"/>
          <w:color w:val="050C2A"/>
          <w:sz w:val="20"/>
          <w:u w:val="none"/>
        </w:rPr>
        <w:t>AI-assisted polish, editing, and quality review is permitted and encouraged at this stage — the substance of the deliverable package should reflect the team's own research, analysis, and recommendations built over the preceding weeks. AI disclosure required on submission.</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Production-oriented AI use from Week 8 onward continues through the final submission. At this stage, AI is most useful for the tasks that the Final Deliverable Checklist (13.02) describes: verifying formatting consistency across sections, checking that the document reads as a coherent whole rather than separately authored pieces, tightening prose, and catching errors that hide in plain sight after weeks of looking at the same material. Using AI to review the Change Log for completeness — checking that all substantive feedback items from employer touchpoints are documented with clear responses — is appropriate and encouraged.</w:t>
      </w:r>
    </w:p>
    <w:p>
      <w:pPr>
        <w:spacing w:before="0" w:after="120" w:line="276" w:lineRule="auto"/>
      </w:pPr>
      <w:r>
        <w:rPr>
          <w:rFonts w:ascii="DM Sans" w:hAnsi="DM Sans" w:cs="DM Sans"/>
          <w:b w:val="0"/>
          <w:i w:val="0"/>
          <w:color w:val="050C2A"/>
          <w:sz w:val="20"/>
          <w:u w:val="none"/>
        </w:rPr>
        <w:t>If the Final Check-In is held (13.05), using AI to quickly assess how last-minute feedback maps to the existing deliverable — where it aligns with work already done, where it suggests a targeted change, and where it represents scope that can't be addressed before submission — continues the triage framework from Week 12. This is a professional judgment aid, not a substitute for the judgment itself.</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No specific prohibitions beyond the standing course policy. The standing caution remains: AI-polished content that the team cannot explain or defend will surface in the Week 15 Final Presentation. Teams submitting AI-generated analysis or recommendations they haven't verified are creating a problem for themselves two weeks from now.</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AI disclosure required on the Final Deliverables submission.</w:t>
      </w:r>
    </w:p>
    <w:p>
      <w:pPr>
        <w:spacing w:before="0" w:after="120" w:line="276" w:lineRule="auto"/>
      </w:pPr>
      <w:r>
        <w:rPr>
          <w:rFonts w:ascii="DM Sans" w:hAnsi="DM Sans" w:cs="DM Sans"/>
          <w:b/>
          <w:i w:val="0"/>
          <w:color w:val="050C2A"/>
          <w:sz w:val="20"/>
          <w:u w:val="none"/>
        </w:rPr>
        <w:t>Prompt strategy reinforced:</w:t>
      </w:r>
      <w:r>
        <w:rPr>
          <w:rFonts w:ascii="DM Sans" w:hAnsi="DM Sans" w:cs="DM Sans"/>
          <w:b w:val="0"/>
          <w:i w:val="0"/>
          <w:color w:val="050C2A"/>
          <w:sz w:val="20"/>
          <w:u w:val="none"/>
        </w:rPr>
        <w:t xml:space="preserve"> The quality review application from Weeks 11–12 continues. Students use AI to evaluate their own work against the rubric dimensions — a final-pass review tool, not a content generator. The specific application is narrower than in previous weeks: students are checking, not creating.</w:t>
      </w:r>
    </w:p>
    <w:p>
      <w:pPr>
        <w:spacing w:before="280" w:after="100"/>
      </w:pPr>
      <w:r>
        <w:rPr>
          <w:rFonts w:ascii="DM Sans" w:hAnsi="DM Sans" w:cs="DM Sans"/>
          <w:b/>
          <w:i w:val="0"/>
          <w:color w:val="050C2A"/>
          <w:sz w:val="28"/>
          <w:u w:val="none"/>
        </w:rPr>
        <w:t>Design Decisions</w:t>
      </w:r>
    </w:p>
    <w:p>
      <w:pPr>
        <w:spacing w:before="0" w:after="120" w:line="276" w:lineRule="auto"/>
      </w:pPr>
      <w:r>
        <w:rPr>
          <w:rFonts w:ascii="DM Sans" w:hAnsi="DM Sans" w:cs="DM Sans"/>
          <w:b/>
          <w:i w:val="0"/>
          <w:color w:val="050C2A"/>
          <w:sz w:val="20"/>
          <w:u w:val="none"/>
        </w:rPr>
        <w:t>1. Module content is deliberately minimal.</w:t>
      </w:r>
      <w:r>
        <w:rPr>
          <w:rFonts w:ascii="DM Sans" w:hAnsi="DM Sans" w:cs="DM Sans"/>
          <w:b w:val="0"/>
          <w:i w:val="0"/>
          <w:color w:val="050C2A"/>
          <w:sz w:val="20"/>
          <w:u w:val="none"/>
        </w:rPr>
        <w:t xml:space="preserve"> Twenty minutes of module content is the lightest in the course. This reflects the design principle that students at this stage need time, not instruction. The checklist (13.02) is practical rather than conceptual — a tool students use, not a lesson students absorb. The mindset module (13.03) is included because the impulse to overhaul at the last minute is a real and predictable failure mode, and naming it explicitly is more useful than assuming students will resist it on their own.</w:t>
      </w:r>
    </w:p>
    <w:p>
      <w:pPr>
        <w:spacing w:before="0" w:after="120" w:line="276" w:lineRule="auto"/>
      </w:pPr>
      <w:r>
        <w:rPr>
          <w:rFonts w:ascii="DM Sans" w:hAnsi="DM Sans" w:cs="DM Sans"/>
          <w:b/>
          <w:i w:val="0"/>
          <w:color w:val="050C2A"/>
          <w:sz w:val="20"/>
          <w:u w:val="none"/>
        </w:rPr>
        <w:t>2. The Final Check-In is optional by design.</w:t>
      </w:r>
      <w:r>
        <w:rPr>
          <w:rFonts w:ascii="DM Sans" w:hAnsi="DM Sans" w:cs="DM Sans"/>
          <w:b w:val="0"/>
          <w:i w:val="0"/>
          <w:color w:val="050C2A"/>
          <w:sz w:val="20"/>
          <w:u w:val="none"/>
        </w:rPr>
        <w:t xml:space="preserve"> Unlike every other employer touchpoint in the course, the Final Check-In is structured as a hold that teams can and should cancel if they don't have substantive remaining questions. This is a deliberate design choice: by Week 13, teams that have engaged in the feedback cycle through Progress Reviews #1–3 and the Near-Final Review should have the information they need. Making the meeting optional tests whether teams can distinguish between needing input and needing reassurance — a professional judgment skill. The 60-minute hold ensures the time is available if needed without creating a default expectation that the meeting must happen.</w:t>
      </w:r>
    </w:p>
    <w:p>
      <w:pPr>
        <w:spacing w:before="0" w:after="120" w:line="276" w:lineRule="auto"/>
      </w:pPr>
      <w:r>
        <w:rPr>
          <w:rFonts w:ascii="DM Sans" w:hAnsi="DM Sans" w:cs="DM Sans"/>
          <w:b/>
          <w:i w:val="0"/>
          <w:color w:val="050C2A"/>
          <w:sz w:val="20"/>
          <w:u w:val="none"/>
        </w:rPr>
        <w:t>3. Async presentation logistics communication regardless of meeting status.</w:t>
      </w:r>
      <w:r>
        <w:rPr>
          <w:rFonts w:ascii="DM Sans" w:hAnsi="DM Sans" w:cs="DM Sans"/>
          <w:b w:val="0"/>
          <w:i w:val="0"/>
          <w:color w:val="050C2A"/>
          <w:sz w:val="20"/>
          <w:u w:val="none"/>
        </w:rPr>
        <w:t xml:space="preserve"> Whether or not the Final Check-In is held, teams must communicate with the employer about Week 15 presentation logistics. This ensures that the presentation planning in Week 14 has the information it needs (format, timing, attendees) and that the employer is not left waiting for coordination that doesn't come. Embedding this in both the team sync (13.04) and the async block (13.10) creates redundancy — the communication happens one way or another.</w:t>
      </w:r>
    </w:p>
    <w:p>
      <w:pPr>
        <w:spacing w:before="0" w:after="120" w:line="276" w:lineRule="auto"/>
      </w:pPr>
      <w:r>
        <w:rPr>
          <w:rFonts w:ascii="DM Sans" w:hAnsi="DM Sans" w:cs="DM Sans"/>
          <w:b/>
          <w:i w:val="0"/>
          <w:color w:val="050C2A"/>
          <w:sz w:val="20"/>
          <w:u w:val="none"/>
        </w:rPr>
        <w:t>4. Production block sized for assembly, not generation.</w:t>
      </w:r>
      <w:r>
        <w:rPr>
          <w:rFonts w:ascii="DM Sans" w:hAnsi="DM Sans" w:cs="DM Sans"/>
          <w:b w:val="0"/>
          <w:i w:val="0"/>
          <w:color w:val="050C2A"/>
          <w:sz w:val="20"/>
          <w:u w:val="none"/>
        </w:rPr>
        <w:t xml:space="preserve"> The 210-minute production block is substantial but scoped to final assembly and polish. Teams at this stage should be integrating completed components, running through the checklist, and making targeted fixes — not writing new sections or producing new analysis. The design doc names this explicitly: teams that are still producing new content at this stage have a problem that more time won't solve. The 210 minutes accounts for the reality that even "just polish" takes longer than expected when the package has been through 12 weeks of development.</w:t>
      </w:r>
    </w:p>
    <w:p>
      <w:pPr>
        <w:spacing w:before="0" w:after="120" w:line="276" w:lineRule="auto"/>
      </w:pPr>
      <w:r>
        <w:rPr>
          <w:rFonts w:ascii="DM Sans" w:hAnsi="DM Sans" w:cs="DM Sans"/>
          <w:b/>
          <w:i w:val="0"/>
          <w:color w:val="050C2A"/>
          <w:sz w:val="20"/>
          <w:u w:val="none"/>
        </w:rPr>
        <w:t>5. Internal review gate maintained for the fourth time.</w:t>
      </w:r>
      <w:r>
        <w:rPr>
          <w:rFonts w:ascii="DM Sans" w:hAnsi="DM Sans" w:cs="DM Sans"/>
          <w:b w:val="0"/>
          <w:i w:val="0"/>
          <w:color w:val="050C2A"/>
          <w:sz w:val="20"/>
          <w:u w:val="none"/>
        </w:rPr>
        <w:t xml:space="preserve"> The standing internal review gate pattern (introduced 9.07, repeated 10.07, 11.07) appears here in its final instance. By now the practice should be automatic — teams know what the gate is and how to use it. The note in the activity description reflects this: the gate at Week 13 should confirm what the team already knows rather than surfacing surprises. If it does surface surprises, that's a signal the earlier gates weren't used effectively.</w:t>
      </w:r>
    </w:p>
    <w:p>
      <w:pPr>
        <w:spacing w:before="0" w:after="120" w:line="276" w:lineRule="auto"/>
      </w:pPr>
      <w:r>
        <w:rPr>
          <w:rFonts w:ascii="DM Sans" w:hAnsi="DM Sans" w:cs="DM Sans"/>
          <w:b/>
          <w:i w:val="0"/>
          <w:color w:val="050C2A"/>
          <w:sz w:val="20"/>
          <w:u w:val="none"/>
        </w:rPr>
        <w:t>6. Forward prep creates a bridge to Weeks 14–15.</w:t>
      </w:r>
      <w:r>
        <w:rPr>
          <w:rFonts w:ascii="DM Sans" w:hAnsi="DM Sans" w:cs="DM Sans"/>
          <w:b w:val="0"/>
          <w:i w:val="0"/>
          <w:color w:val="050C2A"/>
          <w:sz w:val="20"/>
          <w:u w:val="none"/>
        </w:rPr>
        <w:t xml:space="preserve"> Previewing both the Reflection #5 prompt and Peer Evaluation #2 instructions in Week 13 — before the submission pressure of Week 15 — gives students lead time to begin the noticing that both tasks require. Reflection #5 asks students to look back over the full course arc, which is easier to do if they've been paying attention to what they're learning for the past two weeks rather than trying to reconstruct it under deadline pressure. Peer Evaluation #2 requires behavioral evidence about teammates, which students accumulate more effectively when they know what they'll be asked about. This is consistent with the course's just-in-time principle: giving students information at the point when it becomes useful.</w:t>
      </w:r>
    </w:p>
    <w:p>
      <w:pPr>
        <w:spacing w:before="0" w:after="120" w:line="276" w:lineRule="auto"/>
      </w:pPr>
      <w:r>
        <w:rPr>
          <w:rFonts w:ascii="DM Sans" w:hAnsi="DM Sans" w:cs="DM Sans"/>
          <w:b/>
          <w:i w:val="0"/>
          <w:color w:val="050C2A"/>
          <w:sz w:val="20"/>
          <w:u w:val="none"/>
        </w:rPr>
        <w:t>7. No Open Questions section.</w:t>
      </w:r>
      <w:r>
        <w:rPr>
          <w:rFonts w:ascii="DM Sans" w:hAnsi="DM Sans" w:cs="DM Sans"/>
          <w:b w:val="0"/>
          <w:i w:val="0"/>
          <w:color w:val="050C2A"/>
          <w:sz w:val="20"/>
          <w:u w:val="none"/>
        </w:rPr>
        <w:t xml:space="preserve"> Week 13 is a convergence week — the design decisions are settled, the submission structure is clear, and the remaining work is execution. Unlike earlier design docs where open questions flagged unresolved design or logistical decisions, there are no outstanding issues that would affect how students or instructors approach this week's activities.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