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0"/>
      </w:pPr>
      <w:r>
        <w:rPr>
          <w:rFonts w:ascii="DM Sans" w:hAnsi="DM Sans" w:cs="DM Sans"/>
          <w:b/>
          <w:i w:val="0"/>
          <w:color w:val="FF7C0A"/>
          <w:sz w:val="34"/>
          <w:u w:val="none"/>
        </w:rPr>
        <w:t>Week 14 — Preparing to Present and Looking Ahead</w:t>
      </w:r>
    </w:p>
    <w:p>
      <w:pPr>
        <w:spacing w:before="0" w:after="120" w:line="276" w:lineRule="auto"/>
      </w:pPr>
      <w:r>
        <w:rPr>
          <w:rFonts w:ascii="DM Sans" w:hAnsi="DM Sans" w:cs="DM Sans"/>
          <w:b/>
          <w:i w:val="0"/>
          <w:color w:val="050C2A"/>
          <w:sz w:val="20"/>
          <w:u w:val="none"/>
        </w:rPr>
        <w:t>RIIPEN CAREER CATALYST</w:t>
      </w:r>
      <w:r>
        <w:rPr>
          <w:rFonts w:ascii="DM Sans" w:hAnsi="DM Sans" w:cs="DM Sans"/>
          <w:b w:val="0"/>
          <w:i w:val="0"/>
          <w:color w:val="050C2A"/>
          <w:sz w:val="20"/>
          <w:u w:val="none"/>
        </w:rPr>
        <w:t xml:space="preserve"> | Weekly Design Document</w:t>
      </w:r>
    </w:p>
    <w:p>
      <w:pPr>
        <w:pBdr>
          <w:bottom w:val="single" w:sz="6" w:space="1" w:color="ACACAC"/>
        </w:pBdr>
        <w:spacing w:before="120" w:after="120"/>
      </w:pPr>
    </w:p>
    <w:p>
      <w:pPr>
        <w:spacing w:before="280" w:after="100"/>
      </w:pPr>
      <w:r>
        <w:rPr>
          <w:rFonts w:ascii="DM Sans" w:hAnsi="DM Sans" w:cs="DM Sans"/>
          <w:b/>
          <w:i w:val="0"/>
          <w:color w:val="050C2A"/>
          <w:sz w:val="28"/>
          <w:u w:val="none"/>
        </w:rPr>
        <w:t>At a Glance</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3162"/>
            <w:shd w:fill="FF7C0A" w:val="clear"/>
            <w:vAlign w:val="center"/>
          </w:tcPr>
          <w:p>
            <w:pPr>
              <w:jc w:val="left"/>
              <w:spacing w:before="40" w:after="40"/>
            </w:pPr>
            <w:r>
              <w:rPr>
                <w:rFonts w:ascii="DM Sans" w:hAnsi="DM Sans" w:cs="DM Sans"/>
                <w:b/>
                <w:i w:val="0"/>
                <w:color w:val="FFFFFF"/>
                <w:sz w:val="20"/>
                <w:u w:val="none"/>
              </w:rPr>
            </w:r>
          </w:p>
        </w:tc>
        <w:tc>
          <w:tcPr>
            <w:tcW w:type="dxa" w:w="6198"/>
            <w:shd w:fill="FF7C0A" w:val="clear"/>
            <w:vAlign w:val="center"/>
          </w:tcPr>
          <w:p>
            <w:pPr>
              <w:jc w:val="left"/>
              <w:spacing w:before="40" w:after="40"/>
            </w:pPr>
            <w:r>
              <w:rPr>
                <w:rFonts w:ascii="DM Sans" w:hAnsi="DM Sans" w:cs="DM Sans"/>
                <w:b/>
                <w:i w:val="0"/>
                <w:color w:val="FFFFFF"/>
                <w:sz w:val="20"/>
                <w:u w:val="none"/>
              </w:rPr>
            </w:r>
          </w:p>
        </w:tc>
      </w:tr>
      <w:tr>
        <w:tc>
          <w:tcPr>
            <w:tcW w:type="dxa" w:w="3162"/>
            <w:vAlign w:val="center"/>
          </w:tcPr>
          <w:p>
            <w:pPr>
              <w:spacing w:before="30" w:after="30"/>
            </w:pPr>
            <w:r>
              <w:rPr>
                <w:rFonts w:ascii="DM Sans" w:hAnsi="DM Sans" w:cs="DM Sans"/>
                <w:b/>
                <w:i w:val="0"/>
                <w:color w:val="050C2A"/>
                <w:sz w:val="20"/>
                <w:u w:val="none"/>
              </w:rPr>
              <w:t>Phase</w:t>
            </w:r>
          </w:p>
        </w:tc>
        <w:tc>
          <w:tcPr>
            <w:tcW w:type="dxa" w:w="6198"/>
            <w:vAlign w:val="center"/>
          </w:tcPr>
          <w:p>
            <w:pPr>
              <w:spacing w:before="30" w:after="30"/>
            </w:pPr>
            <w:r>
              <w:rPr>
                <w:rFonts w:ascii="DM Sans" w:hAnsi="DM Sans" w:cs="DM Sans"/>
                <w:b w:val="0"/>
                <w:i w:val="0"/>
                <w:color w:val="050C2A"/>
                <w:sz w:val="20"/>
                <w:u w:val="none"/>
              </w:rPr>
              <w:t>Integration</w:t>
            </w:r>
          </w:p>
        </w:tc>
      </w:tr>
      <w:tr>
        <w:tc>
          <w:tcPr>
            <w:tcW w:type="dxa" w:w="3162"/>
            <w:shd w:fill="F5F5F5" w:val="clear"/>
            <w:vAlign w:val="center"/>
          </w:tcPr>
          <w:p>
            <w:pPr>
              <w:spacing w:before="30" w:after="30"/>
            </w:pPr>
            <w:r>
              <w:rPr>
                <w:rFonts w:ascii="DM Sans" w:hAnsi="DM Sans" w:cs="DM Sans"/>
                <w:b/>
                <w:i w:val="0"/>
                <w:color w:val="050C2A"/>
                <w:sz w:val="20"/>
                <w:u w:val="none"/>
              </w:rPr>
              <w:t>Module Title</w:t>
            </w:r>
          </w:p>
        </w:tc>
        <w:tc>
          <w:tcPr>
            <w:tcW w:type="dxa" w:w="6198"/>
            <w:shd w:fill="F5F5F5" w:val="clear"/>
            <w:vAlign w:val="center"/>
          </w:tcPr>
          <w:p>
            <w:pPr>
              <w:spacing w:before="30" w:after="30"/>
            </w:pPr>
            <w:r>
              <w:rPr>
                <w:rFonts w:ascii="DM Sans" w:hAnsi="DM Sans" w:cs="DM Sans"/>
                <w:b w:val="0"/>
                <w:i w:val="0"/>
                <w:color w:val="050C2A"/>
                <w:sz w:val="20"/>
                <w:u w:val="none"/>
              </w:rPr>
              <w:t>Preparing to Present and Looking Ahead</w:t>
            </w:r>
          </w:p>
        </w:tc>
      </w:tr>
      <w:tr>
        <w:tc>
          <w:tcPr>
            <w:tcW w:type="dxa" w:w="3162"/>
            <w:vAlign w:val="center"/>
          </w:tcPr>
          <w:p>
            <w:pPr>
              <w:spacing w:before="30" w:after="30"/>
            </w:pPr>
            <w:r>
              <w:rPr>
                <w:rFonts w:ascii="DM Sans" w:hAnsi="DM Sans" w:cs="DM Sans"/>
                <w:b/>
                <w:i w:val="0"/>
                <w:color w:val="050C2A"/>
                <w:sz w:val="20"/>
                <w:u w:val="none"/>
              </w:rPr>
              <w:t>Primary Function</w:t>
            </w:r>
          </w:p>
        </w:tc>
        <w:tc>
          <w:tcPr>
            <w:tcW w:type="dxa" w:w="6198"/>
            <w:vAlign w:val="center"/>
          </w:tcPr>
          <w:p>
            <w:pPr>
              <w:spacing w:before="30" w:after="30"/>
            </w:pPr>
            <w:r>
              <w:rPr>
                <w:rFonts w:ascii="DM Sans" w:hAnsi="DM Sans" w:cs="DM Sans"/>
                <w:b w:val="0"/>
                <w:i w:val="0"/>
                <w:color w:val="050C2A"/>
                <w:sz w:val="20"/>
                <w:u w:val="none"/>
              </w:rPr>
              <w:t>Presentation build + rehearsal + transfer framework + begin Reflection #5 and Peer Evaluation #2</w:t>
            </w:r>
          </w:p>
        </w:tc>
      </w:tr>
      <w:tr>
        <w:tc>
          <w:tcPr>
            <w:tcW w:type="dxa" w:w="3162"/>
            <w:shd w:fill="F5F5F5" w:val="clear"/>
            <w:vAlign w:val="center"/>
          </w:tcPr>
          <w:p>
            <w:pPr>
              <w:spacing w:before="30" w:after="30"/>
            </w:pPr>
            <w:r>
              <w:rPr>
                <w:rFonts w:ascii="DM Sans" w:hAnsi="DM Sans" w:cs="DM Sans"/>
                <w:b/>
                <w:i w:val="0"/>
                <w:color w:val="050C2A"/>
                <w:sz w:val="20"/>
                <w:u w:val="none"/>
              </w:rPr>
              <w:t>Total Student Time</w:t>
            </w:r>
          </w:p>
        </w:tc>
        <w:tc>
          <w:tcPr>
            <w:tcW w:type="dxa" w:w="6198"/>
            <w:shd w:fill="F5F5F5" w:val="clear"/>
            <w:vAlign w:val="center"/>
          </w:tcPr>
          <w:p>
            <w:pPr>
              <w:spacing w:before="30" w:after="30"/>
            </w:pPr>
            <w:r>
              <w:rPr>
                <w:rFonts w:ascii="DM Sans" w:hAnsi="DM Sans" w:cs="DM Sans"/>
                <w:b w:val="0"/>
                <w:i w:val="0"/>
                <w:color w:val="050C2A"/>
                <w:sz w:val="20"/>
                <w:u w:val="none"/>
              </w:rPr>
              <w:t>485 min (~8 hrs 5 min)</w:t>
            </w:r>
          </w:p>
        </w:tc>
      </w:tr>
      <w:tr>
        <w:tc>
          <w:tcPr>
            <w:tcW w:type="dxa" w:w="3162"/>
            <w:vAlign w:val="center"/>
          </w:tcPr>
          <w:p>
            <w:pPr>
              <w:spacing w:before="30" w:after="30"/>
            </w:pPr>
            <w:r>
              <w:rPr>
                <w:rFonts w:ascii="DM Sans" w:hAnsi="DM Sans" w:cs="DM Sans"/>
                <w:b/>
                <w:i w:val="0"/>
                <w:color w:val="050C2A"/>
                <w:sz w:val="20"/>
                <w:u w:val="none"/>
              </w:rPr>
              <w:t>Deliverable This Week</w:t>
            </w:r>
          </w:p>
        </w:tc>
        <w:tc>
          <w:tcPr>
            <w:tcW w:type="dxa" w:w="6198"/>
            <w:vAlign w:val="center"/>
          </w:tcPr>
          <w:p>
            <w:pPr>
              <w:spacing w:before="30" w:after="30"/>
            </w:pPr>
            <w:r>
              <w:rPr>
                <w:rFonts w:ascii="DM Sans" w:hAnsi="DM Sans" w:cs="DM Sans"/>
                <w:b w:val="0"/>
                <w:i w:val="0"/>
                <w:color w:val="050C2A"/>
                <w:sz w:val="20"/>
                <w:u w:val="none"/>
              </w:rPr>
              <w:t>Presentation Outline (Checkpoint — team submission)</w:t>
            </w:r>
          </w:p>
        </w:tc>
      </w:tr>
    </w:tbl>
    <w:p>
      <w:pPr>
        <w:spacing w:before="0" w:after="120"/>
      </w:pPr>
    </w:p>
    <w:p>
      <w:pPr>
        <w:spacing w:before="280" w:after="100"/>
      </w:pPr>
      <w:r>
        <w:rPr>
          <w:rFonts w:ascii="DM Sans" w:hAnsi="DM Sans" w:cs="DM Sans"/>
          <w:b/>
          <w:i w:val="0"/>
          <w:color w:val="050C2A"/>
          <w:sz w:val="28"/>
          <w:u w:val="none"/>
        </w:rPr>
        <w:t>Learning Objectives</w:t>
      </w:r>
    </w:p>
    <w:p>
      <w:pPr>
        <w:spacing w:before="0" w:after="120" w:line="276" w:lineRule="auto"/>
      </w:pPr>
      <w:r>
        <w:rPr>
          <w:rFonts w:ascii="DM Sans" w:hAnsi="DM Sans" w:cs="DM Sans"/>
          <w:b w:val="0"/>
          <w:i w:val="0"/>
          <w:color w:val="050C2A"/>
          <w:sz w:val="20"/>
          <w:u w:val="none"/>
        </w:rPr>
        <w:t>By the end of Week 14, students will be able to:</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823"/>
            <w:shd w:fill="FF7C0A" w:val="clear"/>
            <w:vAlign w:val="center"/>
          </w:tcPr>
          <w:p>
            <w:pPr>
              <w:jc w:val="left"/>
              <w:spacing w:before="40" w:after="40"/>
            </w:pPr>
            <w:r>
              <w:rPr>
                <w:rFonts w:ascii="DM Sans" w:hAnsi="DM Sans" w:cs="DM Sans"/>
                <w:b/>
                <w:i w:val="0"/>
                <w:color w:val="FFFFFF"/>
                <w:sz w:val="20"/>
                <w:u w:val="none"/>
              </w:rPr>
              <w:t>#</w:t>
            </w:r>
          </w:p>
        </w:tc>
        <w:tc>
          <w:tcPr>
            <w:tcW w:type="dxa" w:w="5102"/>
            <w:shd w:fill="FF7C0A" w:val="clear"/>
            <w:vAlign w:val="center"/>
          </w:tcPr>
          <w:p>
            <w:pPr>
              <w:jc w:val="left"/>
              <w:spacing w:before="40" w:after="40"/>
            </w:pPr>
            <w:r>
              <w:rPr>
                <w:rFonts w:ascii="DM Sans" w:hAnsi="DM Sans" w:cs="DM Sans"/>
                <w:b/>
                <w:i w:val="0"/>
                <w:color w:val="FFFFFF"/>
                <w:sz w:val="20"/>
                <w:u w:val="none"/>
              </w:rPr>
              <w:t>Objective</w:t>
            </w:r>
          </w:p>
        </w:tc>
        <w:tc>
          <w:tcPr>
            <w:tcW w:type="dxa" w:w="3435"/>
            <w:shd w:fill="FF7C0A" w:val="clear"/>
            <w:vAlign w:val="center"/>
          </w:tcPr>
          <w:p>
            <w:pPr>
              <w:jc w:val="left"/>
              <w:spacing w:before="40" w:after="40"/>
            </w:pPr>
            <w:r>
              <w:rPr>
                <w:rFonts w:ascii="DM Sans" w:hAnsi="DM Sans" w:cs="DM Sans"/>
                <w:b/>
                <w:i w:val="0"/>
                <w:color w:val="FFFFFF"/>
                <w:sz w:val="20"/>
                <w:u w:val="none"/>
              </w:rPr>
              <w:t>Competency</w:t>
            </w:r>
          </w:p>
        </w:tc>
      </w:tr>
      <w:tr>
        <w:tc>
          <w:tcPr>
            <w:tcW w:type="dxa" w:w="823"/>
            <w:vAlign w:val="center"/>
          </w:tcPr>
          <w:p>
            <w:pPr>
              <w:spacing w:before="30" w:after="30"/>
            </w:pPr>
            <w:r>
              <w:rPr>
                <w:rFonts w:ascii="DM Sans" w:hAnsi="DM Sans" w:cs="DM Sans"/>
                <w:b/>
                <w:i w:val="0"/>
                <w:color w:val="050C2A"/>
                <w:sz w:val="20"/>
                <w:u w:val="none"/>
              </w:rPr>
              <w:t>1</w:t>
            </w:r>
          </w:p>
        </w:tc>
        <w:tc>
          <w:tcPr>
            <w:tcW w:type="dxa" w:w="5102"/>
            <w:vAlign w:val="center"/>
          </w:tcPr>
          <w:p>
            <w:pPr>
              <w:spacing w:before="30" w:after="30"/>
            </w:pPr>
            <w:r>
              <w:rPr>
                <w:rFonts w:ascii="DM Sans" w:hAnsi="DM Sans" w:cs="DM Sans"/>
                <w:b w:val="0"/>
                <w:i w:val="0"/>
                <w:color w:val="050C2A"/>
                <w:sz w:val="20"/>
                <w:u w:val="none"/>
              </w:rPr>
              <w:t>Plan and build a team presentation that translates deliverable content into a narrative structure appropriate for an employer audience, with clear role assignments and coordinated transitions.</w:t>
            </w:r>
          </w:p>
        </w:tc>
        <w:tc>
          <w:tcPr>
            <w:tcW w:type="dxa" w:w="3435"/>
            <w:vAlign w:val="center"/>
          </w:tcPr>
          <w:p>
            <w:pPr>
              <w:spacing w:before="30" w:after="30"/>
            </w:pPr>
            <w:r>
              <w:rPr>
                <w:rFonts w:ascii="DM Sans" w:hAnsi="DM Sans" w:cs="DM Sans"/>
                <w:b w:val="0"/>
                <w:i w:val="0"/>
                <w:color w:val="050C2A"/>
                <w:sz w:val="20"/>
                <w:u w:val="none"/>
              </w:rPr>
              <w:t>Communication → Oral Presentation</w:t>
            </w:r>
          </w:p>
        </w:tc>
      </w:tr>
      <w:tr>
        <w:tc>
          <w:tcPr>
            <w:tcW w:type="dxa" w:w="823"/>
            <w:shd w:fill="F5F5F5" w:val="clear"/>
            <w:vAlign w:val="center"/>
          </w:tcPr>
          <w:p>
            <w:pPr>
              <w:spacing w:before="30" w:after="30"/>
            </w:pPr>
            <w:r>
              <w:rPr>
                <w:rFonts w:ascii="DM Sans" w:hAnsi="DM Sans" w:cs="DM Sans"/>
                <w:b/>
                <w:i w:val="0"/>
                <w:color w:val="050C2A"/>
                <w:sz w:val="20"/>
                <w:u w:val="none"/>
              </w:rPr>
              <w:t>2</w:t>
            </w:r>
          </w:p>
        </w:tc>
        <w:tc>
          <w:tcPr>
            <w:tcW w:type="dxa" w:w="5102"/>
            <w:shd w:fill="F5F5F5" w:val="clear"/>
            <w:vAlign w:val="center"/>
          </w:tcPr>
          <w:p>
            <w:pPr>
              <w:spacing w:before="30" w:after="30"/>
            </w:pPr>
            <w:r>
              <w:rPr>
                <w:rFonts w:ascii="DM Sans" w:hAnsi="DM Sans" w:cs="DM Sans"/>
                <w:b w:val="0"/>
                <w:i w:val="0"/>
                <w:color w:val="050C2A"/>
                <w:sz w:val="20"/>
                <w:u w:val="none"/>
              </w:rPr>
              <w:t>Anticipate and prepare for audience questions, including questions the team cannot fully answer, by developing strategies for responding under pressure without fabricating or deflecting.</w:t>
            </w:r>
          </w:p>
        </w:tc>
        <w:tc>
          <w:tcPr>
            <w:tcW w:type="dxa" w:w="3435"/>
            <w:shd w:fill="F5F5F5" w:val="clear"/>
            <w:vAlign w:val="center"/>
          </w:tcPr>
          <w:p>
            <w:pPr>
              <w:spacing w:before="30" w:after="30"/>
            </w:pPr>
            <w:r>
              <w:rPr>
                <w:rFonts w:ascii="DM Sans" w:hAnsi="DM Sans" w:cs="DM Sans"/>
                <w:b w:val="0"/>
                <w:i w:val="0"/>
                <w:color w:val="050C2A"/>
                <w:sz w:val="20"/>
                <w:u w:val="none"/>
              </w:rPr>
              <w:t>Communication → Active Listening; Professionalism → Initiative</w:t>
            </w:r>
          </w:p>
        </w:tc>
      </w:tr>
      <w:tr>
        <w:tc>
          <w:tcPr>
            <w:tcW w:type="dxa" w:w="823"/>
            <w:vAlign w:val="center"/>
          </w:tcPr>
          <w:p>
            <w:pPr>
              <w:spacing w:before="30" w:after="30"/>
            </w:pPr>
            <w:r>
              <w:rPr>
                <w:rFonts w:ascii="DM Sans" w:hAnsi="DM Sans" w:cs="DM Sans"/>
                <w:b/>
                <w:i w:val="0"/>
                <w:color w:val="050C2A"/>
                <w:sz w:val="20"/>
                <w:u w:val="none"/>
              </w:rPr>
              <w:t>3</w:t>
            </w:r>
          </w:p>
        </w:tc>
        <w:tc>
          <w:tcPr>
            <w:tcW w:type="dxa" w:w="5102"/>
            <w:vAlign w:val="center"/>
          </w:tcPr>
          <w:p>
            <w:pPr>
              <w:spacing w:before="30" w:after="30"/>
            </w:pPr>
            <w:r>
              <w:rPr>
                <w:rFonts w:ascii="DM Sans" w:hAnsi="DM Sans" w:cs="DM Sans"/>
                <w:b w:val="0"/>
                <w:i w:val="0"/>
                <w:color w:val="050C2A"/>
                <w:sz w:val="20"/>
                <w:u w:val="none"/>
              </w:rPr>
              <w:t>Extract transferable professional principles from the project experience, distinguishing between project-specific knowledge and insight that applies to future professional contexts.</w:t>
            </w:r>
          </w:p>
        </w:tc>
        <w:tc>
          <w:tcPr>
            <w:tcW w:type="dxa" w:w="3435"/>
            <w:vAlign w:val="center"/>
          </w:tcPr>
          <w:p>
            <w:pPr>
              <w:spacing w:before="30" w:after="30"/>
            </w:pPr>
            <w:r>
              <w:rPr>
                <w:rFonts w:ascii="DM Sans" w:hAnsi="DM Sans" w:cs="DM Sans"/>
                <w:b w:val="0"/>
                <w:i w:val="0"/>
                <w:color w:val="050C2A"/>
                <w:sz w:val="20"/>
                <w:u w:val="none"/>
              </w:rPr>
              <w:t>Career &amp; Self-Development → Reflection; Career &amp; Self-Development → Career Articulation</w:t>
            </w:r>
          </w:p>
        </w:tc>
      </w:tr>
      <w:tr>
        <w:tc>
          <w:tcPr>
            <w:tcW w:type="dxa" w:w="823"/>
            <w:shd w:fill="F5F5F5" w:val="clear"/>
            <w:vAlign w:val="center"/>
          </w:tcPr>
          <w:p>
            <w:pPr>
              <w:spacing w:before="30" w:after="30"/>
            </w:pPr>
            <w:r>
              <w:rPr>
                <w:rFonts w:ascii="DM Sans" w:hAnsi="DM Sans" w:cs="DM Sans"/>
                <w:b/>
                <w:i w:val="0"/>
                <w:color w:val="050C2A"/>
                <w:sz w:val="20"/>
                <w:u w:val="none"/>
              </w:rPr>
              <w:t>4</w:t>
            </w:r>
          </w:p>
        </w:tc>
        <w:tc>
          <w:tcPr>
            <w:tcW w:type="dxa" w:w="5102"/>
            <w:shd w:fill="F5F5F5" w:val="clear"/>
            <w:vAlign w:val="center"/>
          </w:tcPr>
          <w:p>
            <w:pPr>
              <w:spacing w:before="30" w:after="30"/>
            </w:pPr>
            <w:r>
              <w:rPr>
                <w:rFonts w:ascii="DM Sans" w:hAnsi="DM Sans" w:cs="DM Sans"/>
                <w:b w:val="0"/>
                <w:i w:val="0"/>
                <w:color w:val="050C2A"/>
                <w:sz w:val="20"/>
                <w:u w:val="none"/>
              </w:rPr>
              <w:t>Evaluate each teammate's contributions across the full project with sufficient behavioral evidence to support honest, differentiated ratings.</w:t>
            </w:r>
          </w:p>
        </w:tc>
        <w:tc>
          <w:tcPr>
            <w:tcW w:type="dxa" w:w="3435"/>
            <w:shd w:fill="F5F5F5" w:val="clear"/>
            <w:vAlign w:val="center"/>
          </w:tcPr>
          <w:p>
            <w:pPr>
              <w:spacing w:before="30" w:after="30"/>
            </w:pPr>
            <w:r>
              <w:rPr>
                <w:rFonts w:ascii="DM Sans" w:hAnsi="DM Sans" w:cs="DM Sans"/>
                <w:b w:val="0"/>
                <w:i w:val="0"/>
                <w:color w:val="050C2A"/>
                <w:sz w:val="20"/>
                <w:u w:val="none"/>
              </w:rPr>
              <w:t>Teamwork → Constructive Feedback; Teamwork → Shared Accountability</w:t>
            </w:r>
          </w:p>
        </w:tc>
      </w:tr>
    </w:tbl>
    <w:p>
      <w:pPr>
        <w:spacing w:before="0" w:after="120"/>
      </w:pPr>
    </w:p>
    <w:p>
      <w:pPr>
        <w:spacing w:before="280" w:after="100"/>
      </w:pPr>
      <w:r>
        <w:rPr>
          <w:rFonts w:ascii="DM Sans" w:hAnsi="DM Sans" w:cs="DM Sans"/>
          <w:b/>
          <w:i w:val="0"/>
          <w:color w:val="050C2A"/>
          <w:sz w:val="28"/>
          <w:u w:val="none"/>
        </w:rPr>
        <w:t>Weekly Activity Breakdown</w:t>
      </w:r>
    </w:p>
    <w:p>
      <w:pPr>
        <w:spacing w:before="0" w:after="120" w:line="276" w:lineRule="auto"/>
      </w:pPr>
      <w:r>
        <w:rPr>
          <w:rFonts w:ascii="DM Sans" w:hAnsi="DM Sans" w:cs="DM Sans"/>
          <w:b w:val="0"/>
          <w:i w:val="0"/>
          <w:color w:val="050C2A"/>
          <w:sz w:val="20"/>
          <w:u w:val="none"/>
        </w:rPr>
        <w:t>Week 14 opens the Integration phase and is the most structurally complex week since Week 3. Students are doing four distinct things: building and rehearsing the presentation, submitting the Presentation Outline checkpoint, beginning Reflection #5, and beginning Peer Evaluation #2. The module content is heavier than Week 13 (85 minutes across five segments) but serves five different purposes — operational presentation planning, Q&amp;A preparation, transfer framework, reflection scaffolding, and peer evaluation preparation. No employer touchpoint this week; the last was the optional Final Check-In in Week 13, and the next is the Final Presentation in Week 15. This gives teams an uninterrupted week to prepare. The two-week presentation arc (conceptual in Week 12, operational here) is by design: students absorbed the fundamentals and drafted the outline two weeks ago, and now they apply that learning to building the actual presentation. Reflection #5 and Peer Evaluation #2 both begin here and finalize in Week 15 — starting early prevents Week 15 from becoming unmanageable.</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1560"/>
        <w:gridCol w:w="1560"/>
        <w:gridCol w:w="1560"/>
        <w:gridCol w:w="1560"/>
        <w:gridCol w:w="1560"/>
        <w:gridCol w:w="1560"/>
      </w:tblGrid>
      <w:tr>
        <w:tc>
          <w:tcPr>
            <w:tcW w:type="dxa" w:w="404"/>
            <w:shd w:fill="FF7C0A" w:val="clear"/>
            <w:vAlign w:val="center"/>
          </w:tcPr>
          <w:p>
            <w:pPr>
              <w:jc w:val="left"/>
              <w:spacing w:before="40" w:after="40"/>
            </w:pPr>
            <w:r>
              <w:rPr>
                <w:rFonts w:ascii="DM Sans" w:hAnsi="DM Sans" w:cs="DM Sans"/>
                <w:b/>
                <w:i w:val="0"/>
                <w:color w:val="FFFFFF"/>
                <w:sz w:val="20"/>
                <w:u w:val="none"/>
              </w:rPr>
              <w:t>#</w:t>
            </w:r>
          </w:p>
        </w:tc>
        <w:tc>
          <w:tcPr>
            <w:tcW w:type="dxa" w:w="903"/>
            <w:shd w:fill="FF7C0A" w:val="clear"/>
            <w:vAlign w:val="center"/>
          </w:tcPr>
          <w:p>
            <w:pPr>
              <w:jc w:val="left"/>
              <w:spacing w:before="40" w:after="40"/>
            </w:pPr>
            <w:r>
              <w:rPr>
                <w:rFonts w:ascii="DM Sans" w:hAnsi="DM Sans" w:cs="DM Sans"/>
                <w:b/>
                <w:i w:val="0"/>
                <w:color w:val="FFFFFF"/>
                <w:sz w:val="20"/>
                <w:u w:val="none"/>
              </w:rPr>
              <w:t>Category</w:t>
            </w:r>
          </w:p>
        </w:tc>
        <w:tc>
          <w:tcPr>
            <w:tcW w:type="dxa" w:w="1851"/>
            <w:shd w:fill="FF7C0A" w:val="clear"/>
            <w:vAlign w:val="center"/>
          </w:tcPr>
          <w:p>
            <w:pPr>
              <w:jc w:val="left"/>
              <w:spacing w:before="40" w:after="40"/>
            </w:pPr>
            <w:r>
              <w:rPr>
                <w:rFonts w:ascii="DM Sans" w:hAnsi="DM Sans" w:cs="DM Sans"/>
                <w:b/>
                <w:i w:val="0"/>
                <w:color w:val="FFFFFF"/>
                <w:sz w:val="20"/>
                <w:u w:val="none"/>
              </w:rPr>
              <w:t>Activity</w:t>
            </w:r>
          </w:p>
        </w:tc>
        <w:tc>
          <w:tcPr>
            <w:tcW w:type="dxa" w:w="478"/>
            <w:shd w:fill="FF7C0A" w:val="clear"/>
            <w:vAlign w:val="center"/>
          </w:tcPr>
          <w:p>
            <w:pPr>
              <w:jc w:val="left"/>
              <w:spacing w:before="40" w:after="40"/>
            </w:pPr>
            <w:r>
              <w:rPr>
                <w:rFonts w:ascii="DM Sans" w:hAnsi="DM Sans" w:cs="DM Sans"/>
                <w:b/>
                <w:i w:val="0"/>
                <w:color w:val="FFFFFF"/>
                <w:sz w:val="20"/>
                <w:u w:val="none"/>
              </w:rPr>
              <w:t>Format</w:t>
            </w:r>
          </w:p>
        </w:tc>
        <w:tc>
          <w:tcPr>
            <w:tcW w:type="dxa" w:w="921"/>
            <w:shd w:fill="FF7C0A" w:val="clear"/>
            <w:vAlign w:val="center"/>
          </w:tcPr>
          <w:p>
            <w:pPr>
              <w:jc w:val="left"/>
              <w:spacing w:before="40" w:after="40"/>
            </w:pPr>
            <w:r>
              <w:rPr>
                <w:rFonts w:ascii="DM Sans" w:hAnsi="DM Sans" w:cs="DM Sans"/>
                <w:b/>
                <w:i w:val="0"/>
                <w:color w:val="FFFFFF"/>
                <w:sz w:val="20"/>
                <w:u w:val="none"/>
              </w:rPr>
              <w:t>Min</w:t>
            </w:r>
          </w:p>
        </w:tc>
        <w:tc>
          <w:tcPr>
            <w:tcW w:type="dxa" w:w="4803"/>
            <w:shd w:fill="FF7C0A" w:val="clear"/>
            <w:vAlign w:val="center"/>
          </w:tcPr>
          <w:p>
            <w:pPr>
              <w:jc w:val="left"/>
              <w:spacing w:before="40" w:after="40"/>
            </w:pPr>
            <w:r>
              <w:rPr>
                <w:rFonts w:ascii="DM Sans" w:hAnsi="DM Sans" w:cs="DM Sans"/>
                <w:b/>
                <w:i w:val="0"/>
                <w:color w:val="FFFFFF"/>
                <w:sz w:val="20"/>
                <w:u w:val="none"/>
              </w:rPr>
              <w:t>Note</w:t>
            </w:r>
          </w:p>
        </w:tc>
      </w:tr>
      <w:tr>
        <w:tc>
          <w:tcPr>
            <w:tcW w:type="dxa" w:w="404"/>
            <w:vAlign w:val="center"/>
          </w:tcPr>
          <w:p>
            <w:pPr>
              <w:spacing w:before="30" w:after="30"/>
            </w:pPr>
            <w:r>
              <w:rPr>
                <w:rFonts w:ascii="DM Sans" w:hAnsi="DM Sans" w:cs="DM Sans"/>
                <w:b w:val="0"/>
                <w:i w:val="0"/>
                <w:color w:val="050C2A"/>
                <w:sz w:val="20"/>
                <w:u w:val="none"/>
              </w:rPr>
              <w:t>14.01</w:t>
            </w:r>
          </w:p>
        </w:tc>
        <w:tc>
          <w:tcPr>
            <w:tcW w:type="dxa" w:w="903"/>
            <w:vAlign w:val="center"/>
          </w:tcPr>
          <w:p>
            <w:pPr>
              <w:spacing w:before="30" w:after="30"/>
            </w:pPr>
            <w:r>
              <w:rPr>
                <w:rFonts w:ascii="DM Sans" w:hAnsi="DM Sans" w:cs="DM Sans"/>
                <w:b w:val="0"/>
                <w:i w:val="0"/>
                <w:color w:val="050C2A"/>
                <w:sz w:val="20"/>
                <w:u w:val="none"/>
              </w:rPr>
              <w:t>Course Orientation</w:t>
            </w:r>
          </w:p>
        </w:tc>
        <w:tc>
          <w:tcPr>
            <w:tcW w:type="dxa" w:w="1851"/>
            <w:vAlign w:val="center"/>
          </w:tcPr>
          <w:p>
            <w:pPr>
              <w:spacing w:before="30" w:after="30"/>
            </w:pPr>
            <w:r>
              <w:rPr>
                <w:rFonts w:ascii="DM Sans" w:hAnsi="DM Sans" w:cs="DM Sans"/>
                <w:b w:val="0"/>
                <w:i w:val="0"/>
                <w:color w:val="050C2A"/>
                <w:sz w:val="20"/>
                <w:u w:val="none"/>
              </w:rPr>
              <w:t>Week 14 Overview — objectives, what's happening this week, suggested order of completion</w:t>
            </w:r>
          </w:p>
        </w:tc>
        <w:tc>
          <w:tcPr>
            <w:tcW w:type="dxa" w:w="478"/>
            <w:vAlign w:val="center"/>
          </w:tcPr>
          <w:p>
            <w:pPr>
              <w:spacing w:before="30" w:after="30"/>
            </w:pPr>
            <w:r>
              <w:rPr>
                <w:rFonts w:ascii="DM Sans" w:hAnsi="DM Sans" w:cs="DM Sans"/>
                <w:b w:val="0"/>
                <w:i w:val="0"/>
                <w:color w:val="050C2A"/>
                <w:sz w:val="20"/>
                <w:u w:val="none"/>
              </w:rPr>
              <w:t>Module</w:t>
            </w:r>
          </w:p>
        </w:tc>
        <w:tc>
          <w:tcPr>
            <w:tcW w:type="dxa" w:w="921"/>
            <w:vAlign w:val="center"/>
          </w:tcPr>
          <w:p>
            <w:pPr>
              <w:spacing w:before="30" w:after="30"/>
            </w:pPr>
            <w:r>
              <w:rPr>
                <w:rFonts w:ascii="DM Sans" w:hAnsi="DM Sans" w:cs="DM Sans"/>
                <w:b w:val="0"/>
                <w:i w:val="0"/>
                <w:color w:val="050C2A"/>
                <w:sz w:val="20"/>
                <w:u w:val="none"/>
              </w:rPr>
              <w:t>5</w:t>
            </w:r>
          </w:p>
        </w:tc>
        <w:tc>
          <w:tcPr>
            <w:tcW w:type="dxa" w:w="4803"/>
            <w:vAlign w:val="center"/>
          </w:tcPr>
          <w:p>
            <w:pPr>
              <w:spacing w:before="30" w:after="30"/>
            </w:pPr>
            <w:r>
              <w:rPr>
                <w:rFonts w:ascii="DM Sans" w:hAnsi="DM Sans" w:cs="DM Sans"/>
                <w:b w:val="0"/>
                <w:i w:val="0"/>
                <w:color w:val="050C2A"/>
                <w:sz w:val="20"/>
                <w:u w:val="none"/>
              </w:rPr>
              <w:t>First week of Integration phase; Presentation Fundamentals and Draft Outline were completed in Week 12 — this week focuses on operational planning (Planning Your Presentation, Handling Q&amp;A), finalizing the Presentation Outline checkpoint, building the deck, and rehearsing; also includes Transfer module and scaffolding for Reflection #5 and Peer Eval #2, both of which students begin this week and finalize in Week 15; the two-week presentation arc (conceptual in Week 12, operational in Week 14) gives students time to absorb and plan before building; recommended completion order: planning and Q&amp;A modules first, then finalize outline, then build deck, then rehearse, then begin reflection and peer eval</w:t>
            </w:r>
          </w:p>
        </w:tc>
      </w:tr>
      <w:tr>
        <w:tc>
          <w:tcPr>
            <w:tcW w:type="dxa" w:w="404"/>
            <w:shd w:fill="F5F5F5" w:val="clear"/>
            <w:vAlign w:val="center"/>
          </w:tcPr>
          <w:p>
            <w:pPr>
              <w:spacing w:before="30" w:after="30"/>
            </w:pPr>
            <w:r>
              <w:rPr>
                <w:rFonts w:ascii="DM Sans" w:hAnsi="DM Sans" w:cs="DM Sans"/>
                <w:b w:val="0"/>
                <w:i w:val="0"/>
                <w:color w:val="050C2A"/>
                <w:sz w:val="20"/>
                <w:u w:val="none"/>
              </w:rPr>
              <w:t>14.02</w:t>
            </w:r>
          </w:p>
        </w:tc>
        <w:tc>
          <w:tcPr>
            <w:tcW w:type="dxa" w:w="903"/>
            <w:shd w:fill="F5F5F5" w:val="clear"/>
            <w:vAlign w:val="center"/>
          </w:tcPr>
          <w:p>
            <w:pPr>
              <w:spacing w:before="30" w:after="30"/>
            </w:pPr>
            <w:r>
              <w:rPr>
                <w:rFonts w:ascii="DM Sans" w:hAnsi="DM Sans" w:cs="DM Sans"/>
                <w:b w:val="0"/>
                <w:i w:val="0"/>
                <w:color w:val="050C2A"/>
                <w:sz w:val="20"/>
                <w:u w:val="none"/>
              </w:rPr>
              <w:t>Professional Fundamentals</w:t>
            </w:r>
          </w:p>
        </w:tc>
        <w:tc>
          <w:tcPr>
            <w:tcW w:type="dxa" w:w="1851"/>
            <w:shd w:fill="F5F5F5" w:val="clear"/>
            <w:vAlign w:val="center"/>
          </w:tcPr>
          <w:p>
            <w:pPr>
              <w:spacing w:before="30" w:after="30"/>
            </w:pPr>
            <w:r>
              <w:rPr>
                <w:rFonts w:ascii="DM Sans" w:hAnsi="DM Sans" w:cs="DM Sans"/>
                <w:b w:val="0"/>
                <w:i w:val="0"/>
                <w:color w:val="050C2A"/>
                <w:sz w:val="20"/>
                <w:u w:val="none"/>
              </w:rPr>
              <w:t>Module: Planning Your Presentation</w:t>
            </w:r>
          </w:p>
        </w:tc>
        <w:tc>
          <w:tcPr>
            <w:tcW w:type="dxa" w:w="478"/>
            <w:shd w:fill="F5F5F5" w:val="clear"/>
            <w:vAlign w:val="center"/>
          </w:tcPr>
          <w:p>
            <w:pPr>
              <w:spacing w:before="30" w:after="30"/>
            </w:pPr>
            <w:r>
              <w:rPr>
                <w:rFonts w:ascii="DM Sans" w:hAnsi="DM Sans" w:cs="DM Sans"/>
                <w:b w:val="0"/>
                <w:i w:val="0"/>
                <w:color w:val="050C2A"/>
                <w:sz w:val="20"/>
                <w:u w:val="none"/>
              </w:rPr>
              <w:t>Module</w:t>
            </w:r>
          </w:p>
        </w:tc>
        <w:tc>
          <w:tcPr>
            <w:tcW w:type="dxa" w:w="921"/>
            <w:shd w:fill="F5F5F5" w:val="clear"/>
            <w:vAlign w:val="center"/>
          </w:tcPr>
          <w:p>
            <w:pPr>
              <w:spacing w:before="30" w:after="30"/>
            </w:pPr>
            <w:r>
              <w:rPr>
                <w:rFonts w:ascii="DM Sans" w:hAnsi="DM Sans" w:cs="DM Sans"/>
                <w:b w:val="0"/>
                <w:i w:val="0"/>
                <w:color w:val="050C2A"/>
                <w:sz w:val="20"/>
                <w:u w:val="none"/>
              </w:rPr>
              <w:t>20</w:t>
            </w:r>
          </w:p>
        </w:tc>
        <w:tc>
          <w:tcPr>
            <w:tcW w:type="dxa" w:w="4803"/>
            <w:shd w:fill="F5F5F5" w:val="clear"/>
            <w:vAlign w:val="center"/>
          </w:tcPr>
          <w:p>
            <w:pPr>
              <w:spacing w:before="30" w:after="30"/>
            </w:pPr>
            <w:r>
              <w:rPr>
                <w:rFonts w:ascii="DM Sans" w:hAnsi="DM Sans" w:cs="DM Sans"/>
                <w:b w:val="0"/>
                <w:i w:val="0"/>
                <w:color w:val="050C2A"/>
                <w:sz w:val="20"/>
                <w:u w:val="none"/>
              </w:rPr>
              <w:t>Who presents what, handling team dynamics during the presentation, practicing effectively; practical planning that feeds directly into the Presentation Outline finalization and deck build this week; how to structure a narrative arc for the employer audience — not just reporting what you did but telling a story about what you found and why it matters; distinct from Presentation Fundamentals (Week 12, 12.04) — that was conceptual (audience awareness, narrative structure, visual clarity); this is operational (logistics, strategy, coordination as a team); positioned after Handling Q&amp;A (14.03) so teams can incorporate Q&amp;A prep into their planning</w:t>
            </w:r>
          </w:p>
        </w:tc>
      </w:tr>
      <w:tr>
        <w:tc>
          <w:tcPr>
            <w:tcW w:type="dxa" w:w="404"/>
            <w:vAlign w:val="center"/>
          </w:tcPr>
          <w:p>
            <w:pPr>
              <w:spacing w:before="30" w:after="30"/>
            </w:pPr>
            <w:r>
              <w:rPr>
                <w:rFonts w:ascii="DM Sans" w:hAnsi="DM Sans" w:cs="DM Sans"/>
                <w:b w:val="0"/>
                <w:i w:val="0"/>
                <w:color w:val="050C2A"/>
                <w:sz w:val="20"/>
                <w:u w:val="none"/>
              </w:rPr>
              <w:t>14.03</w:t>
            </w:r>
          </w:p>
        </w:tc>
        <w:tc>
          <w:tcPr>
            <w:tcW w:type="dxa" w:w="903"/>
            <w:vAlign w:val="center"/>
          </w:tcPr>
          <w:p>
            <w:pPr>
              <w:spacing w:before="30" w:after="30"/>
            </w:pPr>
            <w:r>
              <w:rPr>
                <w:rFonts w:ascii="DM Sans" w:hAnsi="DM Sans" w:cs="DM Sans"/>
                <w:b w:val="0"/>
                <w:i w:val="0"/>
                <w:color w:val="050C2A"/>
                <w:sz w:val="20"/>
                <w:u w:val="none"/>
              </w:rPr>
              <w:t>Professional Fundamentals</w:t>
            </w:r>
          </w:p>
        </w:tc>
        <w:tc>
          <w:tcPr>
            <w:tcW w:type="dxa" w:w="1851"/>
            <w:vAlign w:val="center"/>
          </w:tcPr>
          <w:p>
            <w:pPr>
              <w:spacing w:before="30" w:after="30"/>
            </w:pPr>
            <w:r>
              <w:rPr>
                <w:rFonts w:ascii="DM Sans" w:hAnsi="DM Sans" w:cs="DM Sans"/>
                <w:b w:val="0"/>
                <w:i w:val="0"/>
                <w:color w:val="050C2A"/>
                <w:sz w:val="20"/>
                <w:u w:val="none"/>
              </w:rPr>
              <w:t>Module: Handling Q&amp;A</w:t>
            </w:r>
          </w:p>
        </w:tc>
        <w:tc>
          <w:tcPr>
            <w:tcW w:type="dxa" w:w="478"/>
            <w:vAlign w:val="center"/>
          </w:tcPr>
          <w:p>
            <w:pPr>
              <w:spacing w:before="30" w:after="30"/>
            </w:pPr>
            <w:r>
              <w:rPr>
                <w:rFonts w:ascii="DM Sans" w:hAnsi="DM Sans" w:cs="DM Sans"/>
                <w:b w:val="0"/>
                <w:i w:val="0"/>
                <w:color w:val="050C2A"/>
                <w:sz w:val="20"/>
                <w:u w:val="none"/>
              </w:rPr>
              <w:t>Module</w:t>
            </w:r>
          </w:p>
        </w:tc>
        <w:tc>
          <w:tcPr>
            <w:tcW w:type="dxa" w:w="921"/>
            <w:vAlign w:val="center"/>
          </w:tcPr>
          <w:p>
            <w:pPr>
              <w:spacing w:before="30" w:after="30"/>
            </w:pPr>
            <w:r>
              <w:rPr>
                <w:rFonts w:ascii="DM Sans" w:hAnsi="DM Sans" w:cs="DM Sans"/>
                <w:b w:val="0"/>
                <w:i w:val="0"/>
                <w:color w:val="050C2A"/>
                <w:sz w:val="20"/>
                <w:u w:val="none"/>
              </w:rPr>
              <w:t>15</w:t>
            </w:r>
          </w:p>
        </w:tc>
        <w:tc>
          <w:tcPr>
            <w:tcW w:type="dxa" w:w="4803"/>
            <w:vAlign w:val="center"/>
          </w:tcPr>
          <w:p>
            <w:pPr>
              <w:spacing w:before="30" w:after="30"/>
            </w:pPr>
            <w:r>
              <w:rPr>
                <w:rFonts w:ascii="DM Sans" w:hAnsi="DM Sans" w:cs="DM Sans"/>
                <w:b w:val="0"/>
                <w:i w:val="0"/>
                <w:color w:val="050C2A"/>
                <w:sz w:val="20"/>
                <w:u w:val="none"/>
              </w:rPr>
              <w:t>How to respond to questions you can't fully answer; thinking on your feet without fabricating; the defend-your-work standard — the employer and instructor will ask about your findings and recommendations, and your answers need to come from your own understanding; how to say "I don't know but here's how I'd find out"; handling pushback on recommendations gracefully; directly prepares for the Q&amp;A portion of the Final Presentation (Week 15) and the rehearsal (14.09); this is the skill that distinguishes students who genuinely engaged with the work from those who outsourced the thinking</w:t>
            </w:r>
          </w:p>
        </w:tc>
      </w:tr>
      <w:tr>
        <w:tc>
          <w:tcPr>
            <w:tcW w:type="dxa" w:w="404"/>
            <w:shd w:fill="F5F5F5" w:val="clear"/>
            <w:vAlign w:val="center"/>
          </w:tcPr>
          <w:p>
            <w:pPr>
              <w:spacing w:before="30" w:after="30"/>
            </w:pPr>
            <w:r>
              <w:rPr>
                <w:rFonts w:ascii="DM Sans" w:hAnsi="DM Sans" w:cs="DM Sans"/>
                <w:b w:val="0"/>
                <w:i w:val="0"/>
                <w:color w:val="050C2A"/>
                <w:sz w:val="20"/>
                <w:u w:val="none"/>
              </w:rPr>
              <w:t>14.04</w:t>
            </w:r>
          </w:p>
        </w:tc>
        <w:tc>
          <w:tcPr>
            <w:tcW w:type="dxa" w:w="903"/>
            <w:shd w:fill="F5F5F5" w:val="clear"/>
            <w:vAlign w:val="center"/>
          </w:tcPr>
          <w:p>
            <w:pPr>
              <w:spacing w:before="30" w:after="30"/>
            </w:pPr>
            <w:r>
              <w:rPr>
                <w:rFonts w:ascii="DM Sans" w:hAnsi="DM Sans" w:cs="DM Sans"/>
                <w:b w:val="0"/>
                <w:i w:val="0"/>
                <w:color w:val="050C2A"/>
                <w:sz w:val="20"/>
                <w:u w:val="none"/>
              </w:rPr>
              <w:t>Professional Fundamentals</w:t>
            </w:r>
          </w:p>
        </w:tc>
        <w:tc>
          <w:tcPr>
            <w:tcW w:type="dxa" w:w="1851"/>
            <w:shd w:fill="F5F5F5" w:val="clear"/>
            <w:vAlign w:val="center"/>
          </w:tcPr>
          <w:p>
            <w:pPr>
              <w:spacing w:before="30" w:after="30"/>
            </w:pPr>
            <w:r>
              <w:rPr>
                <w:rFonts w:ascii="DM Sans" w:hAnsi="DM Sans" w:cs="DM Sans"/>
                <w:b w:val="0"/>
                <w:i w:val="0"/>
                <w:color w:val="050C2A"/>
                <w:sz w:val="20"/>
                <w:u w:val="none"/>
              </w:rPr>
              <w:t>Module: Transfer — Taking It With You</w:t>
            </w:r>
          </w:p>
        </w:tc>
        <w:tc>
          <w:tcPr>
            <w:tcW w:type="dxa" w:w="478"/>
            <w:shd w:fill="F5F5F5" w:val="clear"/>
            <w:vAlign w:val="center"/>
          </w:tcPr>
          <w:p>
            <w:pPr>
              <w:spacing w:before="30" w:after="30"/>
            </w:pPr>
            <w:r>
              <w:rPr>
                <w:rFonts w:ascii="DM Sans" w:hAnsi="DM Sans" w:cs="DM Sans"/>
                <w:b w:val="0"/>
                <w:i w:val="0"/>
                <w:color w:val="050C2A"/>
                <w:sz w:val="20"/>
                <w:u w:val="none"/>
              </w:rPr>
              <w:t>Module</w:t>
            </w:r>
          </w:p>
        </w:tc>
        <w:tc>
          <w:tcPr>
            <w:tcW w:type="dxa" w:w="921"/>
            <w:shd w:fill="F5F5F5" w:val="clear"/>
            <w:vAlign w:val="center"/>
          </w:tcPr>
          <w:p>
            <w:pPr>
              <w:spacing w:before="30" w:after="30"/>
            </w:pPr>
            <w:r>
              <w:rPr>
                <w:rFonts w:ascii="DM Sans" w:hAnsi="DM Sans" w:cs="DM Sans"/>
                <w:b w:val="0"/>
                <w:i w:val="0"/>
                <w:color w:val="050C2A"/>
                <w:sz w:val="20"/>
                <w:u w:val="none"/>
              </w:rPr>
              <w:t>20</w:t>
            </w:r>
          </w:p>
        </w:tc>
        <w:tc>
          <w:tcPr>
            <w:tcW w:type="dxa" w:w="4803"/>
            <w:shd w:fill="F5F5F5" w:val="clear"/>
            <w:vAlign w:val="center"/>
          </w:tcPr>
          <w:p>
            <w:pPr>
              <w:spacing w:before="30" w:after="30"/>
            </w:pPr>
            <w:r>
              <w:rPr>
                <w:rFonts w:ascii="DM Sans" w:hAnsi="DM Sans" w:cs="DM Sans"/>
                <w:b w:val="0"/>
                <w:i w:val="0"/>
                <w:color w:val="050C2A"/>
                <w:sz w:val="20"/>
                <w:u w:val="none"/>
              </w:rPr>
              <w:t>How to extract transferable principles from the project experience; the difference between "I learned about credit unions" and "I learned how to translate ambiguous client needs into a research plan"; connects directly to the Reflection #5 prompt (which asks for the single most important thing learned about how you work professionally); builds on Week 10 modules (10.02 What Are You Actually Learning?, 10.03 From Experience to Concept) which helped students notice tacit learning — this module is about articulating and packaging it for a professional audience and for self-understanding</w:t>
            </w:r>
          </w:p>
        </w:tc>
      </w:tr>
      <w:tr>
        <w:tc>
          <w:tcPr>
            <w:tcW w:type="dxa" w:w="404"/>
            <w:vAlign w:val="center"/>
          </w:tcPr>
          <w:p>
            <w:pPr>
              <w:spacing w:before="30" w:after="30"/>
            </w:pPr>
            <w:r>
              <w:rPr>
                <w:rFonts w:ascii="DM Sans" w:hAnsi="DM Sans" w:cs="DM Sans"/>
                <w:b w:val="0"/>
                <w:i w:val="0"/>
                <w:color w:val="050C2A"/>
                <w:sz w:val="20"/>
                <w:u w:val="none"/>
              </w:rPr>
              <w:t>14.05</w:t>
            </w:r>
          </w:p>
        </w:tc>
        <w:tc>
          <w:tcPr>
            <w:tcW w:type="dxa" w:w="903"/>
            <w:vAlign w:val="center"/>
          </w:tcPr>
          <w:p>
            <w:pPr>
              <w:spacing w:before="30" w:after="30"/>
            </w:pPr>
            <w:r>
              <w:rPr>
                <w:rFonts w:ascii="DM Sans" w:hAnsi="DM Sans" w:cs="DM Sans"/>
                <w:b w:val="0"/>
                <w:i w:val="0"/>
                <w:color w:val="050C2A"/>
                <w:sz w:val="20"/>
                <w:u w:val="none"/>
              </w:rPr>
              <w:t>Project Work</w:t>
            </w:r>
          </w:p>
        </w:tc>
        <w:tc>
          <w:tcPr>
            <w:tcW w:type="dxa" w:w="1851"/>
            <w:vAlign w:val="center"/>
          </w:tcPr>
          <w:p>
            <w:pPr>
              <w:spacing w:before="30" w:after="30"/>
            </w:pPr>
            <w:r>
              <w:rPr>
                <w:rFonts w:ascii="DM Sans" w:hAnsi="DM Sans" w:cs="DM Sans"/>
                <w:b w:val="0"/>
                <w:i w:val="0"/>
                <w:color w:val="050C2A"/>
                <w:sz w:val="20"/>
                <w:u w:val="none"/>
              </w:rPr>
              <w:t>Finalize and submit Presentation Outline checkpoint</w:t>
            </w:r>
          </w:p>
        </w:tc>
        <w:tc>
          <w:tcPr>
            <w:tcW w:type="dxa" w:w="478"/>
            <w:vAlign w:val="center"/>
          </w:tcPr>
          <w:p>
            <w:pPr>
              <w:spacing w:before="30" w:after="30"/>
            </w:pPr>
            <w:r>
              <w:rPr>
                <w:rFonts w:ascii="DM Sans" w:hAnsi="DM Sans" w:cs="DM Sans"/>
                <w:b w:val="0"/>
                <w:i w:val="0"/>
                <w:color w:val="050C2A"/>
                <w:sz w:val="20"/>
                <w:u w:val="none"/>
              </w:rPr>
              <w:t>Project</w:t>
            </w:r>
          </w:p>
        </w:tc>
        <w:tc>
          <w:tcPr>
            <w:tcW w:type="dxa" w:w="921"/>
            <w:vAlign w:val="center"/>
          </w:tcPr>
          <w:p>
            <w:pPr>
              <w:spacing w:before="30" w:after="30"/>
            </w:pPr>
            <w:r>
              <w:rPr>
                <w:rFonts w:ascii="DM Sans" w:hAnsi="DM Sans" w:cs="DM Sans"/>
                <w:b w:val="0"/>
                <w:i w:val="0"/>
                <w:color w:val="050C2A"/>
                <w:sz w:val="20"/>
                <w:u w:val="none"/>
              </w:rPr>
              <w:t>15</w:t>
            </w:r>
          </w:p>
        </w:tc>
        <w:tc>
          <w:tcPr>
            <w:tcW w:type="dxa" w:w="4803"/>
            <w:vAlign w:val="center"/>
          </w:tcPr>
          <w:p>
            <w:pPr>
              <w:spacing w:before="30" w:after="30"/>
            </w:pPr>
            <w:r>
              <w:rPr>
                <w:rFonts w:ascii="DM Sans" w:hAnsi="DM Sans" w:cs="DM Sans"/>
                <w:b w:val="0"/>
                <w:i w:val="0"/>
                <w:color w:val="050C2A"/>
                <w:sz w:val="20"/>
                <w:u w:val="none"/>
              </w:rPr>
              <w:t>Team submits the finalized Presentation Outline; completion-based checkpoint; outline should include narrative structure, role assignments (who presents what), key talking points per section, and planned visual support; drafted in Week 12 (12.07), refined and submitted here before the deck build begins; AI disclosure required</w:t>
            </w:r>
          </w:p>
        </w:tc>
      </w:tr>
      <w:tr>
        <w:tc>
          <w:tcPr>
            <w:tcW w:type="dxa" w:w="404"/>
            <w:shd w:fill="F5F5F5" w:val="clear"/>
            <w:vAlign w:val="center"/>
          </w:tcPr>
          <w:p>
            <w:pPr>
              <w:spacing w:before="30" w:after="30"/>
            </w:pPr>
            <w:r>
              <w:rPr>
                <w:rFonts w:ascii="DM Sans" w:hAnsi="DM Sans" w:cs="DM Sans"/>
                <w:b w:val="0"/>
                <w:i w:val="0"/>
                <w:color w:val="050C2A"/>
                <w:sz w:val="20"/>
                <w:u w:val="none"/>
              </w:rPr>
              <w:t>14.06</w:t>
            </w:r>
          </w:p>
        </w:tc>
        <w:tc>
          <w:tcPr>
            <w:tcW w:type="dxa" w:w="903"/>
            <w:shd w:fill="F5F5F5" w:val="clear"/>
            <w:vAlign w:val="center"/>
          </w:tcPr>
          <w:p>
            <w:pPr>
              <w:spacing w:before="30" w:after="30"/>
            </w:pPr>
            <w:r>
              <w:rPr>
                <w:rFonts w:ascii="DM Sans" w:hAnsi="DM Sans" w:cs="DM Sans"/>
                <w:b w:val="0"/>
                <w:i w:val="0"/>
                <w:color w:val="050C2A"/>
                <w:sz w:val="20"/>
                <w:u w:val="none"/>
              </w:rPr>
              <w:t>Professional Fundamentals</w:t>
            </w:r>
          </w:p>
        </w:tc>
        <w:tc>
          <w:tcPr>
            <w:tcW w:type="dxa" w:w="1851"/>
            <w:shd w:fill="F5F5F5" w:val="clear"/>
            <w:vAlign w:val="center"/>
          </w:tcPr>
          <w:p>
            <w:pPr>
              <w:spacing w:before="30" w:after="30"/>
            </w:pPr>
            <w:r>
              <w:rPr>
                <w:rFonts w:ascii="DM Sans" w:hAnsi="DM Sans" w:cs="DM Sans"/>
                <w:b w:val="0"/>
                <w:i w:val="0"/>
                <w:color w:val="050C2A"/>
                <w:sz w:val="20"/>
                <w:u w:val="none"/>
              </w:rPr>
              <w:t>Module: Approaching the Synthesis Reflection</w:t>
            </w:r>
          </w:p>
        </w:tc>
        <w:tc>
          <w:tcPr>
            <w:tcW w:type="dxa" w:w="478"/>
            <w:shd w:fill="F5F5F5" w:val="clear"/>
            <w:vAlign w:val="center"/>
          </w:tcPr>
          <w:p>
            <w:pPr>
              <w:spacing w:before="30" w:after="30"/>
            </w:pPr>
            <w:r>
              <w:rPr>
                <w:rFonts w:ascii="DM Sans" w:hAnsi="DM Sans" w:cs="DM Sans"/>
                <w:b w:val="0"/>
                <w:i w:val="0"/>
                <w:color w:val="050C2A"/>
                <w:sz w:val="20"/>
                <w:u w:val="none"/>
              </w:rPr>
              <w:t>Module</w:t>
            </w:r>
          </w:p>
        </w:tc>
        <w:tc>
          <w:tcPr>
            <w:tcW w:type="dxa" w:w="921"/>
            <w:shd w:fill="F5F5F5" w:val="clear"/>
            <w:vAlign w:val="center"/>
          </w:tcPr>
          <w:p>
            <w:pPr>
              <w:spacing w:before="30" w:after="30"/>
            </w:pPr>
            <w:r>
              <w:rPr>
                <w:rFonts w:ascii="DM Sans" w:hAnsi="DM Sans" w:cs="DM Sans"/>
                <w:b w:val="0"/>
                <w:i w:val="0"/>
                <w:color w:val="050C2A"/>
                <w:sz w:val="20"/>
                <w:u w:val="none"/>
              </w:rPr>
              <w:t>10</w:t>
            </w:r>
          </w:p>
        </w:tc>
        <w:tc>
          <w:tcPr>
            <w:tcW w:type="dxa" w:w="4803"/>
            <w:shd w:fill="F5F5F5" w:val="clear"/>
            <w:vAlign w:val="center"/>
          </w:tcPr>
          <w:p>
            <w:pPr>
              <w:spacing w:before="30" w:after="30"/>
            </w:pPr>
            <w:r>
              <w:rPr>
                <w:rFonts w:ascii="DM Sans" w:hAnsi="DM Sans" w:cs="DM Sans"/>
                <w:b w:val="0"/>
                <w:i w:val="0"/>
                <w:color w:val="050C2A"/>
                <w:sz w:val="20"/>
                <w:u w:val="none"/>
              </w:rPr>
              <w:t>Brief scaffolding for Reflection #5 — the most demanding reflection in the portfolio; how to select an anchor experience from 15 weeks rather than defaulting to the most recent one; the difference between summarizing what happened and identifying what changed in how you work professionally; positioned before students begin drafting (14.10); complements the Transfer module (14.04) which provides the conceptual framework — this module provides the practical writing guidance</w:t>
            </w:r>
          </w:p>
        </w:tc>
      </w:tr>
      <w:tr>
        <w:tc>
          <w:tcPr>
            <w:tcW w:type="dxa" w:w="404"/>
            <w:vAlign w:val="center"/>
          </w:tcPr>
          <w:p>
            <w:pPr>
              <w:spacing w:before="30" w:after="30"/>
            </w:pPr>
            <w:r>
              <w:rPr>
                <w:rFonts w:ascii="DM Sans" w:hAnsi="DM Sans" w:cs="DM Sans"/>
                <w:b w:val="0"/>
                <w:i w:val="0"/>
                <w:color w:val="050C2A"/>
                <w:sz w:val="20"/>
                <w:u w:val="none"/>
              </w:rPr>
              <w:t>14.07</w:t>
            </w:r>
          </w:p>
        </w:tc>
        <w:tc>
          <w:tcPr>
            <w:tcW w:type="dxa" w:w="903"/>
            <w:vAlign w:val="center"/>
          </w:tcPr>
          <w:p>
            <w:pPr>
              <w:spacing w:before="30" w:after="30"/>
            </w:pPr>
            <w:r>
              <w:rPr>
                <w:rFonts w:ascii="DM Sans" w:hAnsi="DM Sans" w:cs="DM Sans"/>
                <w:b w:val="0"/>
                <w:i w:val="0"/>
                <w:color w:val="050C2A"/>
                <w:sz w:val="20"/>
                <w:u w:val="none"/>
              </w:rPr>
              <w:t>Professional Fundamentals</w:t>
            </w:r>
          </w:p>
        </w:tc>
        <w:tc>
          <w:tcPr>
            <w:tcW w:type="dxa" w:w="1851"/>
            <w:vAlign w:val="center"/>
          </w:tcPr>
          <w:p>
            <w:pPr>
              <w:spacing w:before="30" w:after="30"/>
            </w:pPr>
            <w:r>
              <w:rPr>
                <w:rFonts w:ascii="DM Sans" w:hAnsi="DM Sans" w:cs="DM Sans"/>
                <w:b w:val="0"/>
                <w:i w:val="0"/>
                <w:color w:val="050C2A"/>
                <w:sz w:val="20"/>
                <w:u w:val="none"/>
              </w:rPr>
              <w:t>Module: Approaching the Final Peer Evaluation</w:t>
            </w:r>
          </w:p>
        </w:tc>
        <w:tc>
          <w:tcPr>
            <w:tcW w:type="dxa" w:w="478"/>
            <w:vAlign w:val="center"/>
          </w:tcPr>
          <w:p>
            <w:pPr>
              <w:spacing w:before="30" w:after="30"/>
            </w:pPr>
            <w:r>
              <w:rPr>
                <w:rFonts w:ascii="DM Sans" w:hAnsi="DM Sans" w:cs="DM Sans"/>
                <w:b w:val="0"/>
                <w:i w:val="0"/>
                <w:color w:val="050C2A"/>
                <w:sz w:val="20"/>
                <w:u w:val="none"/>
              </w:rPr>
              <w:t>Module</w:t>
            </w:r>
          </w:p>
        </w:tc>
        <w:tc>
          <w:tcPr>
            <w:tcW w:type="dxa" w:w="921"/>
            <w:vAlign w:val="center"/>
          </w:tcPr>
          <w:p>
            <w:pPr>
              <w:spacing w:before="30" w:after="30"/>
            </w:pPr>
            <w:r>
              <w:rPr>
                <w:rFonts w:ascii="DM Sans" w:hAnsi="DM Sans" w:cs="DM Sans"/>
                <w:b w:val="0"/>
                <w:i w:val="0"/>
                <w:color w:val="050C2A"/>
                <w:sz w:val="20"/>
                <w:u w:val="none"/>
              </w:rPr>
              <w:t>15</w:t>
            </w:r>
          </w:p>
        </w:tc>
        <w:tc>
          <w:tcPr>
            <w:tcW w:type="dxa" w:w="4803"/>
            <w:vAlign w:val="center"/>
          </w:tcPr>
          <w:p>
            <w:pPr>
              <w:spacing w:before="30" w:after="30"/>
            </w:pPr>
            <w:r>
              <w:rPr>
                <w:rFonts w:ascii="DM Sans" w:hAnsi="DM Sans" w:cs="DM Sans"/>
                <w:b w:val="0"/>
                <w:i w:val="0"/>
                <w:color w:val="050C2A"/>
                <w:sz w:val="20"/>
                <w:u w:val="none"/>
              </w:rPr>
              <w:t>What's different about evaluating the full project arc vs. the mid-project evaluation in Week 8; how to assess contributions that evolved over time — a teammate who started slowly but stepped up significantly in the Refinement phase is not the same as a teammate who coasted; the weight this evaluation carries in the Professional Engagement grade (70% of the overall peer evaluation score); how to write feedback that's useful to a teammate entering their next professional experience; positioned before students begin the evaluation (14.11)</w:t>
            </w:r>
          </w:p>
        </w:tc>
      </w:tr>
      <w:tr>
        <w:tc>
          <w:tcPr>
            <w:tcW w:type="dxa" w:w="404"/>
            <w:shd w:fill="F5F5F5" w:val="clear"/>
            <w:vAlign w:val="center"/>
          </w:tcPr>
          <w:p>
            <w:pPr>
              <w:spacing w:before="30" w:after="30"/>
            </w:pPr>
            <w:r>
              <w:rPr>
                <w:rFonts w:ascii="DM Sans" w:hAnsi="DM Sans" w:cs="DM Sans"/>
                <w:b w:val="0"/>
                <w:i w:val="0"/>
                <w:color w:val="050C2A"/>
                <w:sz w:val="20"/>
                <w:u w:val="none"/>
              </w:rPr>
              <w:t>14.08</w:t>
            </w:r>
          </w:p>
        </w:tc>
        <w:tc>
          <w:tcPr>
            <w:tcW w:type="dxa" w:w="903"/>
            <w:shd w:fill="F5F5F5" w:val="clear"/>
            <w:vAlign w:val="center"/>
          </w:tcPr>
          <w:p>
            <w:pPr>
              <w:spacing w:before="30" w:after="30"/>
            </w:pPr>
            <w:r>
              <w:rPr>
                <w:rFonts w:ascii="DM Sans" w:hAnsi="DM Sans" w:cs="DM Sans"/>
                <w:b w:val="0"/>
                <w:i w:val="0"/>
                <w:color w:val="050C2A"/>
                <w:sz w:val="20"/>
                <w:u w:val="none"/>
              </w:rPr>
              <w:t>Project Work</w:t>
            </w:r>
          </w:p>
        </w:tc>
        <w:tc>
          <w:tcPr>
            <w:tcW w:type="dxa" w:w="1851"/>
            <w:shd w:fill="F5F5F5" w:val="clear"/>
            <w:vAlign w:val="center"/>
          </w:tcPr>
          <w:p>
            <w:pPr>
              <w:spacing w:before="30" w:after="30"/>
            </w:pPr>
            <w:r>
              <w:rPr>
                <w:rFonts w:ascii="DM Sans" w:hAnsi="DM Sans" w:cs="DM Sans"/>
                <w:b w:val="0"/>
                <w:i w:val="0"/>
                <w:color w:val="050C2A"/>
                <w:sz w:val="20"/>
                <w:u w:val="none"/>
              </w:rPr>
              <w:t>Build presentation — slides, visual materials, speaker notes</w:t>
            </w:r>
          </w:p>
        </w:tc>
        <w:tc>
          <w:tcPr>
            <w:tcW w:type="dxa" w:w="478"/>
            <w:shd w:fill="F5F5F5" w:val="clear"/>
            <w:vAlign w:val="center"/>
          </w:tcPr>
          <w:p>
            <w:pPr>
              <w:spacing w:before="30" w:after="30"/>
            </w:pPr>
            <w:r>
              <w:rPr>
                <w:rFonts w:ascii="DM Sans" w:hAnsi="DM Sans" w:cs="DM Sans"/>
                <w:b w:val="0"/>
                <w:i w:val="0"/>
                <w:color w:val="050C2A"/>
                <w:sz w:val="20"/>
                <w:u w:val="none"/>
              </w:rPr>
              <w:t>Project</w:t>
            </w:r>
          </w:p>
        </w:tc>
        <w:tc>
          <w:tcPr>
            <w:tcW w:type="dxa" w:w="921"/>
            <w:shd w:fill="F5F5F5" w:val="clear"/>
            <w:vAlign w:val="center"/>
          </w:tcPr>
          <w:p>
            <w:pPr>
              <w:spacing w:before="30" w:after="30"/>
            </w:pPr>
            <w:r>
              <w:rPr>
                <w:rFonts w:ascii="DM Sans" w:hAnsi="DM Sans" w:cs="DM Sans"/>
                <w:b w:val="0"/>
                <w:i w:val="0"/>
                <w:color w:val="050C2A"/>
                <w:sz w:val="20"/>
                <w:u w:val="none"/>
              </w:rPr>
              <w:t>150</w:t>
            </w:r>
          </w:p>
        </w:tc>
        <w:tc>
          <w:tcPr>
            <w:tcW w:type="dxa" w:w="4803"/>
            <w:shd w:fill="F5F5F5" w:val="clear"/>
            <w:vAlign w:val="center"/>
          </w:tcPr>
          <w:p>
            <w:pPr>
              <w:spacing w:before="30" w:after="30"/>
            </w:pPr>
            <w:r>
              <w:rPr>
                <w:rFonts w:ascii="DM Sans" w:hAnsi="DM Sans" w:cs="DM Sans"/>
                <w:b w:val="0"/>
                <w:i w:val="0"/>
                <w:color w:val="050C2A"/>
                <w:sz w:val="20"/>
                <w:u w:val="none"/>
              </w:rPr>
              <w:t>Teams build the actual presentation materials based on the Presentation Outline; includes slides, visual support (charts, diagrams, key data points from the deliverable), and speaker notes; the content already exists in the Final Deliverables — this is about translating document content into presentation format, which is a different communication challenge than writing; 150 min reflects that even with existing content, building a coherent slide deck takes real time for students who haven't done this before; sequenced after the outline submission (14.05) and before rehearsal (14.09)</w:t>
            </w:r>
          </w:p>
        </w:tc>
      </w:tr>
      <w:tr>
        <w:tc>
          <w:tcPr>
            <w:tcW w:type="dxa" w:w="404"/>
            <w:vAlign w:val="center"/>
          </w:tcPr>
          <w:p>
            <w:pPr>
              <w:spacing w:before="30" w:after="30"/>
            </w:pPr>
            <w:r>
              <w:rPr>
                <w:rFonts w:ascii="DM Sans" w:hAnsi="DM Sans" w:cs="DM Sans"/>
                <w:b w:val="0"/>
                <w:i w:val="0"/>
                <w:color w:val="050C2A"/>
                <w:sz w:val="20"/>
                <w:u w:val="none"/>
              </w:rPr>
              <w:t>14.09</w:t>
            </w:r>
          </w:p>
        </w:tc>
        <w:tc>
          <w:tcPr>
            <w:tcW w:type="dxa" w:w="903"/>
            <w:vAlign w:val="center"/>
          </w:tcPr>
          <w:p>
            <w:pPr>
              <w:spacing w:before="30" w:after="30"/>
            </w:pPr>
            <w:r>
              <w:rPr>
                <w:rFonts w:ascii="DM Sans" w:hAnsi="DM Sans" w:cs="DM Sans"/>
                <w:b w:val="0"/>
                <w:i w:val="0"/>
                <w:color w:val="050C2A"/>
                <w:sz w:val="20"/>
                <w:u w:val="none"/>
              </w:rPr>
              <w:t>Project Work</w:t>
            </w:r>
          </w:p>
        </w:tc>
        <w:tc>
          <w:tcPr>
            <w:tcW w:type="dxa" w:w="1851"/>
            <w:vAlign w:val="center"/>
          </w:tcPr>
          <w:p>
            <w:pPr>
              <w:spacing w:before="30" w:after="30"/>
            </w:pPr>
            <w:r>
              <w:rPr>
                <w:rFonts w:ascii="DM Sans" w:hAnsi="DM Sans" w:cs="DM Sans"/>
                <w:b w:val="0"/>
                <w:i w:val="0"/>
                <w:color w:val="050C2A"/>
                <w:sz w:val="20"/>
                <w:u w:val="none"/>
              </w:rPr>
              <w:t>Presentation rehearsal — run through presentation, give and receive peer feedback</w:t>
            </w:r>
          </w:p>
        </w:tc>
        <w:tc>
          <w:tcPr>
            <w:tcW w:type="dxa" w:w="478"/>
            <w:vAlign w:val="center"/>
          </w:tcPr>
          <w:p>
            <w:pPr>
              <w:spacing w:before="30" w:after="30"/>
            </w:pPr>
            <w:r>
              <w:rPr>
                <w:rFonts w:ascii="DM Sans" w:hAnsi="DM Sans" w:cs="DM Sans"/>
                <w:b w:val="0"/>
                <w:i w:val="0"/>
                <w:color w:val="050C2A"/>
                <w:sz w:val="20"/>
                <w:u w:val="none"/>
              </w:rPr>
              <w:t>Project</w:t>
            </w:r>
          </w:p>
        </w:tc>
        <w:tc>
          <w:tcPr>
            <w:tcW w:type="dxa" w:w="921"/>
            <w:vAlign w:val="center"/>
          </w:tcPr>
          <w:p>
            <w:pPr>
              <w:spacing w:before="30" w:after="30"/>
            </w:pPr>
            <w:r>
              <w:rPr>
                <w:rFonts w:ascii="DM Sans" w:hAnsi="DM Sans" w:cs="DM Sans"/>
                <w:b w:val="0"/>
                <w:i w:val="0"/>
                <w:color w:val="050C2A"/>
                <w:sz w:val="20"/>
                <w:u w:val="none"/>
              </w:rPr>
              <w:t>90</w:t>
            </w:r>
          </w:p>
        </w:tc>
        <w:tc>
          <w:tcPr>
            <w:tcW w:type="dxa" w:w="4803"/>
            <w:vAlign w:val="center"/>
          </w:tcPr>
          <w:p>
            <w:pPr>
              <w:spacing w:before="30" w:after="30"/>
            </w:pPr>
            <w:r>
              <w:rPr>
                <w:rFonts w:ascii="DM Sans" w:hAnsi="DM Sans" w:cs="DM Sans"/>
                <w:b w:val="0"/>
                <w:i w:val="0"/>
                <w:color w:val="050C2A"/>
                <w:sz w:val="20"/>
                <w:u w:val="none"/>
              </w:rPr>
              <w:t>First full run-through of the presentation as a team; emphasis on timing (is the presentation within the allotted window?), transitions between speakers (do handoffs feel natural or awkward?), handling the narrative arc (does the presentation tell a story or just report activities?), and anticipating questions (what will the employer ask, and who answers?); peer feedback within the team on clarity and delivery; 90 min allows for a full run-through plus time to discuss what worked, what didn't, and make adjustments before Week 15</w:t>
            </w:r>
          </w:p>
        </w:tc>
      </w:tr>
      <w:tr>
        <w:tc>
          <w:tcPr>
            <w:tcW w:type="dxa" w:w="404"/>
            <w:shd w:fill="F5F5F5" w:val="clear"/>
            <w:vAlign w:val="center"/>
          </w:tcPr>
          <w:p>
            <w:pPr>
              <w:spacing w:before="30" w:after="30"/>
            </w:pPr>
            <w:r>
              <w:rPr>
                <w:rFonts w:ascii="DM Sans" w:hAnsi="DM Sans" w:cs="DM Sans"/>
                <w:b w:val="0"/>
                <w:i w:val="0"/>
                <w:color w:val="050C2A"/>
                <w:sz w:val="20"/>
                <w:u w:val="none"/>
              </w:rPr>
              <w:t>14.10</w:t>
            </w:r>
          </w:p>
        </w:tc>
        <w:tc>
          <w:tcPr>
            <w:tcW w:type="dxa" w:w="903"/>
            <w:shd w:fill="F5F5F5" w:val="clear"/>
            <w:vAlign w:val="center"/>
          </w:tcPr>
          <w:p>
            <w:pPr>
              <w:spacing w:before="30" w:after="30"/>
            </w:pPr>
            <w:r>
              <w:rPr>
                <w:rFonts w:ascii="DM Sans" w:hAnsi="DM Sans" w:cs="DM Sans"/>
                <w:b w:val="0"/>
                <w:i w:val="0"/>
                <w:color w:val="050C2A"/>
                <w:sz w:val="20"/>
                <w:u w:val="none"/>
              </w:rPr>
              <w:t>Reflection &amp; Assessment</w:t>
            </w:r>
          </w:p>
        </w:tc>
        <w:tc>
          <w:tcPr>
            <w:tcW w:type="dxa" w:w="1851"/>
            <w:shd w:fill="F5F5F5" w:val="clear"/>
            <w:vAlign w:val="center"/>
          </w:tcPr>
          <w:p>
            <w:pPr>
              <w:spacing w:before="30" w:after="30"/>
            </w:pPr>
            <w:r>
              <w:rPr>
                <w:rFonts w:ascii="DM Sans" w:hAnsi="DM Sans" w:cs="DM Sans"/>
                <w:b w:val="0"/>
                <w:i w:val="0"/>
                <w:color w:val="050C2A"/>
                <w:sz w:val="20"/>
                <w:u w:val="none"/>
              </w:rPr>
              <w:t>Begin Reflection #5 — review prompt, identify anchor experience(s), draft initial DEAL response</w:t>
            </w:r>
          </w:p>
        </w:tc>
        <w:tc>
          <w:tcPr>
            <w:tcW w:type="dxa" w:w="478"/>
            <w:shd w:fill="F5F5F5" w:val="clear"/>
            <w:vAlign w:val="center"/>
          </w:tcPr>
          <w:p>
            <w:pPr>
              <w:spacing w:before="30" w:after="30"/>
            </w:pPr>
            <w:r>
              <w:rPr>
                <w:rFonts w:ascii="DM Sans" w:hAnsi="DM Sans" w:cs="DM Sans"/>
                <w:b w:val="0"/>
                <w:i w:val="0"/>
                <w:color w:val="050C2A"/>
                <w:sz w:val="20"/>
                <w:u w:val="none"/>
              </w:rPr>
              <w:t>Text</w:t>
            </w:r>
          </w:p>
        </w:tc>
        <w:tc>
          <w:tcPr>
            <w:tcW w:type="dxa" w:w="921"/>
            <w:shd w:fill="F5F5F5" w:val="clear"/>
            <w:vAlign w:val="center"/>
          </w:tcPr>
          <w:p>
            <w:pPr>
              <w:spacing w:before="30" w:after="30"/>
            </w:pPr>
            <w:r>
              <w:rPr>
                <w:rFonts w:ascii="DM Sans" w:hAnsi="DM Sans" w:cs="DM Sans"/>
                <w:b w:val="0"/>
                <w:i w:val="0"/>
                <w:color w:val="050C2A"/>
                <w:sz w:val="20"/>
                <w:u w:val="none"/>
              </w:rPr>
              <w:t>60</w:t>
            </w:r>
          </w:p>
        </w:tc>
        <w:tc>
          <w:tcPr>
            <w:tcW w:type="dxa" w:w="4803"/>
            <w:shd w:fill="F5F5F5" w:val="clear"/>
            <w:vAlign w:val="center"/>
          </w:tcPr>
          <w:p>
            <w:pPr>
              <w:spacing w:before="30" w:after="30"/>
            </w:pPr>
            <w:r>
              <w:rPr>
                <w:rFonts w:ascii="DM Sans" w:hAnsi="DM Sans" w:cs="DM Sans"/>
                <w:b w:val="0"/>
                <w:i w:val="0"/>
                <w:color w:val="050C2A"/>
                <w:sz w:val="20"/>
                <w:u w:val="none"/>
              </w:rPr>
              <w:t>Students begin the most demanding reflection of the course; the prompt asks them to step back over the full 15-week arc and identify the single most important thing learned about how they work professionally — not about the project's subject matter, but about the student as a professional; starting now (rather than cramming in Week 15) gives students time to think, notice patterns, and draft with care; previewed in Week 13 (13.09); AI-as-Socratic-partner strategy applies; AI-assisted drafting is off-limits for reflections; AI disclosure required on Week 15 submission</w:t>
            </w:r>
          </w:p>
        </w:tc>
      </w:tr>
      <w:tr>
        <w:tc>
          <w:tcPr>
            <w:tcW w:type="dxa" w:w="404"/>
            <w:vAlign w:val="center"/>
          </w:tcPr>
          <w:p>
            <w:pPr>
              <w:spacing w:before="30" w:after="30"/>
            </w:pPr>
            <w:r>
              <w:rPr>
                <w:rFonts w:ascii="DM Sans" w:hAnsi="DM Sans" w:cs="DM Sans"/>
                <w:b w:val="0"/>
                <w:i w:val="0"/>
                <w:color w:val="050C2A"/>
                <w:sz w:val="20"/>
                <w:u w:val="none"/>
              </w:rPr>
              <w:t>14.11</w:t>
            </w:r>
          </w:p>
        </w:tc>
        <w:tc>
          <w:tcPr>
            <w:tcW w:type="dxa" w:w="903"/>
            <w:vAlign w:val="center"/>
          </w:tcPr>
          <w:p>
            <w:pPr>
              <w:spacing w:before="30" w:after="30"/>
            </w:pPr>
            <w:r>
              <w:rPr>
                <w:rFonts w:ascii="DM Sans" w:hAnsi="DM Sans" w:cs="DM Sans"/>
                <w:b w:val="0"/>
                <w:i w:val="0"/>
                <w:color w:val="050C2A"/>
                <w:sz w:val="20"/>
                <w:u w:val="none"/>
              </w:rPr>
              <w:t>Reflection &amp; Assessment</w:t>
            </w:r>
          </w:p>
        </w:tc>
        <w:tc>
          <w:tcPr>
            <w:tcW w:type="dxa" w:w="1851"/>
            <w:vAlign w:val="center"/>
          </w:tcPr>
          <w:p>
            <w:pPr>
              <w:spacing w:before="30" w:after="30"/>
            </w:pPr>
            <w:r>
              <w:rPr>
                <w:rFonts w:ascii="DM Sans" w:hAnsi="DM Sans" w:cs="DM Sans"/>
                <w:b w:val="0"/>
                <w:i w:val="0"/>
                <w:color w:val="050C2A"/>
                <w:sz w:val="20"/>
                <w:u w:val="none"/>
              </w:rPr>
              <w:t>Begin Peer Evaluation #2 — review instructions, reflect on teammate contributions across the full project</w:t>
            </w:r>
          </w:p>
        </w:tc>
        <w:tc>
          <w:tcPr>
            <w:tcW w:type="dxa" w:w="478"/>
            <w:vAlign w:val="center"/>
          </w:tcPr>
          <w:p>
            <w:pPr>
              <w:spacing w:before="30" w:after="30"/>
            </w:pPr>
            <w:r>
              <w:rPr>
                <w:rFonts w:ascii="DM Sans" w:hAnsi="DM Sans" w:cs="DM Sans"/>
                <w:b w:val="0"/>
                <w:i w:val="0"/>
                <w:color w:val="050C2A"/>
                <w:sz w:val="20"/>
                <w:u w:val="none"/>
              </w:rPr>
              <w:t>Text</w:t>
            </w:r>
          </w:p>
        </w:tc>
        <w:tc>
          <w:tcPr>
            <w:tcW w:type="dxa" w:w="921"/>
            <w:vAlign w:val="center"/>
          </w:tcPr>
          <w:p>
            <w:pPr>
              <w:spacing w:before="30" w:after="30"/>
            </w:pPr>
            <w:r>
              <w:rPr>
                <w:rFonts w:ascii="DM Sans" w:hAnsi="DM Sans" w:cs="DM Sans"/>
                <w:b w:val="0"/>
                <w:i w:val="0"/>
                <w:color w:val="050C2A"/>
                <w:sz w:val="20"/>
                <w:u w:val="none"/>
              </w:rPr>
              <w:t>40</w:t>
            </w:r>
          </w:p>
        </w:tc>
        <w:tc>
          <w:tcPr>
            <w:tcW w:type="dxa" w:w="4803"/>
            <w:vAlign w:val="center"/>
          </w:tcPr>
          <w:p>
            <w:pPr>
              <w:spacing w:before="30" w:after="30"/>
            </w:pPr>
            <w:r>
              <w:rPr>
                <w:rFonts w:ascii="DM Sans" w:hAnsi="DM Sans" w:cs="DM Sans"/>
                <w:b w:val="0"/>
                <w:i w:val="0"/>
                <w:color w:val="050C2A"/>
                <w:sz w:val="20"/>
                <w:u w:val="none"/>
              </w:rPr>
              <w:t>Students start the final peer evaluation; unlike Peer Eval #1 (Week 8, which covered Weeks 1–8), this covers the full project arc from Week 1 through Week 15; includes 10 min to revisit the Week 8 peer eval module content (BARS rubric, Continue/Start/Adjust framework, calibration examples) before beginning — the instrument is the same, but evaluating 15 weeks of collaboration is more complex than evaluating 8; reviewing instructions now and beginning to think through teammate contributions ensures Week 15 isn't overwhelmed; contributes to Professional Engagement grade (70% of overall peer evaluation score); previewed in Week 13 (13.09)</w:t>
            </w:r>
          </w:p>
        </w:tc>
      </w:tr>
      <w:tr>
        <w:tc>
          <w:tcPr>
            <w:tcW w:type="dxa" w:w="404"/>
            <w:shd w:fill="F5F5F5" w:val="clear"/>
            <w:vAlign w:val="center"/>
          </w:tcPr>
          <w:p>
            <w:pPr>
              <w:spacing w:before="30" w:after="30"/>
            </w:pPr>
            <w:r>
              <w:rPr>
                <w:rFonts w:ascii="DM Sans" w:hAnsi="DM Sans" w:cs="DM Sans"/>
                <w:b w:val="0"/>
                <w:i w:val="0"/>
                <w:color w:val="050C2A"/>
                <w:sz w:val="20"/>
                <w:u w:val="none"/>
              </w:rPr>
              <w:t>14.12</w:t>
            </w:r>
          </w:p>
        </w:tc>
        <w:tc>
          <w:tcPr>
            <w:tcW w:type="dxa" w:w="903"/>
            <w:shd w:fill="F5F5F5" w:val="clear"/>
            <w:vAlign w:val="center"/>
          </w:tcPr>
          <w:p>
            <w:pPr>
              <w:spacing w:before="30" w:after="30"/>
            </w:pPr>
            <w:r>
              <w:rPr>
                <w:rFonts w:ascii="DM Sans" w:hAnsi="DM Sans" w:cs="DM Sans"/>
                <w:b w:val="0"/>
                <w:i w:val="0"/>
                <w:color w:val="050C2A"/>
                <w:sz w:val="20"/>
                <w:u w:val="none"/>
              </w:rPr>
              <w:t>Project Work</w:t>
            </w:r>
          </w:p>
        </w:tc>
        <w:tc>
          <w:tcPr>
            <w:tcW w:type="dxa" w:w="1851"/>
            <w:shd w:fill="F5F5F5" w:val="clear"/>
            <w:vAlign w:val="center"/>
          </w:tcPr>
          <w:p>
            <w:pPr>
              <w:spacing w:before="30" w:after="30"/>
            </w:pPr>
            <w:r>
              <w:rPr>
                <w:rFonts w:ascii="DM Sans" w:hAnsi="DM Sans" w:cs="DM Sans"/>
                <w:b w:val="0"/>
                <w:i w:val="0"/>
                <w:color w:val="050C2A"/>
                <w:sz w:val="20"/>
                <w:u w:val="none"/>
              </w:rPr>
              <w:t>Async team communication across the week</w:t>
            </w:r>
          </w:p>
        </w:tc>
        <w:tc>
          <w:tcPr>
            <w:tcW w:type="dxa" w:w="478"/>
            <w:shd w:fill="F5F5F5" w:val="clear"/>
            <w:vAlign w:val="center"/>
          </w:tcPr>
          <w:p>
            <w:pPr>
              <w:spacing w:before="30" w:after="30"/>
            </w:pPr>
            <w:r>
              <w:rPr>
                <w:rFonts w:ascii="DM Sans" w:hAnsi="DM Sans" w:cs="DM Sans"/>
                <w:b w:val="0"/>
                <w:i w:val="0"/>
                <w:color w:val="050C2A"/>
                <w:sz w:val="20"/>
                <w:u w:val="none"/>
              </w:rPr>
              <w:t>Project</w:t>
            </w:r>
          </w:p>
        </w:tc>
        <w:tc>
          <w:tcPr>
            <w:tcW w:type="dxa" w:w="921"/>
            <w:shd w:fill="F5F5F5" w:val="clear"/>
            <w:vAlign w:val="center"/>
          </w:tcPr>
          <w:p>
            <w:pPr>
              <w:spacing w:before="30" w:after="30"/>
            </w:pPr>
            <w:r>
              <w:rPr>
                <w:rFonts w:ascii="DM Sans" w:hAnsi="DM Sans" w:cs="DM Sans"/>
                <w:b w:val="0"/>
                <w:i w:val="0"/>
                <w:color w:val="050C2A"/>
                <w:sz w:val="20"/>
                <w:u w:val="none"/>
              </w:rPr>
              <w:t>45</w:t>
            </w:r>
          </w:p>
        </w:tc>
        <w:tc>
          <w:tcPr>
            <w:tcW w:type="dxa" w:w="4803"/>
            <w:shd w:fill="F5F5F5" w:val="clear"/>
            <w:vAlign w:val="center"/>
          </w:tcPr>
          <w:p>
            <w:pPr>
              <w:spacing w:before="30" w:after="30"/>
            </w:pPr>
            <w:r>
              <w:rPr>
                <w:rFonts w:ascii="DM Sans" w:hAnsi="DM Sans" w:cs="DM Sans"/>
                <w:b w:val="0"/>
                <w:i w:val="0"/>
                <w:color w:val="050C2A"/>
                <w:sz w:val="20"/>
                <w:u w:val="none"/>
              </w:rPr>
              <w:t>Coordination, logistics, check-ins outside structured activities; final async communication before Week 15; contribution record relevant to Peer Evaluation #2; 45 minutes maintained because the week's coordination overhead is real — teams are managing presentation logistics, deck collaboration, rehearsal scheduling, and individual reflection and peer evaluation work simultaneously</w:t>
            </w:r>
          </w:p>
        </w:tc>
      </w:tr>
      <w:tr>
        <w:tc>
          <w:tcPr>
            <w:tcW w:type="dxa" w:w="404"/>
            <w:vAlign w:val="center"/>
          </w:tcPr>
          <w:p>
            <w:pPr>
              <w:spacing w:before="30" w:after="30"/>
            </w:pPr>
          </w:p>
        </w:tc>
        <w:tc>
          <w:tcPr>
            <w:tcW w:type="dxa" w:w="903"/>
            <w:vAlign w:val="center"/>
          </w:tcPr>
          <w:p>
            <w:pPr>
              <w:spacing w:before="30" w:after="30"/>
            </w:pPr>
          </w:p>
        </w:tc>
        <w:tc>
          <w:tcPr>
            <w:tcW w:type="dxa" w:w="1851"/>
            <w:vAlign w:val="center"/>
          </w:tcPr>
          <w:p>
            <w:pPr>
              <w:spacing w:before="30" w:after="30"/>
            </w:pPr>
            <w:r>
              <w:rPr>
                <w:rFonts w:ascii="DM Sans" w:hAnsi="DM Sans" w:cs="DM Sans"/>
                <w:b/>
                <w:i w:val="0"/>
                <w:color w:val="050C2A"/>
                <w:sz w:val="20"/>
                <w:u w:val="none"/>
              </w:rPr>
              <w:t>TOTAL</w:t>
            </w:r>
          </w:p>
        </w:tc>
        <w:tc>
          <w:tcPr>
            <w:tcW w:type="dxa" w:w="478"/>
            <w:vAlign w:val="center"/>
          </w:tcPr>
          <w:p>
            <w:pPr>
              <w:spacing w:before="30" w:after="30"/>
            </w:pPr>
          </w:p>
        </w:tc>
        <w:tc>
          <w:tcPr>
            <w:tcW w:type="dxa" w:w="921"/>
            <w:vAlign w:val="center"/>
          </w:tcPr>
          <w:p>
            <w:pPr>
              <w:spacing w:before="30" w:after="30"/>
            </w:pPr>
            <w:r>
              <w:rPr>
                <w:rFonts w:ascii="DM Sans" w:hAnsi="DM Sans" w:cs="DM Sans"/>
                <w:b/>
                <w:i w:val="0"/>
                <w:color w:val="050C2A"/>
                <w:sz w:val="20"/>
                <w:u w:val="none"/>
              </w:rPr>
              <w:t>485 min (~8 hrs 5 min)</w:t>
            </w:r>
          </w:p>
        </w:tc>
        <w:tc>
          <w:tcPr>
            <w:tcW w:type="dxa" w:w="4803"/>
            <w:vAlign w:val="center"/>
          </w:tcPr>
          <w:p>
            <w:pPr>
              <w:spacing w:before="30" w:after="30"/>
            </w:pPr>
          </w:p>
        </w:tc>
      </w:tr>
    </w:tbl>
    <w:p>
      <w:pPr>
        <w:spacing w:before="0" w:after="120"/>
      </w:pPr>
    </w:p>
    <w:p>
      <w:pPr>
        <w:spacing w:before="280" w:after="100"/>
      </w:pPr>
      <w:r>
        <w:rPr>
          <w:rFonts w:ascii="DM Sans" w:hAnsi="DM Sans" w:cs="DM Sans"/>
          <w:b/>
          <w:i w:val="0"/>
          <w:color w:val="050C2A"/>
          <w:sz w:val="28"/>
          <w:u w:val="none"/>
        </w:rPr>
        <w:t>Competency Alignment</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1481"/>
            <w:shd w:fill="FF7C0A" w:val="clear"/>
            <w:vAlign w:val="center"/>
          </w:tcPr>
          <w:p>
            <w:pPr>
              <w:jc w:val="left"/>
              <w:spacing w:before="40" w:after="40"/>
            </w:pPr>
            <w:r>
              <w:rPr>
                <w:rFonts w:ascii="DM Sans" w:hAnsi="DM Sans" w:cs="DM Sans"/>
                <w:b/>
                <w:i w:val="0"/>
                <w:color w:val="FFFFFF"/>
                <w:sz w:val="20"/>
                <w:u w:val="none"/>
              </w:rPr>
              <w:t>Competency Area</w:t>
            </w:r>
          </w:p>
        </w:tc>
        <w:tc>
          <w:tcPr>
            <w:tcW w:type="dxa" w:w="1260"/>
            <w:shd w:fill="FF7C0A" w:val="clear"/>
            <w:vAlign w:val="center"/>
          </w:tcPr>
          <w:p>
            <w:pPr>
              <w:jc w:val="left"/>
              <w:spacing w:before="40" w:after="40"/>
            </w:pPr>
            <w:r>
              <w:rPr>
                <w:rFonts w:ascii="DM Sans" w:hAnsi="DM Sans" w:cs="DM Sans"/>
                <w:b/>
                <w:i w:val="0"/>
                <w:color w:val="FFFFFF"/>
                <w:sz w:val="20"/>
                <w:u w:val="none"/>
              </w:rPr>
              <w:t>Subskill</w:t>
            </w:r>
          </w:p>
        </w:tc>
        <w:tc>
          <w:tcPr>
            <w:tcW w:type="dxa" w:w="6619"/>
            <w:shd w:fill="FF7C0A" w:val="clear"/>
            <w:vAlign w:val="center"/>
          </w:tcPr>
          <w:p>
            <w:pPr>
              <w:jc w:val="left"/>
              <w:spacing w:before="40" w:after="40"/>
            </w:pPr>
            <w:r>
              <w:rPr>
                <w:rFonts w:ascii="DM Sans" w:hAnsi="DM Sans" w:cs="DM Sans"/>
                <w:b/>
                <w:i w:val="0"/>
                <w:color w:val="FFFFFF"/>
                <w:sz w:val="20"/>
                <w:u w:val="none"/>
              </w:rPr>
              <w:t>How This Week Builds It</w:t>
            </w:r>
          </w:p>
        </w:tc>
      </w:tr>
      <w:tr>
        <w:tc>
          <w:tcPr>
            <w:tcW w:type="dxa" w:w="1481"/>
            <w:vAlign w:val="center"/>
          </w:tcPr>
          <w:p>
            <w:pPr>
              <w:spacing w:before="30" w:after="30"/>
            </w:pPr>
            <w:r>
              <w:rPr>
                <w:rFonts w:ascii="DM Sans" w:hAnsi="DM Sans" w:cs="DM Sans"/>
                <w:b/>
                <w:i w:val="0"/>
                <w:color w:val="050C2A"/>
                <w:sz w:val="20"/>
                <w:u w:val="none"/>
              </w:rPr>
              <w:t>Communication</w:t>
            </w:r>
          </w:p>
        </w:tc>
        <w:tc>
          <w:tcPr>
            <w:tcW w:type="dxa" w:w="1260"/>
            <w:vAlign w:val="center"/>
          </w:tcPr>
          <w:p>
            <w:pPr>
              <w:spacing w:before="30" w:after="30"/>
            </w:pPr>
            <w:r>
              <w:rPr>
                <w:rFonts w:ascii="DM Sans" w:hAnsi="DM Sans" w:cs="DM Sans"/>
                <w:b w:val="0"/>
                <w:i w:val="0"/>
                <w:color w:val="050C2A"/>
                <w:sz w:val="20"/>
                <w:u w:val="none"/>
              </w:rPr>
              <w:t>Oral Presentation</w:t>
            </w:r>
          </w:p>
        </w:tc>
        <w:tc>
          <w:tcPr>
            <w:tcW w:type="dxa" w:w="6619"/>
            <w:vAlign w:val="center"/>
          </w:tcPr>
          <w:p>
            <w:pPr>
              <w:spacing w:before="30" w:after="30"/>
            </w:pPr>
            <w:r>
              <w:rPr>
                <w:rFonts w:ascii="DM Sans" w:hAnsi="DM Sans" w:cs="DM Sans"/>
                <w:b w:val="0"/>
                <w:i w:val="0"/>
                <w:color w:val="050C2A"/>
                <w:sz w:val="20"/>
                <w:u w:val="none"/>
              </w:rPr>
              <w:t>This is the primary presentation competency week. Module 14.02 provides operational planning skills (role assignments, narrative arc, speaker coordination), and module 14.03 addresses Q&amp;A — a presentation skill students rarely practice in academic settings. The deck build (14.08) is the first time students translate written deliverable content into a presentation format, and the rehearsal (14.09) is the first full run-through. The two-week arc from Week 12 (conceptual) to Week 14 (operational) ensures students don't arrive at Week 15 having never practiced what they'll do.</w:t>
            </w:r>
          </w:p>
        </w:tc>
      </w:tr>
      <w:tr>
        <w:tc>
          <w:tcPr>
            <w:tcW w:type="dxa" w:w="1481"/>
            <w:shd w:fill="F5F5F5" w:val="clear"/>
            <w:vAlign w:val="center"/>
          </w:tcPr>
          <w:p>
            <w:pPr>
              <w:spacing w:before="30" w:after="30"/>
            </w:pPr>
            <w:r>
              <w:rPr>
                <w:rFonts w:ascii="DM Sans" w:hAnsi="DM Sans" w:cs="DM Sans"/>
                <w:b/>
                <w:i w:val="0"/>
                <w:color w:val="050C2A"/>
                <w:sz w:val="20"/>
                <w:u w:val="none"/>
              </w:rPr>
              <w:t>Communication</w:t>
            </w:r>
          </w:p>
        </w:tc>
        <w:tc>
          <w:tcPr>
            <w:tcW w:type="dxa" w:w="1260"/>
            <w:shd w:fill="F5F5F5" w:val="clear"/>
            <w:vAlign w:val="center"/>
          </w:tcPr>
          <w:p>
            <w:pPr>
              <w:spacing w:before="30" w:after="30"/>
            </w:pPr>
            <w:r>
              <w:rPr>
                <w:rFonts w:ascii="DM Sans" w:hAnsi="DM Sans" w:cs="DM Sans"/>
                <w:b w:val="0"/>
                <w:i w:val="0"/>
                <w:color w:val="050C2A"/>
                <w:sz w:val="20"/>
                <w:u w:val="none"/>
              </w:rPr>
              <w:t>Active Listening</w:t>
            </w:r>
          </w:p>
        </w:tc>
        <w:tc>
          <w:tcPr>
            <w:tcW w:type="dxa" w:w="6619"/>
            <w:shd w:fill="F5F5F5" w:val="clear"/>
            <w:vAlign w:val="center"/>
          </w:tcPr>
          <w:p>
            <w:pPr>
              <w:spacing w:before="30" w:after="30"/>
            </w:pPr>
            <w:r>
              <w:rPr>
                <w:rFonts w:ascii="DM Sans" w:hAnsi="DM Sans" w:cs="DM Sans"/>
                <w:b w:val="0"/>
                <w:i w:val="0"/>
                <w:color w:val="050C2A"/>
                <w:sz w:val="20"/>
                <w:u w:val="none"/>
              </w:rPr>
              <w:t>Module 14.03 (Handling Q&amp;A) teaches a specific form of active listening: hearing a question, processing what's actually being asked, and responding to that rather than a rehearsed answer. The rehearsal (14.09) creates the first practice site for this skill in a low-stakes environment before the employer-facing Final Presentation.</w:t>
            </w:r>
          </w:p>
        </w:tc>
      </w:tr>
      <w:tr>
        <w:tc>
          <w:tcPr>
            <w:tcW w:type="dxa" w:w="1481"/>
            <w:vAlign w:val="center"/>
          </w:tcPr>
          <w:p>
            <w:pPr>
              <w:spacing w:before="30" w:after="30"/>
            </w:pPr>
            <w:r>
              <w:rPr>
                <w:rFonts w:ascii="DM Sans" w:hAnsi="DM Sans" w:cs="DM Sans"/>
                <w:b/>
                <w:i w:val="0"/>
                <w:color w:val="050C2A"/>
                <w:sz w:val="20"/>
                <w:u w:val="none"/>
              </w:rPr>
              <w:t>Career &amp; Self-Development</w:t>
            </w:r>
          </w:p>
        </w:tc>
        <w:tc>
          <w:tcPr>
            <w:tcW w:type="dxa" w:w="1260"/>
            <w:vAlign w:val="center"/>
          </w:tcPr>
          <w:p>
            <w:pPr>
              <w:spacing w:before="30" w:after="30"/>
            </w:pPr>
            <w:r>
              <w:rPr>
                <w:rFonts w:ascii="DM Sans" w:hAnsi="DM Sans" w:cs="DM Sans"/>
                <w:b w:val="0"/>
                <w:i w:val="0"/>
                <w:color w:val="050C2A"/>
                <w:sz w:val="20"/>
                <w:u w:val="none"/>
              </w:rPr>
              <w:t>Reflection</w:t>
            </w:r>
          </w:p>
        </w:tc>
        <w:tc>
          <w:tcPr>
            <w:tcW w:type="dxa" w:w="6619"/>
            <w:vAlign w:val="center"/>
          </w:tcPr>
          <w:p>
            <w:pPr>
              <w:spacing w:before="30" w:after="30"/>
            </w:pPr>
            <w:r>
              <w:rPr>
                <w:rFonts w:ascii="DM Sans" w:hAnsi="DM Sans" w:cs="DM Sans"/>
                <w:b w:val="0"/>
                <w:i w:val="0"/>
                <w:color w:val="050C2A"/>
                <w:sz w:val="20"/>
                <w:u w:val="none"/>
              </w:rPr>
              <w:t>Module 14.06 scaffolds Reflection #5 — the most demanding reflection in the portfolio. Unlike prior reflection scaffolding modules, which focused on deepening the Examine stage or connecting specific experiences to learning, this module addresses the harder challenge of selecting an anchor from across 15 weeks and identifying what changed in how the student works professionally. Activity 14.10 provides the drafting time, with finalization in Week 15.</w:t>
            </w:r>
          </w:p>
        </w:tc>
      </w:tr>
      <w:tr>
        <w:tc>
          <w:tcPr>
            <w:tcW w:type="dxa" w:w="1481"/>
            <w:shd w:fill="F5F5F5" w:val="clear"/>
            <w:vAlign w:val="center"/>
          </w:tcPr>
          <w:p>
            <w:pPr>
              <w:spacing w:before="30" w:after="30"/>
            </w:pPr>
            <w:r>
              <w:rPr>
                <w:rFonts w:ascii="DM Sans" w:hAnsi="DM Sans" w:cs="DM Sans"/>
                <w:b/>
                <w:i w:val="0"/>
                <w:color w:val="050C2A"/>
                <w:sz w:val="20"/>
                <w:u w:val="none"/>
              </w:rPr>
              <w:t>Career &amp; Self-Development</w:t>
            </w:r>
          </w:p>
        </w:tc>
        <w:tc>
          <w:tcPr>
            <w:tcW w:type="dxa" w:w="1260"/>
            <w:shd w:fill="F5F5F5" w:val="clear"/>
            <w:vAlign w:val="center"/>
          </w:tcPr>
          <w:p>
            <w:pPr>
              <w:spacing w:before="30" w:after="30"/>
            </w:pPr>
            <w:r>
              <w:rPr>
                <w:rFonts w:ascii="DM Sans" w:hAnsi="DM Sans" w:cs="DM Sans"/>
                <w:b w:val="0"/>
                <w:i w:val="0"/>
                <w:color w:val="050C2A"/>
                <w:sz w:val="20"/>
                <w:u w:val="none"/>
              </w:rPr>
              <w:t>Career Articulation</w:t>
            </w:r>
          </w:p>
        </w:tc>
        <w:tc>
          <w:tcPr>
            <w:tcW w:type="dxa" w:w="6619"/>
            <w:shd w:fill="F5F5F5" w:val="clear"/>
            <w:vAlign w:val="center"/>
          </w:tcPr>
          <w:p>
            <w:pPr>
              <w:spacing w:before="30" w:after="30"/>
            </w:pPr>
            <w:r>
              <w:rPr>
                <w:rFonts w:ascii="DM Sans" w:hAnsi="DM Sans" w:cs="DM Sans"/>
                <w:b w:val="0"/>
                <w:i w:val="0"/>
                <w:color w:val="050C2A"/>
                <w:sz w:val="20"/>
                <w:u w:val="none"/>
              </w:rPr>
              <w:t>Module 14.04 (Transfer) teaches the skill that Reflection #5 assesses: extracting transferable professional principles from specific project experiences. This is the competency that connects the course to what comes after — students who can articulate what they learned in terms that transfer to new contexts are better positioned for job interviews, graduate school applications, and future professional work. The Reflection #5 prompt makes this skill visible and assessable.</w:t>
            </w:r>
          </w:p>
        </w:tc>
      </w:tr>
      <w:tr>
        <w:tc>
          <w:tcPr>
            <w:tcW w:type="dxa" w:w="1481"/>
            <w:vAlign w:val="center"/>
          </w:tcPr>
          <w:p>
            <w:pPr>
              <w:spacing w:before="30" w:after="30"/>
            </w:pPr>
            <w:r>
              <w:rPr>
                <w:rFonts w:ascii="DM Sans" w:hAnsi="DM Sans" w:cs="DM Sans"/>
                <w:b/>
                <w:i w:val="0"/>
                <w:color w:val="050C2A"/>
                <w:sz w:val="20"/>
                <w:u w:val="none"/>
              </w:rPr>
              <w:t>Teamwork</w:t>
            </w:r>
          </w:p>
        </w:tc>
        <w:tc>
          <w:tcPr>
            <w:tcW w:type="dxa" w:w="1260"/>
            <w:vAlign w:val="center"/>
          </w:tcPr>
          <w:p>
            <w:pPr>
              <w:spacing w:before="30" w:after="30"/>
            </w:pPr>
            <w:r>
              <w:rPr>
                <w:rFonts w:ascii="DM Sans" w:hAnsi="DM Sans" w:cs="DM Sans"/>
                <w:b w:val="0"/>
                <w:i w:val="0"/>
                <w:color w:val="050C2A"/>
                <w:sz w:val="20"/>
                <w:u w:val="none"/>
              </w:rPr>
              <w:t>Constructive Feedback</w:t>
            </w:r>
          </w:p>
        </w:tc>
        <w:tc>
          <w:tcPr>
            <w:tcW w:type="dxa" w:w="6619"/>
            <w:vAlign w:val="center"/>
          </w:tcPr>
          <w:p>
            <w:pPr>
              <w:spacing w:before="30" w:after="30"/>
            </w:pPr>
            <w:r>
              <w:rPr>
                <w:rFonts w:ascii="DM Sans" w:hAnsi="DM Sans" w:cs="DM Sans"/>
                <w:b w:val="0"/>
                <w:i w:val="0"/>
                <w:color w:val="050C2A"/>
                <w:sz w:val="20"/>
                <w:u w:val="none"/>
              </w:rPr>
              <w:t>Module 14.07 prepares students for the summative peer evaluation, which requires a more complex assessment than the mid-project evaluation — evaluating the full arc of a teammate's contribution rather than a snapshot. The evaluation itself (14.11, continued in Week 15) is the primary evidence source for Teamwork competency assessment and the largest input into the Professional Engagement grade.</w:t>
            </w:r>
          </w:p>
        </w:tc>
      </w:tr>
    </w:tbl>
    <w:p>
      <w:pPr>
        <w:spacing w:before="0" w:after="120"/>
      </w:pPr>
    </w:p>
    <w:p>
      <w:pPr>
        <w:spacing w:before="280" w:after="100"/>
      </w:pPr>
      <w:r>
        <w:rPr>
          <w:rFonts w:ascii="DM Sans" w:hAnsi="DM Sans" w:cs="DM Sans"/>
          <w:b/>
          <w:i w:val="0"/>
          <w:color w:val="050C2A"/>
          <w:sz w:val="28"/>
          <w:u w:val="none"/>
        </w:rPr>
        <w:t>Deliverable Connection</w:t>
      </w:r>
    </w:p>
    <w:p>
      <w:pPr>
        <w:spacing w:before="0" w:after="120" w:line="276" w:lineRule="auto"/>
      </w:pPr>
      <w:r>
        <w:rPr>
          <w:rFonts w:ascii="DM Sans" w:hAnsi="DM Sans" w:cs="DM Sans"/>
          <w:b/>
          <w:i w:val="0"/>
          <w:color w:val="050C2A"/>
          <w:sz w:val="20"/>
          <w:u w:val="none"/>
        </w:rPr>
        <w:t>Presentation Outline → Communication (Oral Presentation) + Professionalism (Quality &amp; Attention to Detail)</w:t>
      </w:r>
    </w:p>
    <w:p>
      <w:pPr>
        <w:spacing w:before="0" w:after="120" w:line="276" w:lineRule="auto"/>
      </w:pPr>
      <w:r>
        <w:rPr>
          <w:rFonts w:ascii="DM Sans" w:hAnsi="DM Sans" w:cs="DM Sans"/>
          <w:b w:val="0"/>
          <w:i w:val="0"/>
          <w:color w:val="050C2A"/>
          <w:sz w:val="20"/>
          <w:u w:val="none"/>
        </w:rPr>
        <w:t>Checkpoint; completion-based. Team submission. The Presentation Outline was drafted in Week 12 (12.07) after students completed the Presentation Fundamentals module. This week, teams refine the outline and submit it as a checkpoint before building the actual presentation. The outline should include: narrative structure (what's the story, not just the sequence?), role assignments (who presents what, and how do handoffs work?), key talking points per section, and planned visual support (what needs slides, what's better said than shown?).</w:t>
      </w:r>
    </w:p>
    <w:p>
      <w:pPr>
        <w:spacing w:before="0" w:after="120" w:line="276" w:lineRule="auto"/>
      </w:pPr>
      <w:r>
        <w:rPr>
          <w:rFonts w:ascii="DM Sans" w:hAnsi="DM Sans" w:cs="DM Sans"/>
          <w:b w:val="0"/>
          <w:i w:val="0"/>
          <w:color w:val="050C2A"/>
          <w:sz w:val="20"/>
          <w:u w:val="none"/>
        </w:rPr>
        <w:t>The checkpoint is completion-based — the outline is assessed for completeness and evidence of deliberate planning, not for quality of the eventual presentation. Teams that submit a thin or generic outline are likely to build a thin or generic presentation, so the checkpoint serves as a self-check: if the outline doesn't tell a compelling story on paper, it won't tell one on stage.</w:t>
      </w:r>
    </w:p>
    <w:p>
      <w:pPr>
        <w:spacing w:before="0" w:after="120" w:line="276" w:lineRule="auto"/>
      </w:pPr>
      <w:r>
        <w:rPr>
          <w:rFonts w:ascii="DM Sans" w:hAnsi="DM Sans" w:cs="DM Sans"/>
          <w:b w:val="0"/>
          <w:i w:val="0"/>
          <w:color w:val="050C2A"/>
          <w:sz w:val="20"/>
          <w:u w:val="none"/>
        </w:rPr>
        <w:t>AI-assisted structuring of the outline is permitted — using AI to help organize the narrative arc, identify what the audience needs to hear, or check that the flow builds to a clear conclusion is appropriate. AI disclosure required on submission.</w:t>
      </w:r>
    </w:p>
    <w:p>
      <w:pPr>
        <w:spacing w:before="0" w:after="120" w:line="276" w:lineRule="auto"/>
      </w:pPr>
      <w:r>
        <w:rPr>
          <w:rFonts w:ascii="DM Sans" w:hAnsi="DM Sans" w:cs="DM Sans"/>
          <w:b/>
          <w:i w:val="0"/>
          <w:color w:val="050C2A"/>
          <w:sz w:val="20"/>
          <w:u w:val="none"/>
        </w:rPr>
        <w:t>Reflection #5 (begun)</w:t>
      </w:r>
      <w:r>
        <w:rPr>
          <w:rFonts w:ascii="DM Sans" w:hAnsi="DM Sans" w:cs="DM Sans"/>
          <w:b w:val="0"/>
          <w:i w:val="0"/>
          <w:color w:val="050C2A"/>
          <w:sz w:val="20"/>
          <w:u w:val="none"/>
        </w:rPr>
        <w:t xml:space="preserve"> — Not submitted this week. Students begin the final DEAL reflection in 14.10 and finalize it in Week 15. The reflection prompt asks students to identify the single most important thing they learned about how they work, learn, or engage professionally — not about the project's subject matter but about themselves. The experiential pool is the full course arc: Weeks 1–15. Starting here gives students time to think rather than cramming the most demanding reflection into the final week.</w:t>
      </w:r>
    </w:p>
    <w:p>
      <w:pPr>
        <w:spacing w:before="0" w:after="120" w:line="276" w:lineRule="auto"/>
      </w:pPr>
      <w:r>
        <w:rPr>
          <w:rFonts w:ascii="DM Sans" w:hAnsi="DM Sans" w:cs="DM Sans"/>
          <w:b/>
          <w:i w:val="0"/>
          <w:color w:val="050C2A"/>
          <w:sz w:val="20"/>
          <w:u w:val="none"/>
        </w:rPr>
        <w:t>Peer Evaluation #2 (begun)</w:t>
      </w:r>
      <w:r>
        <w:rPr>
          <w:rFonts w:ascii="DM Sans" w:hAnsi="DM Sans" w:cs="DM Sans"/>
          <w:b w:val="0"/>
          <w:i w:val="0"/>
          <w:color w:val="050C2A"/>
          <w:sz w:val="20"/>
          <w:u w:val="none"/>
        </w:rPr>
        <w:t xml:space="preserve"> — Not submitted this week. Students begin reviewing instructions and reflecting on teammate contributions in 14.11 and finalize the evaluation in Week 15. The evaluation covers the full project arc and uses the same BARS framework as Week 8, but at higher stakes — it contributes 70% of the overall peer evaluation score and feeds directly into the Professional Engagement grade (20% of course grade).</w:t>
      </w:r>
    </w:p>
    <w:p>
      <w:pPr>
        <w:spacing w:before="280" w:after="100"/>
      </w:pPr>
      <w:r>
        <w:rPr>
          <w:rFonts w:ascii="DM Sans" w:hAnsi="DM Sans" w:cs="DM Sans"/>
          <w:b/>
          <w:i w:val="0"/>
          <w:color w:val="050C2A"/>
          <w:sz w:val="28"/>
          <w:u w:val="none"/>
        </w:rPr>
        <w:t>AI in This Week</w:t>
      </w:r>
    </w:p>
    <w:p>
      <w:pPr>
        <w:spacing w:before="0" w:after="120" w:line="276" w:lineRule="auto"/>
      </w:pPr>
      <w:r>
        <w:rPr>
          <w:rFonts w:ascii="DM Sans" w:hAnsi="DM Sans" w:cs="DM Sans"/>
          <w:b/>
          <w:i w:val="0"/>
          <w:color w:val="050C2A"/>
          <w:sz w:val="20"/>
          <w:u w:val="none"/>
        </w:rPr>
        <w:t>Permitted and encouraged:</w:t>
      </w:r>
    </w:p>
    <w:p>
      <w:pPr>
        <w:spacing w:before="0" w:after="120" w:line="276" w:lineRule="auto"/>
      </w:pPr>
      <w:r>
        <w:rPr>
          <w:rFonts w:ascii="DM Sans" w:hAnsi="DM Sans" w:cs="DM Sans"/>
          <w:b w:val="0"/>
          <w:i w:val="0"/>
          <w:color w:val="050C2A"/>
          <w:sz w:val="20"/>
          <w:u w:val="none"/>
        </w:rPr>
        <w:t>Using AI to help build presentation slides and speaker notes is appropriate and mirrors professional practice. The specific caution from Week 12 (12.04) applies with more urgency now: AI-generated presentation language tends toward generic polish — "Today we'll walk you through our key findings" — and needs to be grounded in the team's specific work, findings, and recommendations. Using AI to help structure the narrative arc, draft speaker notes that capture the team's actual message, or generate data visualizations from the deliverable content are all reasonable applications.</w:t>
      </w:r>
    </w:p>
    <w:p>
      <w:pPr>
        <w:spacing w:before="0" w:after="120" w:line="276" w:lineRule="auto"/>
      </w:pPr>
      <w:r>
        <w:rPr>
          <w:rFonts w:ascii="DM Sans" w:hAnsi="DM Sans" w:cs="DM Sans"/>
          <w:b w:val="0"/>
          <w:i w:val="0"/>
          <w:color w:val="050C2A"/>
          <w:sz w:val="20"/>
          <w:u w:val="none"/>
        </w:rPr>
        <w:t>Using AI to prepare for Q&amp;A by generating likely employer questions is encouraged — this is a continuation of the stress-testing strategy introduced in Week 7. The difference at this stage is that the questions should target the presentation itself, not just the deliverable: "What would you do differently?" "How confident are you in this recommendation?" "What's the biggest limitation of your analysis?" Practicing answers to these questions — out loud, not just in writing — is what the rehearsal (14.09) is for.</w:t>
      </w:r>
    </w:p>
    <w:p>
      <w:pPr>
        <w:spacing w:before="0" w:after="120" w:line="276" w:lineRule="auto"/>
      </w:pPr>
      <w:r>
        <w:rPr>
          <w:rFonts w:ascii="DM Sans" w:hAnsi="DM Sans" w:cs="DM Sans"/>
          <w:b w:val="0"/>
          <w:i w:val="0"/>
          <w:color w:val="050C2A"/>
          <w:sz w:val="20"/>
          <w:u w:val="none"/>
        </w:rPr>
        <w:t>Using AI to help organize thinking for the peer evaluation — structuring observations across 15 weeks of collaboration, identifying specific behavioral examples for each BARS dimension — is permitted with disclosure. The observations and ratings themselves must be the student's genuine assessment.</w:t>
      </w:r>
    </w:p>
    <w:p>
      <w:pPr>
        <w:spacing w:before="0" w:after="120" w:line="276" w:lineRule="auto"/>
      </w:pPr>
      <w:r>
        <w:rPr>
          <w:rFonts w:ascii="DM Sans" w:hAnsi="DM Sans" w:cs="DM Sans"/>
          <w:b/>
          <w:i w:val="0"/>
          <w:color w:val="050C2A"/>
          <w:sz w:val="20"/>
          <w:u w:val="none"/>
        </w:rPr>
        <w:t>Off-limits this week:</w:t>
      </w:r>
    </w:p>
    <w:p>
      <w:pPr>
        <w:spacing w:before="0" w:after="120" w:line="276" w:lineRule="auto"/>
      </w:pPr>
      <w:r>
        <w:rPr>
          <w:rFonts w:ascii="DM Sans" w:hAnsi="DM Sans" w:cs="DM Sans"/>
          <w:b w:val="0"/>
          <w:i w:val="0"/>
          <w:color w:val="050C2A"/>
          <w:sz w:val="20"/>
          <w:u w:val="none"/>
        </w:rPr>
        <w:t>AI-assisted drafting is off-limits for Reflection #5. The reflection must be grounded in the student's actual experience across the full course arc — the single most important thing learned about how they work professionally is something only the student can identify because only the student lived it. AI as a Socratic thinking partner (asking follow-up questions, pushing back on surface-level observations, challenging the student to be more specific about what changed) is permitted and encouraged.</w:t>
      </w:r>
    </w:p>
    <w:p>
      <w:pPr>
        <w:spacing w:before="0" w:after="120" w:line="276" w:lineRule="auto"/>
      </w:pPr>
      <w:r>
        <w:rPr>
          <w:rFonts w:ascii="DM Sans" w:hAnsi="DM Sans" w:cs="DM Sans"/>
          <w:b w:val="0"/>
          <w:i w:val="0"/>
          <w:color w:val="050C2A"/>
          <w:sz w:val="20"/>
          <w:u w:val="none"/>
        </w:rPr>
        <w:t>AI cannot generate the peer evaluation. The qualitative feedback and BARS ratings must reflect the student's genuine assessment of their teammate's behavior over the full project arc. This is the same boundary as Week 8, restated because the stakes are higher — the summative evaluation carries 70% of the overall peer evaluation weight.</w:t>
      </w:r>
    </w:p>
    <w:p>
      <w:pPr>
        <w:spacing w:before="0" w:after="120" w:line="276" w:lineRule="auto"/>
      </w:pPr>
      <w:r>
        <w:rPr>
          <w:rFonts w:ascii="DM Sans" w:hAnsi="DM Sans" w:cs="DM Sans"/>
          <w:b/>
          <w:i w:val="0"/>
          <w:color w:val="050C2A"/>
          <w:sz w:val="20"/>
          <w:u w:val="none"/>
        </w:rPr>
        <w:t>Disclosure required:</w:t>
      </w:r>
      <w:r>
        <w:rPr>
          <w:rFonts w:ascii="DM Sans" w:hAnsi="DM Sans" w:cs="DM Sans"/>
          <w:b w:val="0"/>
          <w:i w:val="0"/>
          <w:color w:val="050C2A"/>
          <w:sz w:val="20"/>
          <w:u w:val="none"/>
        </w:rPr>
        <w:t xml:space="preserve"> AI disclosure required on the Presentation Outline checkpoint submission. AI disclosure required on the Peer Evaluation #2 submission (Week 15). AI disclosure required on the Reflection #5 submission (Week 15).</w:t>
      </w:r>
    </w:p>
    <w:p>
      <w:pPr>
        <w:spacing w:before="0" w:after="120" w:line="276" w:lineRule="auto"/>
      </w:pPr>
      <w:r>
        <w:rPr>
          <w:rFonts w:ascii="DM Sans" w:hAnsi="DM Sans" w:cs="DM Sans"/>
          <w:b/>
          <w:i w:val="0"/>
          <w:color w:val="050C2A"/>
          <w:sz w:val="20"/>
          <w:u w:val="none"/>
        </w:rPr>
        <w:t>Prompt strategy reinforced:</w:t>
      </w:r>
      <w:r>
        <w:rPr>
          <w:rFonts w:ascii="DM Sans" w:hAnsi="DM Sans" w:cs="DM Sans"/>
          <w:b w:val="0"/>
          <w:i w:val="0"/>
          <w:color w:val="050C2A"/>
          <w:sz w:val="20"/>
          <w:u w:val="none"/>
        </w:rPr>
        <w:t xml:space="preserve"> Three AI strategies are active this week. For the presentation, AI enters as a structural and production tool — helping teams translate document content into presentation format and anticipate audience questions. For the reflection, the Socratic partner strategy (introduced in Week 1, applied in every reflection since) applies at its most demanding: students need AI to help them push past surface-level "I learned a lot" statements to specific, transferable professional insights. For the peer evaluation, AI supports the organizational work of assembling evidence but cannot generate the evaluation itself.</w:t>
      </w:r>
    </w:p>
    <w:p>
      <w:pPr>
        <w:spacing w:before="280" w:after="100"/>
      </w:pPr>
      <w:r>
        <w:rPr>
          <w:rFonts w:ascii="DM Sans" w:hAnsi="DM Sans" w:cs="DM Sans"/>
          <w:b/>
          <w:i w:val="0"/>
          <w:color w:val="050C2A"/>
          <w:sz w:val="28"/>
          <w:u w:val="none"/>
        </w:rPr>
        <w:t>Design Decisions</w:t>
      </w:r>
    </w:p>
    <w:p>
      <w:pPr>
        <w:spacing w:before="0" w:after="120" w:line="276" w:lineRule="auto"/>
      </w:pPr>
      <w:r>
        <w:rPr>
          <w:rFonts w:ascii="DM Sans" w:hAnsi="DM Sans" w:cs="DM Sans"/>
          <w:b/>
          <w:i w:val="0"/>
          <w:color w:val="050C2A"/>
          <w:sz w:val="20"/>
          <w:u w:val="none"/>
        </w:rPr>
        <w:t>1. Five modules, five different purposes.</w:t>
      </w:r>
      <w:r>
        <w:rPr>
          <w:rFonts w:ascii="DM Sans" w:hAnsi="DM Sans" w:cs="DM Sans"/>
          <w:b w:val="0"/>
          <w:i w:val="0"/>
          <w:color w:val="050C2A"/>
          <w:sz w:val="20"/>
          <w:u w:val="none"/>
        </w:rPr>
        <w:t xml:space="preserve"> Week 14 has more module content (85 min) than any week since Week 4, but none of the modules are conceptually heavy — they're all just-in-time preparation for specific activities happening this week or next. Planning Your Presentation (14.02) feeds the outline and deck build. Handling Q&amp;A (14.03) feeds the rehearsal and Week 15 presentation. Transfer (14.04) feeds Reflection #5. Approaching the Synthesis Reflection (14.06) scaffolds the reflection writing. Approaching the Final Peer Evaluation (14.07) prepares students for the summative evaluation. Each module has a clear application site within the week; none exists for its own sake.</w:t>
      </w:r>
    </w:p>
    <w:p>
      <w:pPr>
        <w:spacing w:before="0" w:after="120" w:line="276" w:lineRule="auto"/>
      </w:pPr>
      <w:r>
        <w:rPr>
          <w:rFonts w:ascii="DM Sans" w:hAnsi="DM Sans" w:cs="DM Sans"/>
          <w:b/>
          <w:i w:val="0"/>
          <w:color w:val="050C2A"/>
          <w:sz w:val="20"/>
          <w:u w:val="none"/>
        </w:rPr>
        <w:t>2. The two-week presentation arc reaches its operational phase.</w:t>
      </w:r>
      <w:r>
        <w:rPr>
          <w:rFonts w:ascii="DM Sans" w:hAnsi="DM Sans" w:cs="DM Sans"/>
          <w:b w:val="0"/>
          <w:i w:val="0"/>
          <w:color w:val="050C2A"/>
          <w:sz w:val="20"/>
          <w:u w:val="none"/>
        </w:rPr>
        <w:t xml:space="preserve"> Presentation Fundamentals was moved to Week 12 specifically to create this two-week arc. In Week 12, students learned the concepts (audience awareness, narrative structure, visual clarity) and drafted the outline. In Week 14, they apply those concepts: finalize the outline, build the deck, and rehearse. This prevents the common failure mode where teams build their presentation the night before without thinking about narrative, audience, or coordination. The gap between conceptual learning and application is deliberate — students who absorbed the Week 12 content had two weeks to think about how to apply it.</w:t>
      </w:r>
    </w:p>
    <w:p>
      <w:pPr>
        <w:spacing w:before="0" w:after="120" w:line="276" w:lineRule="auto"/>
      </w:pPr>
      <w:r>
        <w:rPr>
          <w:rFonts w:ascii="DM Sans" w:hAnsi="DM Sans" w:cs="DM Sans"/>
          <w:b/>
          <w:i w:val="0"/>
          <w:color w:val="050C2A"/>
          <w:sz w:val="20"/>
          <w:u w:val="none"/>
        </w:rPr>
        <w:t>3. Reflection #5 and Peer Evaluation #2 start here, not Week 15.</w:t>
      </w:r>
      <w:r>
        <w:rPr>
          <w:rFonts w:ascii="DM Sans" w:hAnsi="DM Sans" w:cs="DM Sans"/>
          <w:b w:val="0"/>
          <w:i w:val="0"/>
          <w:color w:val="050C2A"/>
          <w:sz w:val="20"/>
          <w:u w:val="none"/>
        </w:rPr>
        <w:t xml:space="preserve"> Both are due in Week 15, but both benefit from lead time. Reflection #5 is the most demanding reflection in the portfolio — it asks students to look across the full 15-week arc and identify one thing, which requires more thinking time than examining a single experience. Peer Evaluation #2 covers the full project arc and requires behavioral evidence for each rating, which students assemble more effectively when they're not also writing a reflection and giving a presentation. Starting both here distributes the cognitive load across two weeks.</w:t>
      </w:r>
    </w:p>
    <w:p>
      <w:pPr>
        <w:spacing w:before="0" w:after="120" w:line="276" w:lineRule="auto"/>
      </w:pPr>
      <w:r>
        <w:rPr>
          <w:rFonts w:ascii="DM Sans" w:hAnsi="DM Sans" w:cs="DM Sans"/>
          <w:b/>
          <w:i w:val="0"/>
          <w:color w:val="050C2A"/>
          <w:sz w:val="20"/>
          <w:u w:val="none"/>
        </w:rPr>
        <w:t>4. No employer touchpoint.</w:t>
      </w:r>
      <w:r>
        <w:rPr>
          <w:rFonts w:ascii="DM Sans" w:hAnsi="DM Sans" w:cs="DM Sans"/>
          <w:b w:val="0"/>
          <w:i w:val="0"/>
          <w:color w:val="050C2A"/>
          <w:sz w:val="20"/>
          <w:u w:val="none"/>
        </w:rPr>
        <w:t xml:space="preserve"> The last employer touchpoint was the optional Final Check-In in Week 13. The next is the Final Presentation in Week 15. Week 14 is preparation time — teams need an uninterrupted week to build, rehearse, reflect, and evaluate. Any employer interaction this week would compete with the preparation work rather than support it.</w:t>
      </w:r>
    </w:p>
    <w:p>
      <w:pPr>
        <w:spacing w:before="0" w:after="120" w:line="276" w:lineRule="auto"/>
      </w:pPr>
      <w:r>
        <w:rPr>
          <w:rFonts w:ascii="DM Sans" w:hAnsi="DM Sans" w:cs="DM Sans"/>
          <w:b/>
          <w:i w:val="0"/>
          <w:color w:val="050C2A"/>
          <w:sz w:val="20"/>
          <w:u w:val="none"/>
        </w:rPr>
        <w:t>5. Deck build time is substantial and deliberate.</w:t>
      </w:r>
      <w:r>
        <w:rPr>
          <w:rFonts w:ascii="DM Sans" w:hAnsi="DM Sans" w:cs="DM Sans"/>
          <w:b w:val="0"/>
          <w:i w:val="0"/>
          <w:color w:val="050C2A"/>
          <w:sz w:val="20"/>
          <w:u w:val="none"/>
        </w:rPr>
        <w:t xml:space="preserve"> The 150-minute production block for building the presentation is the largest activity this week. This reflects a specific design judgment: translating written deliverable content into presentation format is harder than it appears, especially for students who haven't built professional presentations before. The content exists — the challenge is deciding what to include, what to cut, how to visualize data, and how to create slides that support rather than replace the speaker. Students often underestimate this task, which is why the time is allocated explicitly rather than absorbed into a generic "prepare for presentation" block.</w:t>
      </w:r>
    </w:p>
    <w:p>
      <w:pPr>
        <w:spacing w:before="0" w:after="120" w:line="276" w:lineRule="auto"/>
      </w:pPr>
      <w:r>
        <w:rPr>
          <w:rFonts w:ascii="DM Sans" w:hAnsi="DM Sans" w:cs="DM Sans"/>
          <w:b/>
          <w:i w:val="0"/>
          <w:color w:val="050C2A"/>
          <w:sz w:val="20"/>
          <w:u w:val="none"/>
        </w:rPr>
        <w:t>6. Rehearsal is a full activity, not an afterthought.</w:t>
      </w:r>
      <w:r>
        <w:rPr>
          <w:rFonts w:ascii="DM Sans" w:hAnsi="DM Sans" w:cs="DM Sans"/>
          <w:b w:val="0"/>
          <w:i w:val="0"/>
          <w:color w:val="050C2A"/>
          <w:sz w:val="20"/>
          <w:u w:val="none"/>
        </w:rPr>
        <w:t xml:space="preserve"> At 90 minutes, the rehearsal (14.09) is designed to accommodate a complete run-through plus debrief and adjustment time. In practice, most student teams skip rehearsal or do a cursory run-through if time isn't explicitly allocated for it. Making the rehearsal a named, timed activity with specific objectives (timing, transitions, narrative, Q&amp;A anticipation) signals that rehearsal is part of the work, not something extra you do if there's time left over.</w:t>
      </w:r>
    </w:p>
    <w:p>
      <w:pPr>
        <w:spacing w:before="0" w:after="120" w:line="276" w:lineRule="auto"/>
      </w:pPr>
      <w:r>
        <w:rPr>
          <w:rFonts w:ascii="DM Sans" w:hAnsi="DM Sans" w:cs="DM Sans"/>
          <w:b/>
          <w:i w:val="0"/>
          <w:color w:val="050C2A"/>
          <w:sz w:val="20"/>
          <w:u w:val="none"/>
        </w:rPr>
        <w:t>7. Module sequencing follows the dependency chain.</w:t>
      </w:r>
      <w:r>
        <w:rPr>
          <w:rFonts w:ascii="DM Sans" w:hAnsi="DM Sans" w:cs="DM Sans"/>
          <w:b w:val="0"/>
          <w:i w:val="0"/>
          <w:color w:val="050C2A"/>
          <w:sz w:val="20"/>
          <w:u w:val="none"/>
        </w:rPr>
        <w:t xml:space="preserve"> The recommended completion order — planning and Q&amp;A modules first, then finalize outline, then build deck, then rehearse, then begin reflection and peer eval — follows the natural dependency chain. Students need the planning concepts before finalizing the outline, the outline before building the deck, the deck before rehearsing, and the transfer framework and reflection scaffolding before drafting Reflection #5. The peer evaluation can happen at any point but is sequenced last to let the week's collaborative work (especially the rehearsal) provide final evidence of teammate contributions.</w:t>
      </w:r>
    </w:p>
    <w:p>
      <w:pPr>
        <w:spacing w:before="0" w:after="120" w:line="276" w:lineRule="auto"/>
      </w:pPr>
      <w:r>
        <w:rPr>
          <w:rFonts w:ascii="DM Sans" w:hAnsi="DM Sans" w:cs="DM Sans"/>
          <w:b/>
          <w:i w:val="0"/>
          <w:color w:val="050C2A"/>
          <w:sz w:val="20"/>
          <w:u w:val="none"/>
        </w:rPr>
        <w:t>8. The defend-your-work standard is named explicitly.</w:t>
      </w:r>
      <w:r>
        <w:rPr>
          <w:rFonts w:ascii="DM Sans" w:hAnsi="DM Sans" w:cs="DM Sans"/>
          <w:b w:val="0"/>
          <w:i w:val="0"/>
          <w:color w:val="050C2A"/>
          <w:sz w:val="20"/>
          <w:u w:val="none"/>
        </w:rPr>
        <w:t xml:space="preserve"> Module 14.03 names what the Q&amp;A is actually testing: whether students can explain and defend their findings and recommendations from their own understanding. This connects directly to the course's AI use philosophy — AI can help produce work, but it cannot substitute for understanding what the work means and why it matters. Students who genuinely engaged with the research, analysis, and recommendations will be able to answer questions; students who outsourced the thinking will be exposed. The module doesn't frame this as a threat but as a skill worth developing.</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M Sans" w:hAnsi="DM Sans" w:cs="DM Sans"/>
        <w:b/>
        <w:i w:val="0"/>
        <w:color w:val="FF7C0A"/>
        <w:sz w:val="16"/>
        <w:u w:val="none"/>
      </w:rPr>
      <w:t>Riipen</w:t>
    </w:r>
    <w:r>
      <w:rPr>
        <w:rFonts w:ascii="DM Sans" w:hAnsi="DM Sans" w:cs="DM Sans"/>
        <w:b w:val="0"/>
        <w:i w:val="0"/>
        <w:color w:val="ACACAC"/>
        <w:sz w:val="16"/>
        <w:u w:val="none"/>
      </w:rPr>
      <w:t xml:space="preserve">  |  </w:t>
    </w:r>
    <w:r>
      <w:rPr>
        <w:rFonts w:ascii="DM Sans" w:hAnsi="DM Sans" w:cs="DM Sans"/>
        <w:b w:val="0"/>
        <w:i w:val="0"/>
        <w:color w:val="ACACAC"/>
        <w:sz w:val="16"/>
        <w:u w:val="none"/>
      </w:rPr>
      <w:t>riipen.com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7280" cy="574243"/>
          <wp:docPr id="1" name="Picture 1"/>
          <wp:cNvGraphicFramePr>
            <a:graphicFrameLocks noChangeAspect="1"/>
          </wp:cNvGraphicFramePr>
          <a:graphic>
            <a:graphicData uri="http://schemas.openxmlformats.org/drawingml/2006/picture">
              <pic:pic>
                <pic:nvPicPr>
                  <pic:cNvPr id="0" name="Riipen_Logo.jpg"/>
                  <pic:cNvPicPr/>
                </pic:nvPicPr>
                <pic:blipFill>
                  <a:blip r:embed="rId1"/>
                  <a:stretch>
                    <a:fillRect/>
                  </a:stretch>
                </pic:blipFill>
                <pic:spPr>
                  <a:xfrm>
                    <a:off x="0" y="0"/>
                    <a:ext cx="1097280" cy="574243"/>
                  </a:xfrm>
                  <a:prstGeom prst="rect"/>
                </pic:spPr>
              </pic:pic>
            </a:graphicData>
          </a:graphic>
        </wp:inline>
      </w:drawing>
    </w:r>
  </w:p>
  <w:p>
    <w:pPr>
      <w:jc w:val="right"/>
      <w:spacing w:before="0" w:after="120"/>
    </w:pPr>
    <w:r>
      <w:rPr>
        <w:rFonts w:ascii="DM Sans" w:hAnsi="DM Sans" w:cs="DM Sans"/>
        <w:b w:val="0"/>
        <w:i w:val="0"/>
        <w:color w:val="ACACAC"/>
        <w:sz w:val="18"/>
        <w:u w:val="none"/>
      </w:rPr>
      <w:t>1200-555 West Hastings Street Vancouver, BC, V6B 4N6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