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15 — Presenting Your Work</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458"/>
            <w:shd w:fill="FF7C0A" w:val="clear"/>
            <w:vAlign w:val="center"/>
          </w:tcPr>
          <w:p>
            <w:pPr>
              <w:jc w:val="left"/>
              <w:spacing w:before="40" w:after="40"/>
            </w:pPr>
            <w:r>
              <w:rPr>
                <w:rFonts w:ascii="DM Sans" w:hAnsi="DM Sans" w:cs="DM Sans"/>
                <w:b/>
                <w:i w:val="0"/>
                <w:color w:val="FFFFFF"/>
                <w:sz w:val="20"/>
                <w:u w:val="none"/>
              </w:rPr>
            </w:r>
          </w:p>
        </w:tc>
        <w:tc>
          <w:tcPr>
            <w:tcW w:type="dxa" w:w="6902"/>
            <w:shd w:fill="FF7C0A" w:val="clear"/>
            <w:vAlign w:val="center"/>
          </w:tcPr>
          <w:p>
            <w:pPr>
              <w:jc w:val="left"/>
              <w:spacing w:before="40" w:after="40"/>
            </w:pPr>
            <w:r>
              <w:rPr>
                <w:rFonts w:ascii="DM Sans" w:hAnsi="DM Sans" w:cs="DM Sans"/>
                <w:b/>
                <w:i w:val="0"/>
                <w:color w:val="FFFFFF"/>
                <w:sz w:val="20"/>
                <w:u w:val="none"/>
              </w:rPr>
            </w:r>
          </w:p>
        </w:tc>
      </w:tr>
      <w:tr>
        <w:tc>
          <w:tcPr>
            <w:tcW w:type="dxa" w:w="2458"/>
            <w:vAlign w:val="center"/>
          </w:tcPr>
          <w:p>
            <w:pPr>
              <w:spacing w:before="30" w:after="30"/>
            </w:pPr>
            <w:r>
              <w:rPr>
                <w:rFonts w:ascii="DM Sans" w:hAnsi="DM Sans" w:cs="DM Sans"/>
                <w:b/>
                <w:i w:val="0"/>
                <w:color w:val="050C2A"/>
                <w:sz w:val="20"/>
                <w:u w:val="none"/>
              </w:rPr>
              <w:t>Phase</w:t>
            </w:r>
          </w:p>
        </w:tc>
        <w:tc>
          <w:tcPr>
            <w:tcW w:type="dxa" w:w="6902"/>
            <w:vAlign w:val="center"/>
          </w:tcPr>
          <w:p>
            <w:pPr>
              <w:spacing w:before="30" w:after="30"/>
            </w:pPr>
            <w:r>
              <w:rPr>
                <w:rFonts w:ascii="DM Sans" w:hAnsi="DM Sans" w:cs="DM Sans"/>
                <w:b w:val="0"/>
                <w:i w:val="0"/>
                <w:color w:val="050C2A"/>
                <w:sz w:val="20"/>
                <w:u w:val="none"/>
              </w:rPr>
              <w:t>Integration (final week)</w:t>
            </w:r>
          </w:p>
        </w:tc>
      </w:tr>
      <w:tr>
        <w:tc>
          <w:tcPr>
            <w:tcW w:type="dxa" w:w="2458"/>
            <w:shd w:fill="F5F5F5" w:val="clear"/>
            <w:vAlign w:val="center"/>
          </w:tcPr>
          <w:p>
            <w:pPr>
              <w:spacing w:before="30" w:after="30"/>
            </w:pPr>
            <w:r>
              <w:rPr>
                <w:rFonts w:ascii="DM Sans" w:hAnsi="DM Sans" w:cs="DM Sans"/>
                <w:b/>
                <w:i w:val="0"/>
                <w:color w:val="050C2A"/>
                <w:sz w:val="20"/>
                <w:u w:val="none"/>
              </w:rPr>
              <w:t>Module Title</w:t>
            </w:r>
          </w:p>
        </w:tc>
        <w:tc>
          <w:tcPr>
            <w:tcW w:type="dxa" w:w="6902"/>
            <w:shd w:fill="F5F5F5" w:val="clear"/>
            <w:vAlign w:val="center"/>
          </w:tcPr>
          <w:p>
            <w:pPr>
              <w:spacing w:before="30" w:after="30"/>
            </w:pPr>
            <w:r>
              <w:rPr>
                <w:rFonts w:ascii="DM Sans" w:hAnsi="DM Sans" w:cs="DM Sans"/>
                <w:b w:val="0"/>
                <w:i w:val="0"/>
                <w:color w:val="050C2A"/>
                <w:sz w:val="20"/>
                <w:u w:val="none"/>
              </w:rPr>
              <w:t>Presenting Your Work</w:t>
            </w:r>
          </w:p>
        </w:tc>
      </w:tr>
      <w:tr>
        <w:tc>
          <w:tcPr>
            <w:tcW w:type="dxa" w:w="2458"/>
            <w:vAlign w:val="center"/>
          </w:tcPr>
          <w:p>
            <w:pPr>
              <w:spacing w:before="30" w:after="30"/>
            </w:pPr>
            <w:r>
              <w:rPr>
                <w:rFonts w:ascii="DM Sans" w:hAnsi="DM Sans" w:cs="DM Sans"/>
                <w:b/>
                <w:i w:val="0"/>
                <w:color w:val="050C2A"/>
                <w:sz w:val="20"/>
                <w:u w:val="none"/>
              </w:rPr>
              <w:t>Primary Function</w:t>
            </w:r>
          </w:p>
        </w:tc>
        <w:tc>
          <w:tcPr>
            <w:tcW w:type="dxa" w:w="6902"/>
            <w:vAlign w:val="center"/>
          </w:tcPr>
          <w:p>
            <w:pPr>
              <w:spacing w:before="30" w:after="30"/>
            </w:pPr>
            <w:r>
              <w:rPr>
                <w:rFonts w:ascii="DM Sans" w:hAnsi="DM Sans" w:cs="DM Sans"/>
                <w:b w:val="0"/>
                <w:i w:val="0"/>
                <w:color w:val="050C2A"/>
                <w:sz w:val="20"/>
                <w:u w:val="none"/>
              </w:rPr>
              <w:t>Final Presentation to employer + Reflection #5 + Peer Evaluation #2 + course closure</w:t>
            </w:r>
          </w:p>
        </w:tc>
      </w:tr>
      <w:tr>
        <w:tc>
          <w:tcPr>
            <w:tcW w:type="dxa" w:w="2458"/>
            <w:shd w:fill="F5F5F5" w:val="clear"/>
            <w:vAlign w:val="center"/>
          </w:tcPr>
          <w:p>
            <w:pPr>
              <w:spacing w:before="30" w:after="30"/>
            </w:pPr>
            <w:r>
              <w:rPr>
                <w:rFonts w:ascii="DM Sans" w:hAnsi="DM Sans" w:cs="DM Sans"/>
                <w:b/>
                <w:i w:val="0"/>
                <w:color w:val="050C2A"/>
                <w:sz w:val="20"/>
                <w:u w:val="none"/>
              </w:rPr>
              <w:t>Total Student Time</w:t>
            </w:r>
          </w:p>
        </w:tc>
        <w:tc>
          <w:tcPr>
            <w:tcW w:type="dxa" w:w="6902"/>
            <w:shd w:fill="F5F5F5" w:val="clear"/>
            <w:vAlign w:val="center"/>
          </w:tcPr>
          <w:p>
            <w:pPr>
              <w:spacing w:before="30" w:after="30"/>
            </w:pPr>
            <w:r>
              <w:rPr>
                <w:rFonts w:ascii="DM Sans" w:hAnsi="DM Sans" w:cs="DM Sans"/>
                <w:b w:val="0"/>
                <w:i w:val="0"/>
                <w:color w:val="050C2A"/>
                <w:sz w:val="20"/>
                <w:u w:val="none"/>
              </w:rPr>
              <w:t>490 min (~8 hrs 10 min)</w:t>
            </w:r>
          </w:p>
        </w:tc>
      </w:tr>
      <w:tr>
        <w:tc>
          <w:tcPr>
            <w:tcW w:type="dxa" w:w="2458"/>
            <w:vAlign w:val="center"/>
          </w:tcPr>
          <w:p>
            <w:pPr>
              <w:spacing w:before="30" w:after="30"/>
            </w:pPr>
            <w:r>
              <w:rPr>
                <w:rFonts w:ascii="DM Sans" w:hAnsi="DM Sans" w:cs="DM Sans"/>
                <w:b/>
                <w:i w:val="0"/>
                <w:color w:val="050C2A"/>
                <w:sz w:val="20"/>
                <w:u w:val="none"/>
              </w:rPr>
              <w:t>Deliverable This Week</w:t>
            </w:r>
          </w:p>
        </w:tc>
        <w:tc>
          <w:tcPr>
            <w:tcW w:type="dxa" w:w="6902"/>
            <w:vAlign w:val="center"/>
          </w:tcPr>
          <w:p>
            <w:pPr>
              <w:spacing w:before="30" w:after="30"/>
            </w:pPr>
            <w:r>
              <w:rPr>
                <w:rFonts w:ascii="DM Sans" w:hAnsi="DM Sans" w:cs="DM Sans"/>
                <w:b w:val="0"/>
                <w:i w:val="0"/>
                <w:color w:val="050C2A"/>
                <w:sz w:val="20"/>
                <w:u w:val="none"/>
              </w:rPr>
              <w:t>Final Presentation (Graded — team, 15% of course grade) + Reflection #5 (Graded — individual, ~5% of course grade) + Peer Evaluation #2 (contributes to Professional Engagement, 20% of course grade)</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15,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59"/>
            <w:shd w:fill="FF7C0A" w:val="clear"/>
            <w:vAlign w:val="center"/>
          </w:tcPr>
          <w:p>
            <w:pPr>
              <w:jc w:val="left"/>
              <w:spacing w:before="40" w:after="40"/>
            </w:pPr>
            <w:r>
              <w:rPr>
                <w:rFonts w:ascii="DM Sans" w:hAnsi="DM Sans" w:cs="DM Sans"/>
                <w:b/>
                <w:i w:val="0"/>
                <w:color w:val="FFFFFF"/>
                <w:sz w:val="20"/>
                <w:u w:val="none"/>
              </w:rPr>
              <w:t>#</w:t>
            </w:r>
          </w:p>
        </w:tc>
        <w:tc>
          <w:tcPr>
            <w:tcW w:type="dxa" w:w="4936"/>
            <w:shd w:fill="FF7C0A" w:val="clear"/>
            <w:vAlign w:val="center"/>
          </w:tcPr>
          <w:p>
            <w:pPr>
              <w:jc w:val="left"/>
              <w:spacing w:before="40" w:after="40"/>
            </w:pPr>
            <w:r>
              <w:rPr>
                <w:rFonts w:ascii="DM Sans" w:hAnsi="DM Sans" w:cs="DM Sans"/>
                <w:b/>
                <w:i w:val="0"/>
                <w:color w:val="FFFFFF"/>
                <w:sz w:val="20"/>
                <w:u w:val="none"/>
              </w:rPr>
              <w:t>Objective</w:t>
            </w:r>
          </w:p>
        </w:tc>
        <w:tc>
          <w:tcPr>
            <w:tcW w:type="dxa" w:w="3565"/>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59"/>
            <w:vAlign w:val="center"/>
          </w:tcPr>
          <w:p>
            <w:pPr>
              <w:spacing w:before="30" w:after="30"/>
            </w:pPr>
            <w:r>
              <w:rPr>
                <w:rFonts w:ascii="DM Sans" w:hAnsi="DM Sans" w:cs="DM Sans"/>
                <w:b/>
                <w:i w:val="0"/>
                <w:color w:val="050C2A"/>
                <w:sz w:val="20"/>
                <w:u w:val="none"/>
              </w:rPr>
              <w:t>1</w:t>
            </w:r>
          </w:p>
        </w:tc>
        <w:tc>
          <w:tcPr>
            <w:tcW w:type="dxa" w:w="4936"/>
            <w:vAlign w:val="center"/>
          </w:tcPr>
          <w:p>
            <w:pPr>
              <w:spacing w:before="30" w:after="30"/>
            </w:pPr>
            <w:r>
              <w:rPr>
                <w:rFonts w:ascii="DM Sans" w:hAnsi="DM Sans" w:cs="DM Sans"/>
                <w:b w:val="0"/>
                <w:i w:val="0"/>
                <w:color w:val="050C2A"/>
                <w:sz w:val="20"/>
                <w:u w:val="none"/>
              </w:rPr>
              <w:t>Deliver a formal, team-coordinated presentation of completed project work to the employer, communicating findings and recommendations through a coherent narrative.</w:t>
            </w:r>
          </w:p>
        </w:tc>
        <w:tc>
          <w:tcPr>
            <w:tcW w:type="dxa" w:w="3565"/>
            <w:vAlign w:val="center"/>
          </w:tcPr>
          <w:p>
            <w:pPr>
              <w:spacing w:before="30" w:after="30"/>
            </w:pPr>
            <w:r>
              <w:rPr>
                <w:rFonts w:ascii="DM Sans" w:hAnsi="DM Sans" w:cs="DM Sans"/>
                <w:b w:val="0"/>
                <w:i w:val="0"/>
                <w:color w:val="050C2A"/>
                <w:sz w:val="20"/>
                <w:u w:val="none"/>
              </w:rPr>
              <w:t>Communication → Oral Presentation</w:t>
            </w:r>
          </w:p>
        </w:tc>
      </w:tr>
      <w:tr>
        <w:tc>
          <w:tcPr>
            <w:tcW w:type="dxa" w:w="859"/>
            <w:shd w:fill="F5F5F5" w:val="clear"/>
            <w:vAlign w:val="center"/>
          </w:tcPr>
          <w:p>
            <w:pPr>
              <w:spacing w:before="30" w:after="30"/>
            </w:pPr>
            <w:r>
              <w:rPr>
                <w:rFonts w:ascii="DM Sans" w:hAnsi="DM Sans" w:cs="DM Sans"/>
                <w:b/>
                <w:i w:val="0"/>
                <w:color w:val="050C2A"/>
                <w:sz w:val="20"/>
                <w:u w:val="none"/>
              </w:rPr>
              <w:t>2</w:t>
            </w:r>
          </w:p>
        </w:tc>
        <w:tc>
          <w:tcPr>
            <w:tcW w:type="dxa" w:w="4936"/>
            <w:shd w:fill="F5F5F5" w:val="clear"/>
            <w:vAlign w:val="center"/>
          </w:tcPr>
          <w:p>
            <w:pPr>
              <w:spacing w:before="30" w:after="30"/>
            </w:pPr>
            <w:r>
              <w:rPr>
                <w:rFonts w:ascii="DM Sans" w:hAnsi="DM Sans" w:cs="DM Sans"/>
                <w:b w:val="0"/>
                <w:i w:val="0"/>
                <w:color w:val="050C2A"/>
                <w:sz w:val="20"/>
                <w:u w:val="none"/>
              </w:rPr>
              <w:t>Respond to audience questions from genuine understanding during a formal presentation setting.</w:t>
            </w:r>
          </w:p>
        </w:tc>
        <w:tc>
          <w:tcPr>
            <w:tcW w:type="dxa" w:w="3565"/>
            <w:shd w:fill="F5F5F5" w:val="clear"/>
            <w:vAlign w:val="center"/>
          </w:tcPr>
          <w:p>
            <w:pPr>
              <w:spacing w:before="30" w:after="30"/>
            </w:pPr>
            <w:r>
              <w:rPr>
                <w:rFonts w:ascii="DM Sans" w:hAnsi="DM Sans" w:cs="DM Sans"/>
                <w:b w:val="0"/>
                <w:i w:val="0"/>
                <w:color w:val="050C2A"/>
                <w:sz w:val="20"/>
                <w:u w:val="none"/>
              </w:rPr>
              <w:t>Communication → Active Listening; Professionalism → Quality &amp; Attention to Detail</w:t>
            </w:r>
          </w:p>
        </w:tc>
      </w:tr>
      <w:tr>
        <w:tc>
          <w:tcPr>
            <w:tcW w:type="dxa" w:w="859"/>
            <w:vAlign w:val="center"/>
          </w:tcPr>
          <w:p>
            <w:pPr>
              <w:spacing w:before="30" w:after="30"/>
            </w:pPr>
            <w:r>
              <w:rPr>
                <w:rFonts w:ascii="DM Sans" w:hAnsi="DM Sans" w:cs="DM Sans"/>
                <w:b/>
                <w:i w:val="0"/>
                <w:color w:val="050C2A"/>
                <w:sz w:val="20"/>
                <w:u w:val="none"/>
              </w:rPr>
              <w:t>3</w:t>
            </w:r>
          </w:p>
        </w:tc>
        <w:tc>
          <w:tcPr>
            <w:tcW w:type="dxa" w:w="4936"/>
            <w:vAlign w:val="center"/>
          </w:tcPr>
          <w:p>
            <w:pPr>
              <w:spacing w:before="30" w:after="30"/>
            </w:pPr>
            <w:r>
              <w:rPr>
                <w:rFonts w:ascii="DM Sans" w:hAnsi="DM Sans" w:cs="DM Sans"/>
                <w:b w:val="0"/>
                <w:i w:val="0"/>
                <w:color w:val="050C2A"/>
                <w:sz w:val="20"/>
                <w:u w:val="none"/>
              </w:rPr>
              <w:t>Produce a synthesis reflection that identifies the most important professional insight from the course and articulates it with precision, depth, and transferability.</w:t>
            </w:r>
          </w:p>
        </w:tc>
        <w:tc>
          <w:tcPr>
            <w:tcW w:type="dxa" w:w="3565"/>
            <w:vAlign w:val="center"/>
          </w:tcPr>
          <w:p>
            <w:pPr>
              <w:spacing w:before="30" w:after="30"/>
            </w:pPr>
            <w:r>
              <w:rPr>
                <w:rFonts w:ascii="DM Sans" w:hAnsi="DM Sans" w:cs="DM Sans"/>
                <w:b w:val="0"/>
                <w:i w:val="0"/>
                <w:color w:val="050C2A"/>
                <w:sz w:val="20"/>
                <w:u w:val="none"/>
              </w:rPr>
              <w:t>Career &amp; Self-Development → Reflection; Career &amp; Self-Development → Growth Orientation</w:t>
            </w:r>
          </w:p>
        </w:tc>
      </w:tr>
      <w:tr>
        <w:tc>
          <w:tcPr>
            <w:tcW w:type="dxa" w:w="859"/>
            <w:shd w:fill="F5F5F5" w:val="clear"/>
            <w:vAlign w:val="center"/>
          </w:tcPr>
          <w:p>
            <w:pPr>
              <w:spacing w:before="30" w:after="30"/>
            </w:pPr>
            <w:r>
              <w:rPr>
                <w:rFonts w:ascii="DM Sans" w:hAnsi="DM Sans" w:cs="DM Sans"/>
                <w:b/>
                <w:i w:val="0"/>
                <w:color w:val="050C2A"/>
                <w:sz w:val="20"/>
                <w:u w:val="none"/>
              </w:rPr>
              <w:t>4</w:t>
            </w:r>
          </w:p>
        </w:tc>
        <w:tc>
          <w:tcPr>
            <w:tcW w:type="dxa" w:w="4936"/>
            <w:shd w:fill="F5F5F5" w:val="clear"/>
            <w:vAlign w:val="center"/>
          </w:tcPr>
          <w:p>
            <w:pPr>
              <w:spacing w:before="30" w:after="30"/>
            </w:pPr>
            <w:r>
              <w:rPr>
                <w:rFonts w:ascii="DM Sans" w:hAnsi="DM Sans" w:cs="DM Sans"/>
                <w:b w:val="0"/>
                <w:i w:val="0"/>
                <w:color w:val="050C2A"/>
                <w:sz w:val="20"/>
                <w:u w:val="none"/>
              </w:rPr>
              <w:t>Complete the summative peer evaluation, assessing each teammate's contributions across the full project with specific behavioral evidence and honest differentiation.</w:t>
            </w:r>
          </w:p>
        </w:tc>
        <w:tc>
          <w:tcPr>
            <w:tcW w:type="dxa" w:w="3565"/>
            <w:shd w:fill="F5F5F5" w:val="clear"/>
            <w:vAlign w:val="center"/>
          </w:tcPr>
          <w:p>
            <w:pPr>
              <w:spacing w:before="30" w:after="30"/>
            </w:pPr>
            <w:r>
              <w:rPr>
                <w:rFonts w:ascii="DM Sans" w:hAnsi="DM Sans" w:cs="DM Sans"/>
                <w:b w:val="0"/>
                <w:i w:val="0"/>
                <w:color w:val="050C2A"/>
                <w:sz w:val="20"/>
                <w:u w:val="none"/>
              </w:rPr>
              <w:t>Teamwork → Constructive Feedback; Teamwork → Shared Accountability</w:t>
            </w:r>
          </w:p>
        </w:tc>
      </w:tr>
      <w:tr>
        <w:tc>
          <w:tcPr>
            <w:tcW w:type="dxa" w:w="859"/>
            <w:vAlign w:val="center"/>
          </w:tcPr>
          <w:p>
            <w:pPr>
              <w:spacing w:before="30" w:after="30"/>
            </w:pPr>
            <w:r>
              <w:rPr>
                <w:rFonts w:ascii="DM Sans" w:hAnsi="DM Sans" w:cs="DM Sans"/>
                <w:b/>
                <w:i w:val="0"/>
                <w:color w:val="050C2A"/>
                <w:sz w:val="20"/>
                <w:u w:val="none"/>
              </w:rPr>
              <w:t>5</w:t>
            </w:r>
          </w:p>
        </w:tc>
        <w:tc>
          <w:tcPr>
            <w:tcW w:type="dxa" w:w="4936"/>
            <w:vAlign w:val="center"/>
          </w:tcPr>
          <w:p>
            <w:pPr>
              <w:spacing w:before="30" w:after="30"/>
            </w:pPr>
            <w:r>
              <w:rPr>
                <w:rFonts w:ascii="DM Sans" w:hAnsi="DM Sans" w:cs="DM Sans"/>
                <w:b w:val="0"/>
                <w:i w:val="0"/>
                <w:color w:val="050C2A"/>
                <w:sz w:val="20"/>
                <w:u w:val="none"/>
              </w:rPr>
              <w:t>Articulate project contributions and professional growth in terms appropriate for resumes, interviews, and professional networking contexts.</w:t>
            </w:r>
          </w:p>
        </w:tc>
        <w:tc>
          <w:tcPr>
            <w:tcW w:type="dxa" w:w="3565"/>
            <w:vAlign w:val="center"/>
          </w:tcPr>
          <w:p>
            <w:pPr>
              <w:spacing w:before="30" w:after="30"/>
            </w:pPr>
            <w:r>
              <w:rPr>
                <w:rFonts w:ascii="DM Sans" w:hAnsi="DM Sans" w:cs="DM Sans"/>
                <w:b w:val="0"/>
                <w:i w:val="0"/>
                <w:color w:val="050C2A"/>
                <w:sz w:val="20"/>
                <w:u w:val="none"/>
              </w:rPr>
              <w:t>Career &amp; Self-Development → Career Articulation</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15 is the final week of the course and the densest in terms of consequential work: three graded submissions (Final Presentation, Reflection #5, Peer Evaluation #2), the last employer touchpoint, and the team's formal closing. The module content is light (35 minutes) and entirely practical — a brief presentation-day prep module and a career articulation module that helps students translate the experience into professional self-presentation. The anchor event is the Final Presentation, one of only two formal student presentations in the course (the other was the Direction Check in Week 5). The presentation arc that began conceptually in Week 12 and became operational in Week 14 reaches its conclusion here. Reflection #5 and Peer Evaluation #2 were both started in Week 14; this week, students incorporate insights from the presentation and team closing before finalizing both. The post-presentation debrief serves double duty: capturing employer feedback while fresh and giving the team a structured ending.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376"/>
            <w:shd w:fill="FF7C0A" w:val="clear"/>
            <w:vAlign w:val="center"/>
          </w:tcPr>
          <w:p>
            <w:pPr>
              <w:jc w:val="left"/>
              <w:spacing w:before="40" w:after="40"/>
            </w:pPr>
            <w:r>
              <w:rPr>
                <w:rFonts w:ascii="DM Sans" w:hAnsi="DM Sans" w:cs="DM Sans"/>
                <w:b/>
                <w:i w:val="0"/>
                <w:color w:val="FFFFFF"/>
                <w:sz w:val="20"/>
                <w:u w:val="none"/>
              </w:rPr>
              <w:t>#</w:t>
            </w:r>
          </w:p>
        </w:tc>
        <w:tc>
          <w:tcPr>
            <w:tcW w:type="dxa" w:w="841"/>
            <w:shd w:fill="FF7C0A" w:val="clear"/>
            <w:vAlign w:val="center"/>
          </w:tcPr>
          <w:p>
            <w:pPr>
              <w:jc w:val="left"/>
              <w:spacing w:before="40" w:after="40"/>
            </w:pPr>
            <w:r>
              <w:rPr>
                <w:rFonts w:ascii="DM Sans" w:hAnsi="DM Sans" w:cs="DM Sans"/>
                <w:b/>
                <w:i w:val="0"/>
                <w:color w:val="FFFFFF"/>
                <w:sz w:val="20"/>
                <w:u w:val="none"/>
              </w:rPr>
              <w:t>Category</w:t>
            </w:r>
          </w:p>
        </w:tc>
        <w:tc>
          <w:tcPr>
            <w:tcW w:type="dxa" w:w="1874"/>
            <w:shd w:fill="FF7C0A" w:val="clear"/>
            <w:vAlign w:val="center"/>
          </w:tcPr>
          <w:p>
            <w:pPr>
              <w:jc w:val="left"/>
              <w:spacing w:before="40" w:after="40"/>
            </w:pPr>
            <w:r>
              <w:rPr>
                <w:rFonts w:ascii="DM Sans" w:hAnsi="DM Sans" w:cs="DM Sans"/>
                <w:b/>
                <w:i w:val="0"/>
                <w:color w:val="FFFFFF"/>
                <w:sz w:val="20"/>
                <w:u w:val="none"/>
              </w:rPr>
              <w:t>Activity</w:t>
            </w:r>
          </w:p>
        </w:tc>
        <w:tc>
          <w:tcPr>
            <w:tcW w:type="dxa" w:w="445"/>
            <w:shd w:fill="FF7C0A" w:val="clear"/>
            <w:vAlign w:val="center"/>
          </w:tcPr>
          <w:p>
            <w:pPr>
              <w:jc w:val="left"/>
              <w:spacing w:before="40" w:after="40"/>
            </w:pPr>
            <w:r>
              <w:rPr>
                <w:rFonts w:ascii="DM Sans" w:hAnsi="DM Sans" w:cs="DM Sans"/>
                <w:b/>
                <w:i w:val="0"/>
                <w:color w:val="FFFFFF"/>
                <w:sz w:val="20"/>
                <w:u w:val="none"/>
              </w:rPr>
              <w:t>Format</w:t>
            </w:r>
          </w:p>
        </w:tc>
        <w:tc>
          <w:tcPr>
            <w:tcW w:type="dxa" w:w="874"/>
            <w:shd w:fill="FF7C0A" w:val="clear"/>
            <w:vAlign w:val="center"/>
          </w:tcPr>
          <w:p>
            <w:pPr>
              <w:jc w:val="left"/>
              <w:spacing w:before="40" w:after="40"/>
            </w:pPr>
            <w:r>
              <w:rPr>
                <w:rFonts w:ascii="DM Sans" w:hAnsi="DM Sans" w:cs="DM Sans"/>
                <w:b/>
                <w:i w:val="0"/>
                <w:color w:val="FFFFFF"/>
                <w:sz w:val="20"/>
                <w:u w:val="none"/>
              </w:rPr>
              <w:t>Min</w:t>
            </w:r>
          </w:p>
        </w:tc>
        <w:tc>
          <w:tcPr>
            <w:tcW w:type="dxa" w:w="4950"/>
            <w:shd w:fill="FF7C0A" w:val="clear"/>
            <w:vAlign w:val="center"/>
          </w:tcPr>
          <w:p>
            <w:pPr>
              <w:jc w:val="left"/>
              <w:spacing w:before="40" w:after="40"/>
            </w:pPr>
            <w:r>
              <w:rPr>
                <w:rFonts w:ascii="DM Sans" w:hAnsi="DM Sans" w:cs="DM Sans"/>
                <w:b/>
                <w:i w:val="0"/>
                <w:color w:val="FFFFFF"/>
                <w:sz w:val="20"/>
                <w:u w:val="none"/>
              </w:rPr>
              <w:t>Note</w:t>
            </w:r>
          </w:p>
        </w:tc>
      </w:tr>
      <w:tr>
        <w:tc>
          <w:tcPr>
            <w:tcW w:type="dxa" w:w="376"/>
            <w:vAlign w:val="center"/>
          </w:tcPr>
          <w:p>
            <w:pPr>
              <w:spacing w:before="30" w:after="30"/>
            </w:pPr>
            <w:r>
              <w:rPr>
                <w:rFonts w:ascii="DM Sans" w:hAnsi="DM Sans" w:cs="DM Sans"/>
                <w:b w:val="0"/>
                <w:i w:val="0"/>
                <w:color w:val="050C2A"/>
                <w:sz w:val="20"/>
                <w:u w:val="none"/>
              </w:rPr>
              <w:t>15.01</w:t>
            </w:r>
          </w:p>
        </w:tc>
        <w:tc>
          <w:tcPr>
            <w:tcW w:type="dxa" w:w="841"/>
            <w:vAlign w:val="center"/>
          </w:tcPr>
          <w:p>
            <w:pPr>
              <w:spacing w:before="30" w:after="30"/>
            </w:pPr>
            <w:r>
              <w:rPr>
                <w:rFonts w:ascii="DM Sans" w:hAnsi="DM Sans" w:cs="DM Sans"/>
                <w:b w:val="0"/>
                <w:i w:val="0"/>
                <w:color w:val="050C2A"/>
                <w:sz w:val="20"/>
                <w:u w:val="none"/>
              </w:rPr>
              <w:t>Course Orientation</w:t>
            </w:r>
          </w:p>
        </w:tc>
        <w:tc>
          <w:tcPr>
            <w:tcW w:type="dxa" w:w="1874"/>
            <w:vAlign w:val="center"/>
          </w:tcPr>
          <w:p>
            <w:pPr>
              <w:spacing w:before="30" w:after="30"/>
            </w:pPr>
            <w:r>
              <w:rPr>
                <w:rFonts w:ascii="DM Sans" w:hAnsi="DM Sans" w:cs="DM Sans"/>
                <w:b w:val="0"/>
                <w:i w:val="0"/>
                <w:color w:val="050C2A"/>
                <w:sz w:val="20"/>
                <w:u w:val="none"/>
              </w:rPr>
              <w:t>Week 15 Overview — objectives, what's happening this week, suggested order of completion</w:t>
            </w:r>
          </w:p>
        </w:tc>
        <w:tc>
          <w:tcPr>
            <w:tcW w:type="dxa" w:w="445"/>
            <w:vAlign w:val="center"/>
          </w:tcPr>
          <w:p>
            <w:pPr>
              <w:spacing w:before="30" w:after="30"/>
            </w:pPr>
            <w:r>
              <w:rPr>
                <w:rFonts w:ascii="DM Sans" w:hAnsi="DM Sans" w:cs="DM Sans"/>
                <w:b w:val="0"/>
                <w:i w:val="0"/>
                <w:color w:val="050C2A"/>
                <w:sz w:val="20"/>
                <w:u w:val="none"/>
              </w:rPr>
              <w:t>Module</w:t>
            </w:r>
          </w:p>
        </w:tc>
        <w:tc>
          <w:tcPr>
            <w:tcW w:type="dxa" w:w="874"/>
            <w:vAlign w:val="center"/>
          </w:tcPr>
          <w:p>
            <w:pPr>
              <w:spacing w:before="30" w:after="30"/>
            </w:pPr>
            <w:r>
              <w:rPr>
                <w:rFonts w:ascii="DM Sans" w:hAnsi="DM Sans" w:cs="DM Sans"/>
                <w:b w:val="0"/>
                <w:i w:val="0"/>
                <w:color w:val="050C2A"/>
                <w:sz w:val="20"/>
                <w:u w:val="none"/>
              </w:rPr>
              <w:t>5</w:t>
            </w:r>
          </w:p>
        </w:tc>
        <w:tc>
          <w:tcPr>
            <w:tcW w:type="dxa" w:w="4950"/>
            <w:vAlign w:val="center"/>
          </w:tcPr>
          <w:p>
            <w:pPr>
              <w:spacing w:before="30" w:after="30"/>
            </w:pPr>
            <w:r>
              <w:rPr>
                <w:rFonts w:ascii="DM Sans" w:hAnsi="DM Sans" w:cs="DM Sans"/>
                <w:b w:val="0"/>
                <w:i w:val="0"/>
                <w:color w:val="050C2A"/>
                <w:sz w:val="20"/>
                <w:u w:val="none"/>
              </w:rPr>
              <w:t>Final week of the course; names Final Presentation, Reflection #5, and Peer Eval #2 as this week's deliverables; orients to the sequence: present, close with your team, reflect, evaluate teammates; flags that Reflection #5 and Peer Eval #2 were started in Week 14 and should be finalized after the presentation experience; the presentation and team closing may surface insights students want to incorporate into their reflection and evaluation</w:t>
            </w:r>
          </w:p>
        </w:tc>
      </w:tr>
      <w:tr>
        <w:tc>
          <w:tcPr>
            <w:tcW w:type="dxa" w:w="376"/>
            <w:shd w:fill="F5F5F5" w:val="clear"/>
            <w:vAlign w:val="center"/>
          </w:tcPr>
          <w:p>
            <w:pPr>
              <w:spacing w:before="30" w:after="30"/>
            </w:pPr>
            <w:r>
              <w:rPr>
                <w:rFonts w:ascii="DM Sans" w:hAnsi="DM Sans" w:cs="DM Sans"/>
                <w:b w:val="0"/>
                <w:i w:val="0"/>
                <w:color w:val="050C2A"/>
                <w:sz w:val="20"/>
                <w:u w:val="none"/>
              </w:rPr>
              <w:t>15.02</w:t>
            </w:r>
          </w:p>
        </w:tc>
        <w:tc>
          <w:tcPr>
            <w:tcW w:type="dxa" w:w="841"/>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874"/>
            <w:shd w:fill="F5F5F5" w:val="clear"/>
            <w:vAlign w:val="center"/>
          </w:tcPr>
          <w:p>
            <w:pPr>
              <w:spacing w:before="30" w:after="30"/>
            </w:pPr>
            <w:r>
              <w:rPr>
                <w:rFonts w:ascii="DM Sans" w:hAnsi="DM Sans" w:cs="DM Sans"/>
                <w:b w:val="0"/>
                <w:i w:val="0"/>
                <w:color w:val="050C2A"/>
                <w:sz w:val="20"/>
                <w:u w:val="none"/>
              </w:rPr>
              <w:t>Module: Presentation Day Prep</w:t>
            </w:r>
          </w:p>
        </w:tc>
        <w:tc>
          <w:tcPr>
            <w:tcW w:type="dxa" w:w="445"/>
            <w:shd w:fill="F5F5F5" w:val="clear"/>
            <w:vAlign w:val="center"/>
          </w:tcPr>
          <w:p>
            <w:pPr>
              <w:spacing w:before="30" w:after="30"/>
            </w:pPr>
            <w:r>
              <w:rPr>
                <w:rFonts w:ascii="DM Sans" w:hAnsi="DM Sans" w:cs="DM Sans"/>
                <w:b w:val="0"/>
                <w:i w:val="0"/>
                <w:color w:val="050C2A"/>
                <w:sz w:val="20"/>
                <w:u w:val="none"/>
              </w:rPr>
              <w:t>Module</w:t>
            </w:r>
          </w:p>
        </w:tc>
        <w:tc>
          <w:tcPr>
            <w:tcW w:type="dxa" w:w="874"/>
            <w:shd w:fill="F5F5F5" w:val="clear"/>
            <w:vAlign w:val="center"/>
          </w:tcPr>
          <w:p>
            <w:pPr>
              <w:spacing w:before="30" w:after="30"/>
            </w:pPr>
            <w:r>
              <w:rPr>
                <w:rFonts w:ascii="DM Sans" w:hAnsi="DM Sans" w:cs="DM Sans"/>
                <w:b w:val="0"/>
                <w:i w:val="0"/>
                <w:color w:val="050C2A"/>
                <w:sz w:val="20"/>
                <w:u w:val="none"/>
              </w:rPr>
              <w:t>15</w:t>
            </w:r>
          </w:p>
        </w:tc>
        <w:tc>
          <w:tcPr>
            <w:tcW w:type="dxa" w:w="4950"/>
            <w:shd w:fill="F5F5F5" w:val="clear"/>
            <w:vAlign w:val="center"/>
          </w:tcPr>
          <w:p>
            <w:pPr>
              <w:spacing w:before="30" w:after="30"/>
            </w:pPr>
            <w:r>
              <w:rPr>
                <w:rFonts w:ascii="DM Sans" w:hAnsi="DM Sans" w:cs="DM Sans"/>
                <w:b w:val="0"/>
                <w:i w:val="0"/>
                <w:color w:val="050C2A"/>
                <w:sz w:val="20"/>
                <w:u w:val="none"/>
              </w:rPr>
              <w:t>Mindset, handling nerves, final run-through tips; brief and practical — students have already rehearsed in Week 14 (14.09); this is about being ready on the day, not learning new skills; complements the presentation modules from Week 14 (14.02 Planning Your Presentation, 14.03 Handling Q&amp;A); the goal is calm confidence, not last-minute cramming</w:t>
            </w:r>
          </w:p>
        </w:tc>
      </w:tr>
      <w:tr>
        <w:tc>
          <w:tcPr>
            <w:tcW w:type="dxa" w:w="376"/>
            <w:vAlign w:val="center"/>
          </w:tcPr>
          <w:p>
            <w:pPr>
              <w:spacing w:before="30" w:after="30"/>
            </w:pPr>
            <w:r>
              <w:rPr>
                <w:rFonts w:ascii="DM Sans" w:hAnsi="DM Sans" w:cs="DM Sans"/>
                <w:b w:val="0"/>
                <w:i w:val="0"/>
                <w:color w:val="050C2A"/>
                <w:sz w:val="20"/>
                <w:u w:val="none"/>
              </w:rPr>
              <w:t>15.03</w:t>
            </w:r>
          </w:p>
        </w:tc>
        <w:tc>
          <w:tcPr>
            <w:tcW w:type="dxa" w:w="841"/>
            <w:vAlign w:val="center"/>
          </w:tcPr>
          <w:p>
            <w:pPr>
              <w:spacing w:before="30" w:after="30"/>
            </w:pPr>
            <w:r>
              <w:rPr>
                <w:rFonts w:ascii="DM Sans" w:hAnsi="DM Sans" w:cs="DM Sans"/>
                <w:b w:val="0"/>
                <w:i w:val="0"/>
                <w:color w:val="050C2A"/>
                <w:sz w:val="20"/>
                <w:u w:val="none"/>
              </w:rPr>
              <w:t>Professional Fundamentals</w:t>
            </w:r>
          </w:p>
        </w:tc>
        <w:tc>
          <w:tcPr>
            <w:tcW w:type="dxa" w:w="1874"/>
            <w:vAlign w:val="center"/>
          </w:tcPr>
          <w:p>
            <w:pPr>
              <w:spacing w:before="30" w:after="30"/>
            </w:pPr>
            <w:r>
              <w:rPr>
                <w:rFonts w:ascii="DM Sans" w:hAnsi="DM Sans" w:cs="DM Sans"/>
                <w:b w:val="0"/>
                <w:i w:val="0"/>
                <w:color w:val="050C2A"/>
                <w:sz w:val="20"/>
                <w:u w:val="none"/>
              </w:rPr>
              <w:t>Module: Articulating Your Experience</w:t>
            </w:r>
          </w:p>
        </w:tc>
        <w:tc>
          <w:tcPr>
            <w:tcW w:type="dxa" w:w="445"/>
            <w:vAlign w:val="center"/>
          </w:tcPr>
          <w:p>
            <w:pPr>
              <w:spacing w:before="30" w:after="30"/>
            </w:pPr>
            <w:r>
              <w:rPr>
                <w:rFonts w:ascii="DM Sans" w:hAnsi="DM Sans" w:cs="DM Sans"/>
                <w:b w:val="0"/>
                <w:i w:val="0"/>
                <w:color w:val="050C2A"/>
                <w:sz w:val="20"/>
                <w:u w:val="none"/>
              </w:rPr>
              <w:t>Module</w:t>
            </w:r>
          </w:p>
        </w:tc>
        <w:tc>
          <w:tcPr>
            <w:tcW w:type="dxa" w:w="874"/>
            <w:vAlign w:val="center"/>
          </w:tcPr>
          <w:p>
            <w:pPr>
              <w:spacing w:before="30" w:after="30"/>
            </w:pPr>
            <w:r>
              <w:rPr>
                <w:rFonts w:ascii="DM Sans" w:hAnsi="DM Sans" w:cs="DM Sans"/>
                <w:b w:val="0"/>
                <w:i w:val="0"/>
                <w:color w:val="050C2A"/>
                <w:sz w:val="20"/>
                <w:u w:val="none"/>
              </w:rPr>
              <w:t>20</w:t>
            </w:r>
          </w:p>
        </w:tc>
        <w:tc>
          <w:tcPr>
            <w:tcW w:type="dxa" w:w="4950"/>
            <w:vAlign w:val="center"/>
          </w:tcPr>
          <w:p>
            <w:pPr>
              <w:spacing w:before="30" w:after="30"/>
            </w:pPr>
            <w:r>
              <w:rPr>
                <w:rFonts w:ascii="DM Sans" w:hAnsi="DM Sans" w:cs="DM Sans"/>
                <w:b w:val="0"/>
                <w:i w:val="0"/>
                <w:color w:val="050C2A"/>
                <w:sz w:val="20"/>
                <w:u w:val="none"/>
              </w:rPr>
              <w:t>How to talk about this project in interviews, on resumes, and on LinkedIn; what employers want to hear vs. what students tend to say ("I learned a lot about teamwork" vs. "I led the market analysis workstream for a regional credit union, translating three months of customer research into a strategic recommendations deck"); framing project contributions as professional accomplishments; concrete examples of before/after resume bullets and interview answers; includes guidance on using AI to refine professional framing — prompting AI to strengthen resume bullets, practice interview responses, and identify which accomplishments to lead with; distinct from AI-assisted reflection (which is off-limits) because this is about packaging and communicating learning, not generating the learning itself; serves Career &amp; Self-Development (Career Articulation) subskill</w:t>
            </w:r>
          </w:p>
        </w:tc>
      </w:tr>
      <w:tr>
        <w:tc>
          <w:tcPr>
            <w:tcW w:type="dxa" w:w="376"/>
            <w:shd w:fill="F5F5F5" w:val="clear"/>
            <w:vAlign w:val="center"/>
          </w:tcPr>
          <w:p>
            <w:pPr>
              <w:spacing w:before="30" w:after="30"/>
            </w:pPr>
            <w:r>
              <w:rPr>
                <w:rFonts w:ascii="DM Sans" w:hAnsi="DM Sans" w:cs="DM Sans"/>
                <w:b w:val="0"/>
                <w:i w:val="0"/>
                <w:color w:val="050C2A"/>
                <w:sz w:val="20"/>
                <w:u w:val="none"/>
              </w:rPr>
              <w:t>15.04</w:t>
            </w:r>
          </w:p>
        </w:tc>
        <w:tc>
          <w:tcPr>
            <w:tcW w:type="dxa" w:w="841"/>
            <w:shd w:fill="F5F5F5" w:val="clear"/>
            <w:vAlign w:val="center"/>
          </w:tcPr>
          <w:p>
            <w:pPr>
              <w:spacing w:before="30" w:after="30"/>
            </w:pPr>
            <w:r>
              <w:rPr>
                <w:rFonts w:ascii="DM Sans" w:hAnsi="DM Sans" w:cs="DM Sans"/>
                <w:b w:val="0"/>
                <w:i w:val="0"/>
                <w:color w:val="050C2A"/>
                <w:sz w:val="20"/>
                <w:u w:val="none"/>
              </w:rPr>
              <w:t>Project Work</w:t>
            </w:r>
          </w:p>
        </w:tc>
        <w:tc>
          <w:tcPr>
            <w:tcW w:type="dxa" w:w="1874"/>
            <w:shd w:fill="F5F5F5" w:val="clear"/>
            <w:vAlign w:val="center"/>
          </w:tcPr>
          <w:p>
            <w:pPr>
              <w:spacing w:before="30" w:after="30"/>
            </w:pPr>
            <w:r>
              <w:rPr>
                <w:rFonts w:ascii="DM Sans" w:hAnsi="DM Sans" w:cs="DM Sans"/>
                <w:b w:val="0"/>
                <w:i w:val="0"/>
                <w:color w:val="050C2A"/>
                <w:sz w:val="20"/>
                <w:u w:val="none"/>
              </w:rPr>
              <w:t>Final presentation polish — last adjustments to slides, practice transitions, prep for Q&amp;A</w:t>
            </w:r>
          </w:p>
        </w:tc>
        <w:tc>
          <w:tcPr>
            <w:tcW w:type="dxa" w:w="445"/>
            <w:shd w:fill="F5F5F5" w:val="clear"/>
            <w:vAlign w:val="center"/>
          </w:tcPr>
          <w:p>
            <w:pPr>
              <w:spacing w:before="30" w:after="30"/>
            </w:pPr>
            <w:r>
              <w:rPr>
                <w:rFonts w:ascii="DM Sans" w:hAnsi="DM Sans" w:cs="DM Sans"/>
                <w:b w:val="0"/>
                <w:i w:val="0"/>
                <w:color w:val="050C2A"/>
                <w:sz w:val="20"/>
                <w:u w:val="none"/>
              </w:rPr>
              <w:t>Project</w:t>
            </w:r>
          </w:p>
        </w:tc>
        <w:tc>
          <w:tcPr>
            <w:tcW w:type="dxa" w:w="874"/>
            <w:shd w:fill="F5F5F5" w:val="clear"/>
            <w:vAlign w:val="center"/>
          </w:tcPr>
          <w:p>
            <w:pPr>
              <w:spacing w:before="30" w:after="30"/>
            </w:pPr>
            <w:r>
              <w:rPr>
                <w:rFonts w:ascii="DM Sans" w:hAnsi="DM Sans" w:cs="DM Sans"/>
                <w:b w:val="0"/>
                <w:i w:val="0"/>
                <w:color w:val="050C2A"/>
                <w:sz w:val="20"/>
                <w:u w:val="none"/>
              </w:rPr>
              <w:t>60</w:t>
            </w:r>
          </w:p>
        </w:tc>
        <w:tc>
          <w:tcPr>
            <w:tcW w:type="dxa" w:w="4950"/>
            <w:shd w:fill="F5F5F5" w:val="clear"/>
            <w:vAlign w:val="center"/>
          </w:tcPr>
          <w:p>
            <w:pPr>
              <w:spacing w:before="30" w:after="30"/>
            </w:pPr>
            <w:r>
              <w:rPr>
                <w:rFonts w:ascii="DM Sans" w:hAnsi="DM Sans" w:cs="DM Sans"/>
                <w:b w:val="0"/>
                <w:i w:val="0"/>
                <w:color w:val="050C2A"/>
                <w:sz w:val="20"/>
                <w:u w:val="none"/>
              </w:rPr>
              <w:t>Final team preparation before the presentation; not a full rehearsal (that was Week 14, 14.09) — this is targeted adjustments based on what the rehearsal surfaced; practicing opening and closing, confirming timing, reviewing anticipated questions; the emphasis is on readiness, not rework — teams that are overhauling slides at this point are doing something wrong</w:t>
            </w:r>
          </w:p>
        </w:tc>
      </w:tr>
      <w:tr>
        <w:tc>
          <w:tcPr>
            <w:tcW w:type="dxa" w:w="376"/>
            <w:vAlign w:val="center"/>
          </w:tcPr>
          <w:p>
            <w:pPr>
              <w:spacing w:before="30" w:after="30"/>
            </w:pPr>
            <w:r>
              <w:rPr>
                <w:rFonts w:ascii="DM Sans" w:hAnsi="DM Sans" w:cs="DM Sans"/>
                <w:b w:val="0"/>
                <w:i w:val="0"/>
                <w:color w:val="050C2A"/>
                <w:sz w:val="20"/>
                <w:u w:val="none"/>
              </w:rPr>
              <w:t>15.05</w:t>
            </w:r>
          </w:p>
        </w:tc>
        <w:tc>
          <w:tcPr>
            <w:tcW w:type="dxa" w:w="841"/>
            <w:vAlign w:val="center"/>
          </w:tcPr>
          <w:p>
            <w:pPr>
              <w:spacing w:before="30" w:after="30"/>
            </w:pPr>
            <w:r>
              <w:rPr>
                <w:rFonts w:ascii="DM Sans" w:hAnsi="DM Sans" w:cs="DM Sans"/>
                <w:b w:val="0"/>
                <w:i w:val="0"/>
                <w:color w:val="050C2A"/>
                <w:sz w:val="20"/>
                <w:u w:val="none"/>
              </w:rPr>
              <w:t>Employer Engagement</w:t>
            </w:r>
          </w:p>
        </w:tc>
        <w:tc>
          <w:tcPr>
            <w:tcW w:type="dxa" w:w="1874"/>
            <w:vAlign w:val="center"/>
          </w:tcPr>
          <w:p>
            <w:pPr>
              <w:spacing w:before="30" w:after="30"/>
            </w:pPr>
            <w:r>
              <w:rPr>
                <w:rFonts w:ascii="DM Sans" w:hAnsi="DM Sans" w:cs="DM Sans"/>
                <w:b w:val="0"/>
                <w:i w:val="0"/>
                <w:color w:val="050C2A"/>
                <w:sz w:val="20"/>
                <w:u w:val="none"/>
              </w:rPr>
              <w:t>Final Presentation — present completed work to employer and course supervisor</w:t>
            </w:r>
          </w:p>
        </w:tc>
        <w:tc>
          <w:tcPr>
            <w:tcW w:type="dxa" w:w="445"/>
            <w:vAlign w:val="center"/>
          </w:tcPr>
          <w:p>
            <w:pPr>
              <w:spacing w:before="30" w:after="30"/>
            </w:pPr>
            <w:r>
              <w:rPr>
                <w:rFonts w:ascii="DM Sans" w:hAnsi="DM Sans" w:cs="DM Sans"/>
                <w:b w:val="0"/>
                <w:i w:val="0"/>
                <w:color w:val="050C2A"/>
                <w:sz w:val="20"/>
                <w:u w:val="none"/>
              </w:rPr>
              <w:t>Project</w:t>
            </w:r>
          </w:p>
        </w:tc>
        <w:tc>
          <w:tcPr>
            <w:tcW w:type="dxa" w:w="874"/>
            <w:vAlign w:val="center"/>
          </w:tcPr>
          <w:p>
            <w:pPr>
              <w:spacing w:before="30" w:after="30"/>
            </w:pPr>
            <w:r>
              <w:rPr>
                <w:rFonts w:ascii="DM Sans" w:hAnsi="DM Sans" w:cs="DM Sans"/>
                <w:b w:val="0"/>
                <w:i w:val="0"/>
                <w:color w:val="050C2A"/>
                <w:sz w:val="20"/>
                <w:u w:val="none"/>
              </w:rPr>
              <w:t>60</w:t>
            </w:r>
          </w:p>
        </w:tc>
        <w:tc>
          <w:tcPr>
            <w:tcW w:type="dxa" w:w="4950"/>
            <w:vAlign w:val="center"/>
          </w:tcPr>
          <w:p>
            <w:pPr>
              <w:spacing w:before="30" w:after="30"/>
            </w:pPr>
            <w:r>
              <w:rPr>
                <w:rFonts w:ascii="DM Sans" w:hAnsi="DM Sans" w:cs="DM Sans"/>
                <w:b w:val="0"/>
                <w:i w:val="0"/>
                <w:color w:val="050C2A"/>
                <w:sz w:val="20"/>
                <w:u w:val="none"/>
              </w:rPr>
              <w:t>60-min hold; formal presentation of completed work: narrative, findings, recommendations, and implications (20–25 min); employer questions (15 min); employer feedback and reflections on the work (10 min); wrap-up, deliverable handoff, acknowledgments, and closure (5–10 min); this is the second of only two formal student presentations in the course (the other was the Direction Check in Week 5) and the culmination of 15 weeks of work; the presentation is graded (15% of course grade) and assessed on the Final Presentation rubric; the Q&amp;A portion tests the defend-your-work standard introduced in Week 14 (14.03) — students must respond from genuine understanding of the work</w:t>
            </w:r>
          </w:p>
        </w:tc>
      </w:tr>
      <w:tr>
        <w:tc>
          <w:tcPr>
            <w:tcW w:type="dxa" w:w="376"/>
            <w:shd w:fill="F5F5F5" w:val="clear"/>
            <w:vAlign w:val="center"/>
          </w:tcPr>
          <w:p>
            <w:pPr>
              <w:spacing w:before="30" w:after="30"/>
            </w:pPr>
            <w:r>
              <w:rPr>
                <w:rFonts w:ascii="DM Sans" w:hAnsi="DM Sans" w:cs="DM Sans"/>
                <w:b w:val="0"/>
                <w:i w:val="0"/>
                <w:color w:val="050C2A"/>
                <w:sz w:val="20"/>
                <w:u w:val="none"/>
              </w:rPr>
              <w:t>15.06</w:t>
            </w:r>
          </w:p>
        </w:tc>
        <w:tc>
          <w:tcPr>
            <w:tcW w:type="dxa" w:w="841"/>
            <w:shd w:fill="F5F5F5" w:val="clear"/>
            <w:vAlign w:val="center"/>
          </w:tcPr>
          <w:p>
            <w:pPr>
              <w:spacing w:before="30" w:after="30"/>
            </w:pPr>
            <w:r>
              <w:rPr>
                <w:rFonts w:ascii="DM Sans" w:hAnsi="DM Sans" w:cs="DM Sans"/>
                <w:b w:val="0"/>
                <w:i w:val="0"/>
                <w:color w:val="050C2A"/>
                <w:sz w:val="20"/>
                <w:u w:val="none"/>
              </w:rPr>
              <w:t>Project Work</w:t>
            </w:r>
          </w:p>
        </w:tc>
        <w:tc>
          <w:tcPr>
            <w:tcW w:type="dxa" w:w="1874"/>
            <w:shd w:fill="F5F5F5" w:val="clear"/>
            <w:vAlign w:val="center"/>
          </w:tcPr>
          <w:p>
            <w:pPr>
              <w:spacing w:before="30" w:after="30"/>
            </w:pPr>
            <w:r>
              <w:rPr>
                <w:rFonts w:ascii="DM Sans" w:hAnsi="DM Sans" w:cs="DM Sans"/>
                <w:b w:val="0"/>
                <w:i w:val="0"/>
                <w:color w:val="050C2A"/>
                <w:sz w:val="20"/>
                <w:u w:val="none"/>
              </w:rPr>
              <w:t>Post-presentation debrief and team closing — capture employer feedback, acknowledge team contributions, close the experience</w:t>
            </w:r>
          </w:p>
        </w:tc>
        <w:tc>
          <w:tcPr>
            <w:tcW w:type="dxa" w:w="445"/>
            <w:shd w:fill="F5F5F5" w:val="clear"/>
            <w:vAlign w:val="center"/>
          </w:tcPr>
          <w:p>
            <w:pPr>
              <w:spacing w:before="30" w:after="30"/>
            </w:pPr>
            <w:r>
              <w:rPr>
                <w:rFonts w:ascii="DM Sans" w:hAnsi="DM Sans" w:cs="DM Sans"/>
                <w:b w:val="0"/>
                <w:i w:val="0"/>
                <w:color w:val="050C2A"/>
                <w:sz w:val="20"/>
                <w:u w:val="none"/>
              </w:rPr>
              <w:t>Project</w:t>
            </w:r>
          </w:p>
        </w:tc>
        <w:tc>
          <w:tcPr>
            <w:tcW w:type="dxa" w:w="874"/>
            <w:shd w:fill="F5F5F5" w:val="clear"/>
            <w:vAlign w:val="center"/>
          </w:tcPr>
          <w:p>
            <w:pPr>
              <w:spacing w:before="30" w:after="30"/>
            </w:pPr>
            <w:r>
              <w:rPr>
                <w:rFonts w:ascii="DM Sans" w:hAnsi="DM Sans" w:cs="DM Sans"/>
                <w:b w:val="0"/>
                <w:i w:val="0"/>
                <w:color w:val="050C2A"/>
                <w:sz w:val="20"/>
                <w:u w:val="none"/>
              </w:rPr>
              <w:t>45</w:t>
            </w:r>
          </w:p>
        </w:tc>
        <w:tc>
          <w:tcPr>
            <w:tcW w:type="dxa" w:w="4950"/>
            <w:shd w:fill="F5F5F5" w:val="clear"/>
            <w:vAlign w:val="center"/>
          </w:tcPr>
          <w:p>
            <w:pPr>
              <w:spacing w:before="30" w:after="30"/>
            </w:pPr>
            <w:r>
              <w:rPr>
                <w:rFonts w:ascii="DM Sans" w:hAnsi="DM Sans" w:cs="DM Sans"/>
                <w:b w:val="0"/>
                <w:i w:val="0"/>
                <w:color w:val="050C2A"/>
                <w:sz w:val="20"/>
                <w:u w:val="none"/>
              </w:rPr>
              <w:t>Two parts: (1) capture employer feedback from the presentation while fresh — what resonated, what questions they asked, what their reaction tells the team about the work; (2) structured team closing — what we accomplished together, what we learned from each other, individual acknowledgments of teammate contributions; this is the last time the team works together as a team; giving the experience a proper ending matters for both closure and for feeding Reflection #5 and Peer Evaluation #2; the closing conversation may surface insights students want to incorporate into their final reflection</w:t>
            </w:r>
          </w:p>
        </w:tc>
      </w:tr>
      <w:tr>
        <w:tc>
          <w:tcPr>
            <w:tcW w:type="dxa" w:w="376"/>
            <w:vAlign w:val="center"/>
          </w:tcPr>
          <w:p>
            <w:pPr>
              <w:spacing w:before="30" w:after="30"/>
            </w:pPr>
            <w:r>
              <w:rPr>
                <w:rFonts w:ascii="DM Sans" w:hAnsi="DM Sans" w:cs="DM Sans"/>
                <w:b w:val="0"/>
                <w:i w:val="0"/>
                <w:color w:val="050C2A"/>
                <w:sz w:val="20"/>
                <w:u w:val="none"/>
              </w:rPr>
              <w:t>15.07</w:t>
            </w:r>
          </w:p>
        </w:tc>
        <w:tc>
          <w:tcPr>
            <w:tcW w:type="dxa" w:w="841"/>
            <w:vAlign w:val="center"/>
          </w:tcPr>
          <w:p>
            <w:pPr>
              <w:spacing w:before="30" w:after="30"/>
            </w:pPr>
            <w:r>
              <w:rPr>
                <w:rFonts w:ascii="DM Sans" w:hAnsi="DM Sans" w:cs="DM Sans"/>
                <w:b w:val="0"/>
                <w:i w:val="0"/>
                <w:color w:val="050C2A"/>
                <w:sz w:val="20"/>
                <w:u w:val="none"/>
              </w:rPr>
              <w:t>Reflection &amp; Assessment</w:t>
            </w:r>
          </w:p>
        </w:tc>
        <w:tc>
          <w:tcPr>
            <w:tcW w:type="dxa" w:w="1874"/>
            <w:vAlign w:val="center"/>
          </w:tcPr>
          <w:p>
            <w:pPr>
              <w:spacing w:before="30" w:after="30"/>
            </w:pPr>
            <w:r>
              <w:rPr>
                <w:rFonts w:ascii="DM Sans" w:hAnsi="DM Sans" w:cs="DM Sans"/>
                <w:b w:val="0"/>
                <w:i w:val="0"/>
                <w:color w:val="050C2A"/>
                <w:sz w:val="20"/>
                <w:u w:val="none"/>
              </w:rPr>
              <w:t>Finalize and submit Reflection #5 (graded)</w:t>
            </w:r>
          </w:p>
        </w:tc>
        <w:tc>
          <w:tcPr>
            <w:tcW w:type="dxa" w:w="445"/>
            <w:vAlign w:val="center"/>
          </w:tcPr>
          <w:p>
            <w:pPr>
              <w:spacing w:before="30" w:after="30"/>
            </w:pPr>
            <w:r>
              <w:rPr>
                <w:rFonts w:ascii="DM Sans" w:hAnsi="DM Sans" w:cs="DM Sans"/>
                <w:b w:val="0"/>
                <w:i w:val="0"/>
                <w:color w:val="050C2A"/>
                <w:sz w:val="20"/>
                <w:u w:val="none"/>
              </w:rPr>
              <w:t>Text</w:t>
            </w:r>
          </w:p>
        </w:tc>
        <w:tc>
          <w:tcPr>
            <w:tcW w:type="dxa" w:w="874"/>
            <w:vAlign w:val="center"/>
          </w:tcPr>
          <w:p>
            <w:pPr>
              <w:spacing w:before="30" w:after="30"/>
            </w:pPr>
            <w:r>
              <w:rPr>
                <w:rFonts w:ascii="DM Sans" w:hAnsi="DM Sans" w:cs="DM Sans"/>
                <w:b w:val="0"/>
                <w:i w:val="0"/>
                <w:color w:val="050C2A"/>
                <w:sz w:val="20"/>
                <w:u w:val="none"/>
              </w:rPr>
              <w:t>90</w:t>
            </w:r>
          </w:p>
        </w:tc>
        <w:tc>
          <w:tcPr>
            <w:tcW w:type="dxa" w:w="4950"/>
            <w:vAlign w:val="center"/>
          </w:tcPr>
          <w:p>
            <w:pPr>
              <w:spacing w:before="30" w:after="30"/>
            </w:pPr>
            <w:r>
              <w:rPr>
                <w:rFonts w:ascii="DM Sans" w:hAnsi="DM Sans" w:cs="DM Sans"/>
                <w:b w:val="0"/>
                <w:i w:val="0"/>
                <w:color w:val="050C2A"/>
                <w:sz w:val="20"/>
                <w:u w:val="none"/>
              </w:rPr>
              <w:t>Finalizes the reflection begun in Week 14 (14.10); the presentation experience, employer feedback, and team closing may surface final insights to incorporate; the prompt asks students to step back over the full 15-week arc and identify the single most important thing learned about how they work, learn, or engage professionally; this is the most demanding reflection in the portfolio — students should demonstrate the full DEAL capability: precise description, probing examination, and articulated learning that is both specific enough to be actionable and broad enough to transfer; the distance between this reflection and Reflection #1 should be evident in the depth, honesty, and sophistication of the analysis; ~5% of course grade; AI-as-Socratic-partner strategy applies; AI-assisted drafting is off-limits; AI disclosure required; submitted via Riipen</w:t>
            </w:r>
          </w:p>
        </w:tc>
      </w:tr>
      <w:tr>
        <w:tc>
          <w:tcPr>
            <w:tcW w:type="dxa" w:w="376"/>
            <w:shd w:fill="F5F5F5" w:val="clear"/>
            <w:vAlign w:val="center"/>
          </w:tcPr>
          <w:p>
            <w:pPr>
              <w:spacing w:before="30" w:after="30"/>
            </w:pPr>
            <w:r>
              <w:rPr>
                <w:rFonts w:ascii="DM Sans" w:hAnsi="DM Sans" w:cs="DM Sans"/>
                <w:b w:val="0"/>
                <w:i w:val="0"/>
                <w:color w:val="050C2A"/>
                <w:sz w:val="20"/>
                <w:u w:val="none"/>
              </w:rPr>
              <w:t>15.08</w:t>
            </w:r>
          </w:p>
        </w:tc>
        <w:tc>
          <w:tcPr>
            <w:tcW w:type="dxa" w:w="841"/>
            <w:shd w:fill="F5F5F5" w:val="clear"/>
            <w:vAlign w:val="center"/>
          </w:tcPr>
          <w:p>
            <w:pPr>
              <w:spacing w:before="30" w:after="30"/>
            </w:pPr>
            <w:r>
              <w:rPr>
                <w:rFonts w:ascii="DM Sans" w:hAnsi="DM Sans" w:cs="DM Sans"/>
                <w:b w:val="0"/>
                <w:i w:val="0"/>
                <w:color w:val="050C2A"/>
                <w:sz w:val="20"/>
                <w:u w:val="none"/>
              </w:rPr>
              <w:t>Reflection &amp; Assessment</w:t>
            </w:r>
          </w:p>
        </w:tc>
        <w:tc>
          <w:tcPr>
            <w:tcW w:type="dxa" w:w="1874"/>
            <w:shd w:fill="F5F5F5" w:val="clear"/>
            <w:vAlign w:val="center"/>
          </w:tcPr>
          <w:p>
            <w:pPr>
              <w:spacing w:before="30" w:after="30"/>
            </w:pPr>
            <w:r>
              <w:rPr>
                <w:rFonts w:ascii="DM Sans" w:hAnsi="DM Sans" w:cs="DM Sans"/>
                <w:b w:val="0"/>
                <w:i w:val="0"/>
                <w:color w:val="050C2A"/>
                <w:sz w:val="20"/>
                <w:u w:val="none"/>
              </w:rPr>
              <w:t>Finalize and submit Peer Evaluation #2</w:t>
            </w:r>
          </w:p>
        </w:tc>
        <w:tc>
          <w:tcPr>
            <w:tcW w:type="dxa" w:w="445"/>
            <w:shd w:fill="F5F5F5" w:val="clear"/>
            <w:vAlign w:val="center"/>
          </w:tcPr>
          <w:p>
            <w:pPr>
              <w:spacing w:before="30" w:after="30"/>
            </w:pPr>
            <w:r>
              <w:rPr>
                <w:rFonts w:ascii="DM Sans" w:hAnsi="DM Sans" w:cs="DM Sans"/>
                <w:b w:val="0"/>
                <w:i w:val="0"/>
                <w:color w:val="050C2A"/>
                <w:sz w:val="20"/>
                <w:u w:val="none"/>
              </w:rPr>
              <w:t>Text</w:t>
            </w:r>
          </w:p>
        </w:tc>
        <w:tc>
          <w:tcPr>
            <w:tcW w:type="dxa" w:w="874"/>
            <w:shd w:fill="F5F5F5" w:val="clear"/>
            <w:vAlign w:val="center"/>
          </w:tcPr>
          <w:p>
            <w:pPr>
              <w:spacing w:before="30" w:after="30"/>
            </w:pPr>
            <w:r>
              <w:rPr>
                <w:rFonts w:ascii="DM Sans" w:hAnsi="DM Sans" w:cs="DM Sans"/>
                <w:b w:val="0"/>
                <w:i w:val="0"/>
                <w:color w:val="050C2A"/>
                <w:sz w:val="20"/>
                <w:u w:val="none"/>
              </w:rPr>
              <w:t>150</w:t>
            </w:r>
          </w:p>
        </w:tc>
        <w:tc>
          <w:tcPr>
            <w:tcW w:type="dxa" w:w="4950"/>
            <w:shd w:fill="F5F5F5" w:val="clear"/>
            <w:vAlign w:val="center"/>
          </w:tcPr>
          <w:p>
            <w:pPr>
              <w:spacing w:before="30" w:after="30"/>
            </w:pPr>
            <w:r>
              <w:rPr>
                <w:rFonts w:ascii="DM Sans" w:hAnsi="DM Sans" w:cs="DM Sans"/>
                <w:b w:val="0"/>
                <w:i w:val="0"/>
                <w:color w:val="050C2A"/>
                <w:sz w:val="20"/>
                <w:u w:val="none"/>
              </w:rPr>
              <w:t>Finalizes the peer evaluation begun in Week 14 (14.11); covers the full project arc (Weeks 1–15); includes qualitative feedback (Continue/Start/Adjust), BARS ratings on four dimensions (Reliability, Contribution, Constructive Engagement, Accountability), contribution allocation (divide 100 points among teammates), self-evaluation, and closure questions; approximately 45–50 min per teammate to do thoughtfully; evaluators rate the full arc of collaboration, not just the final weeks — the prompt framing is: "Considering the entire project from Week 1 through Week 15, select the descriptor that best characterizes this teammate's behavior"; contributes 70% of the overall peer evaluation score, which is 50% of Professional Engagement (20% of course grade); AI cannot generate the evaluation — observations and ratings must be genuine; AI disclosure required</w:t>
            </w:r>
          </w:p>
        </w:tc>
      </w:tr>
      <w:tr>
        <w:tc>
          <w:tcPr>
            <w:tcW w:type="dxa" w:w="376"/>
            <w:vAlign w:val="center"/>
          </w:tcPr>
          <w:p>
            <w:pPr>
              <w:spacing w:before="30" w:after="30"/>
            </w:pPr>
            <w:r>
              <w:rPr>
                <w:rFonts w:ascii="DM Sans" w:hAnsi="DM Sans" w:cs="DM Sans"/>
                <w:b w:val="0"/>
                <w:i w:val="0"/>
                <w:color w:val="050C2A"/>
                <w:sz w:val="20"/>
                <w:u w:val="none"/>
              </w:rPr>
              <w:t>15.09</w:t>
            </w:r>
          </w:p>
        </w:tc>
        <w:tc>
          <w:tcPr>
            <w:tcW w:type="dxa" w:w="841"/>
            <w:vAlign w:val="center"/>
          </w:tcPr>
          <w:p>
            <w:pPr>
              <w:spacing w:before="30" w:after="30"/>
            </w:pPr>
            <w:r>
              <w:rPr>
                <w:rFonts w:ascii="DM Sans" w:hAnsi="DM Sans" w:cs="DM Sans"/>
                <w:b w:val="0"/>
                <w:i w:val="0"/>
                <w:color w:val="050C2A"/>
                <w:sz w:val="20"/>
                <w:u w:val="none"/>
              </w:rPr>
              <w:t>Project Work</w:t>
            </w:r>
          </w:p>
        </w:tc>
        <w:tc>
          <w:tcPr>
            <w:tcW w:type="dxa" w:w="1874"/>
            <w:vAlign w:val="center"/>
          </w:tcPr>
          <w:p>
            <w:pPr>
              <w:spacing w:before="30" w:after="30"/>
            </w:pPr>
            <w:r>
              <w:rPr>
                <w:rFonts w:ascii="DM Sans" w:hAnsi="DM Sans" w:cs="DM Sans"/>
                <w:b w:val="0"/>
                <w:i w:val="0"/>
                <w:color w:val="050C2A"/>
                <w:sz w:val="20"/>
                <w:u w:val="none"/>
              </w:rPr>
              <w:t>Async team communication across the week</w:t>
            </w:r>
          </w:p>
        </w:tc>
        <w:tc>
          <w:tcPr>
            <w:tcW w:type="dxa" w:w="445"/>
            <w:vAlign w:val="center"/>
          </w:tcPr>
          <w:p>
            <w:pPr>
              <w:spacing w:before="30" w:after="30"/>
            </w:pPr>
            <w:r>
              <w:rPr>
                <w:rFonts w:ascii="DM Sans" w:hAnsi="DM Sans" w:cs="DM Sans"/>
                <w:b w:val="0"/>
                <w:i w:val="0"/>
                <w:color w:val="050C2A"/>
                <w:sz w:val="20"/>
                <w:u w:val="none"/>
              </w:rPr>
              <w:t>Project</w:t>
            </w:r>
          </w:p>
        </w:tc>
        <w:tc>
          <w:tcPr>
            <w:tcW w:type="dxa" w:w="874"/>
            <w:vAlign w:val="center"/>
          </w:tcPr>
          <w:p>
            <w:pPr>
              <w:spacing w:before="30" w:after="30"/>
            </w:pPr>
            <w:r>
              <w:rPr>
                <w:rFonts w:ascii="DM Sans" w:hAnsi="DM Sans" w:cs="DM Sans"/>
                <w:b w:val="0"/>
                <w:i w:val="0"/>
                <w:color w:val="050C2A"/>
                <w:sz w:val="20"/>
                <w:u w:val="none"/>
              </w:rPr>
              <w:t>45</w:t>
            </w:r>
          </w:p>
        </w:tc>
        <w:tc>
          <w:tcPr>
            <w:tcW w:type="dxa" w:w="4950"/>
            <w:vAlign w:val="center"/>
          </w:tcPr>
          <w:p>
            <w:pPr>
              <w:spacing w:before="30" w:after="30"/>
            </w:pPr>
            <w:r>
              <w:rPr>
                <w:rFonts w:ascii="DM Sans" w:hAnsi="DM Sans" w:cs="DM Sans"/>
                <w:b w:val="0"/>
                <w:i w:val="0"/>
                <w:color w:val="050C2A"/>
                <w:sz w:val="20"/>
                <w:u w:val="none"/>
              </w:rPr>
              <w:t>Final coordination of the course; includes any follow-up on deliverable handoff to employer; last contribution record entry; 45 minutes accounts for presentation logistics, follow-up communication, and any remaining coordination</w:t>
            </w:r>
          </w:p>
        </w:tc>
      </w:tr>
      <w:tr>
        <w:tc>
          <w:tcPr>
            <w:tcW w:type="dxa" w:w="376"/>
            <w:shd w:fill="F5F5F5" w:val="clear"/>
            <w:vAlign w:val="center"/>
          </w:tcPr>
          <w:p>
            <w:pPr>
              <w:spacing w:before="30" w:after="30"/>
            </w:pPr>
          </w:p>
        </w:tc>
        <w:tc>
          <w:tcPr>
            <w:tcW w:type="dxa" w:w="841"/>
            <w:shd w:fill="F5F5F5" w:val="clear"/>
            <w:vAlign w:val="center"/>
          </w:tcPr>
          <w:p>
            <w:pPr>
              <w:spacing w:before="30" w:after="30"/>
            </w:pPr>
          </w:p>
        </w:tc>
        <w:tc>
          <w:tcPr>
            <w:tcW w:type="dxa" w:w="1874"/>
            <w:shd w:fill="F5F5F5" w:val="clear"/>
            <w:vAlign w:val="center"/>
          </w:tcPr>
          <w:p>
            <w:pPr>
              <w:spacing w:before="30" w:after="30"/>
            </w:pPr>
            <w:r>
              <w:rPr>
                <w:rFonts w:ascii="DM Sans" w:hAnsi="DM Sans" w:cs="DM Sans"/>
                <w:b/>
                <w:i w:val="0"/>
                <w:color w:val="050C2A"/>
                <w:sz w:val="20"/>
                <w:u w:val="none"/>
              </w:rPr>
              <w:t>TOTAL</w:t>
            </w:r>
          </w:p>
        </w:tc>
        <w:tc>
          <w:tcPr>
            <w:tcW w:type="dxa" w:w="445"/>
            <w:shd w:fill="F5F5F5" w:val="clear"/>
            <w:vAlign w:val="center"/>
          </w:tcPr>
          <w:p>
            <w:pPr>
              <w:spacing w:before="30" w:after="30"/>
            </w:pPr>
          </w:p>
        </w:tc>
        <w:tc>
          <w:tcPr>
            <w:tcW w:type="dxa" w:w="874"/>
            <w:shd w:fill="F5F5F5" w:val="clear"/>
            <w:vAlign w:val="center"/>
          </w:tcPr>
          <w:p>
            <w:pPr>
              <w:spacing w:before="30" w:after="30"/>
            </w:pPr>
            <w:r>
              <w:rPr>
                <w:rFonts w:ascii="DM Sans" w:hAnsi="DM Sans" w:cs="DM Sans"/>
                <w:b/>
                <w:i w:val="0"/>
                <w:color w:val="050C2A"/>
                <w:sz w:val="20"/>
                <w:u w:val="none"/>
              </w:rPr>
              <w:t>490 min (~8 hrs 10 min)</w:t>
            </w:r>
          </w:p>
        </w:tc>
        <w:tc>
          <w:tcPr>
            <w:tcW w:type="dxa" w:w="4950"/>
            <w:shd w:fill="F5F5F5" w:val="clear"/>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454"/>
            <w:shd w:fill="FF7C0A" w:val="clear"/>
            <w:vAlign w:val="center"/>
          </w:tcPr>
          <w:p>
            <w:pPr>
              <w:jc w:val="left"/>
              <w:spacing w:before="40" w:after="40"/>
            </w:pPr>
            <w:r>
              <w:rPr>
                <w:rFonts w:ascii="DM Sans" w:hAnsi="DM Sans" w:cs="DM Sans"/>
                <w:b/>
                <w:i w:val="0"/>
                <w:color w:val="FFFFFF"/>
                <w:sz w:val="20"/>
                <w:u w:val="none"/>
              </w:rPr>
              <w:t>Competency Area</w:t>
            </w:r>
          </w:p>
        </w:tc>
        <w:tc>
          <w:tcPr>
            <w:tcW w:type="dxa" w:w="1238"/>
            <w:shd w:fill="FF7C0A" w:val="clear"/>
            <w:vAlign w:val="center"/>
          </w:tcPr>
          <w:p>
            <w:pPr>
              <w:jc w:val="left"/>
              <w:spacing w:before="40" w:after="40"/>
            </w:pPr>
            <w:r>
              <w:rPr>
                <w:rFonts w:ascii="DM Sans" w:hAnsi="DM Sans" w:cs="DM Sans"/>
                <w:b/>
                <w:i w:val="0"/>
                <w:color w:val="FFFFFF"/>
                <w:sz w:val="20"/>
                <w:u w:val="none"/>
              </w:rPr>
              <w:t>Subskill</w:t>
            </w:r>
          </w:p>
        </w:tc>
        <w:tc>
          <w:tcPr>
            <w:tcW w:type="dxa" w:w="6668"/>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454"/>
            <w:vAlign w:val="center"/>
          </w:tcPr>
          <w:p>
            <w:pPr>
              <w:spacing w:before="30" w:after="30"/>
            </w:pPr>
            <w:r>
              <w:rPr>
                <w:rFonts w:ascii="DM Sans" w:hAnsi="DM Sans" w:cs="DM Sans"/>
                <w:b/>
                <w:i w:val="0"/>
                <w:color w:val="050C2A"/>
                <w:sz w:val="20"/>
                <w:u w:val="none"/>
              </w:rPr>
              <w:t>Communication</w:t>
            </w:r>
          </w:p>
        </w:tc>
        <w:tc>
          <w:tcPr>
            <w:tcW w:type="dxa" w:w="1238"/>
            <w:vAlign w:val="center"/>
          </w:tcPr>
          <w:p>
            <w:pPr>
              <w:spacing w:before="30" w:after="30"/>
            </w:pPr>
            <w:r>
              <w:rPr>
                <w:rFonts w:ascii="DM Sans" w:hAnsi="DM Sans" w:cs="DM Sans"/>
                <w:b w:val="0"/>
                <w:i w:val="0"/>
                <w:color w:val="050C2A"/>
                <w:sz w:val="20"/>
                <w:u w:val="none"/>
              </w:rPr>
              <w:t>Oral Presentation</w:t>
            </w:r>
          </w:p>
        </w:tc>
        <w:tc>
          <w:tcPr>
            <w:tcW w:type="dxa" w:w="6668"/>
            <w:vAlign w:val="center"/>
          </w:tcPr>
          <w:p>
            <w:pPr>
              <w:spacing w:before="30" w:after="30"/>
            </w:pPr>
            <w:r>
              <w:rPr>
                <w:rFonts w:ascii="DM Sans" w:hAnsi="DM Sans" w:cs="DM Sans"/>
                <w:b w:val="0"/>
                <w:i w:val="0"/>
                <w:color w:val="050C2A"/>
                <w:sz w:val="20"/>
                <w:u w:val="none"/>
              </w:rPr>
              <w:t>The Final Presentation (15.05) is the summative assessment site for oral presentation. The entire three-week presentation arc — Presentation Fundamentals (Week 12), Planning Your Presentation and Handling Q&amp;A (Week 14), build and rehearsal (Week 14), and polish and delivery (Week 15) — converges here. This is one of only two formal presentations in the course; the Direction Check in Week 5 was a brief presentation of a proposed approach, while this is a full presentation of completed professional work. The difference in scope, polish, and confidence between the two should be visible evidence of growth.</w:t>
            </w:r>
          </w:p>
        </w:tc>
      </w:tr>
      <w:tr>
        <w:tc>
          <w:tcPr>
            <w:tcW w:type="dxa" w:w="1454"/>
            <w:shd w:fill="F5F5F5" w:val="clear"/>
            <w:vAlign w:val="center"/>
          </w:tcPr>
          <w:p>
            <w:pPr>
              <w:spacing w:before="30" w:after="30"/>
            </w:pPr>
            <w:r>
              <w:rPr>
                <w:rFonts w:ascii="DM Sans" w:hAnsi="DM Sans" w:cs="DM Sans"/>
                <w:b/>
                <w:i w:val="0"/>
                <w:color w:val="050C2A"/>
                <w:sz w:val="20"/>
                <w:u w:val="none"/>
              </w:rPr>
              <w:t>Communication</w:t>
            </w:r>
          </w:p>
        </w:tc>
        <w:tc>
          <w:tcPr>
            <w:tcW w:type="dxa" w:w="1238"/>
            <w:shd w:fill="F5F5F5" w:val="clear"/>
            <w:vAlign w:val="center"/>
          </w:tcPr>
          <w:p>
            <w:pPr>
              <w:spacing w:before="30" w:after="30"/>
            </w:pPr>
            <w:r>
              <w:rPr>
                <w:rFonts w:ascii="DM Sans" w:hAnsi="DM Sans" w:cs="DM Sans"/>
                <w:b w:val="0"/>
                <w:i w:val="0"/>
                <w:color w:val="050C2A"/>
                <w:sz w:val="20"/>
                <w:u w:val="none"/>
              </w:rPr>
              <w:t>Active Listening</w:t>
            </w:r>
          </w:p>
        </w:tc>
        <w:tc>
          <w:tcPr>
            <w:tcW w:type="dxa" w:w="6668"/>
            <w:shd w:fill="F5F5F5" w:val="clear"/>
            <w:vAlign w:val="center"/>
          </w:tcPr>
          <w:p>
            <w:pPr>
              <w:spacing w:before="30" w:after="30"/>
            </w:pPr>
            <w:r>
              <w:rPr>
                <w:rFonts w:ascii="DM Sans" w:hAnsi="DM Sans" w:cs="DM Sans"/>
                <w:b w:val="0"/>
                <w:i w:val="0"/>
                <w:color w:val="050C2A"/>
                <w:sz w:val="20"/>
                <w:u w:val="none"/>
              </w:rPr>
              <w:t>The Q&amp;A portion of the Final Presentation (15 min of the 60-min hold) tests active listening under pressure. Students must hear the employer's actual question, process it, and respond to what was asked rather than defaulting to rehearsed talking points. Module 14.03 (Handling Q&amp;A) prepared students for this; the presentation is the live test.</w:t>
            </w:r>
          </w:p>
        </w:tc>
      </w:tr>
      <w:tr>
        <w:tc>
          <w:tcPr>
            <w:tcW w:type="dxa" w:w="1454"/>
            <w:vAlign w:val="center"/>
          </w:tcPr>
          <w:p>
            <w:pPr>
              <w:spacing w:before="30" w:after="30"/>
            </w:pPr>
            <w:r>
              <w:rPr>
                <w:rFonts w:ascii="DM Sans" w:hAnsi="DM Sans" w:cs="DM Sans"/>
                <w:b/>
                <w:i w:val="0"/>
                <w:color w:val="050C2A"/>
                <w:sz w:val="20"/>
                <w:u w:val="none"/>
              </w:rPr>
              <w:t>Career &amp; Self-Development</w:t>
            </w:r>
          </w:p>
        </w:tc>
        <w:tc>
          <w:tcPr>
            <w:tcW w:type="dxa" w:w="1238"/>
            <w:vAlign w:val="center"/>
          </w:tcPr>
          <w:p>
            <w:pPr>
              <w:spacing w:before="30" w:after="30"/>
            </w:pPr>
            <w:r>
              <w:rPr>
                <w:rFonts w:ascii="DM Sans" w:hAnsi="DM Sans" w:cs="DM Sans"/>
                <w:b w:val="0"/>
                <w:i w:val="0"/>
                <w:color w:val="050C2A"/>
                <w:sz w:val="20"/>
                <w:u w:val="none"/>
              </w:rPr>
              <w:t>Reflection</w:t>
            </w:r>
          </w:p>
        </w:tc>
        <w:tc>
          <w:tcPr>
            <w:tcW w:type="dxa" w:w="6668"/>
            <w:vAlign w:val="center"/>
          </w:tcPr>
          <w:p>
            <w:pPr>
              <w:spacing w:before="30" w:after="30"/>
            </w:pPr>
            <w:r>
              <w:rPr>
                <w:rFonts w:ascii="DM Sans" w:hAnsi="DM Sans" w:cs="DM Sans"/>
                <w:b w:val="0"/>
                <w:i w:val="0"/>
                <w:color w:val="050C2A"/>
                <w:sz w:val="20"/>
                <w:u w:val="none"/>
              </w:rPr>
              <w:t>Reflection #5 (15.07) is the final and most demanding reflection in the portfolio. By this point, students have written four prior reflections with progressively higher expectations. The calibration expectation for Reflection #5 is synthesis: the student demonstrates the full DEAL capability, and the articulated learning is specific enough to be actionable in a future professional context. The post-presentation debrief and team closing (15.06) are deliberately sequenced before the reflection submission to provide one final pool of experiential material.</w:t>
            </w:r>
          </w:p>
        </w:tc>
      </w:tr>
      <w:tr>
        <w:tc>
          <w:tcPr>
            <w:tcW w:type="dxa" w:w="1454"/>
            <w:shd w:fill="F5F5F5" w:val="clear"/>
            <w:vAlign w:val="center"/>
          </w:tcPr>
          <w:p>
            <w:pPr>
              <w:spacing w:before="30" w:after="30"/>
            </w:pPr>
            <w:r>
              <w:rPr>
                <w:rFonts w:ascii="DM Sans" w:hAnsi="DM Sans" w:cs="DM Sans"/>
                <w:b/>
                <w:i w:val="0"/>
                <w:color w:val="050C2A"/>
                <w:sz w:val="20"/>
                <w:u w:val="none"/>
              </w:rPr>
              <w:t>Career &amp; Self-Development</w:t>
            </w:r>
          </w:p>
        </w:tc>
        <w:tc>
          <w:tcPr>
            <w:tcW w:type="dxa" w:w="1238"/>
            <w:shd w:fill="F5F5F5" w:val="clear"/>
            <w:vAlign w:val="center"/>
          </w:tcPr>
          <w:p>
            <w:pPr>
              <w:spacing w:before="30" w:after="30"/>
            </w:pPr>
            <w:r>
              <w:rPr>
                <w:rFonts w:ascii="DM Sans" w:hAnsi="DM Sans" w:cs="DM Sans"/>
                <w:b w:val="0"/>
                <w:i w:val="0"/>
                <w:color w:val="050C2A"/>
                <w:sz w:val="20"/>
                <w:u w:val="none"/>
              </w:rPr>
              <w:t>Career Articulation</w:t>
            </w:r>
          </w:p>
        </w:tc>
        <w:tc>
          <w:tcPr>
            <w:tcW w:type="dxa" w:w="6668"/>
            <w:shd w:fill="F5F5F5" w:val="clear"/>
            <w:vAlign w:val="center"/>
          </w:tcPr>
          <w:p>
            <w:pPr>
              <w:spacing w:before="30" w:after="30"/>
            </w:pPr>
            <w:r>
              <w:rPr>
                <w:rFonts w:ascii="DM Sans" w:hAnsi="DM Sans" w:cs="DM Sans"/>
                <w:b w:val="0"/>
                <w:i w:val="0"/>
                <w:color w:val="050C2A"/>
                <w:sz w:val="20"/>
                <w:u w:val="none"/>
              </w:rPr>
              <w:t>Module 15.03 (Articulating Your Experience) is the primary instruction site for career articulation — a subskill that has been implicitly developed throughout the course but receives direct attention only here. The module teaches students to translate what they did and learned into professional language appropriate for resumes, interviews, and LinkedIn. This is the subskill that connects the course to what comes after: students who can articulate their experience compellingly are better positioned for the professional opportunities the course was designed to prepare them for.</w:t>
            </w:r>
          </w:p>
        </w:tc>
      </w:tr>
      <w:tr>
        <w:tc>
          <w:tcPr>
            <w:tcW w:type="dxa" w:w="1454"/>
            <w:vAlign w:val="center"/>
          </w:tcPr>
          <w:p>
            <w:pPr>
              <w:spacing w:before="30" w:after="30"/>
            </w:pPr>
            <w:r>
              <w:rPr>
                <w:rFonts w:ascii="DM Sans" w:hAnsi="DM Sans" w:cs="DM Sans"/>
                <w:b/>
                <w:i w:val="0"/>
                <w:color w:val="050C2A"/>
                <w:sz w:val="20"/>
                <w:u w:val="none"/>
              </w:rPr>
              <w:t>Teamwork</w:t>
            </w:r>
          </w:p>
        </w:tc>
        <w:tc>
          <w:tcPr>
            <w:tcW w:type="dxa" w:w="1238"/>
            <w:vAlign w:val="center"/>
          </w:tcPr>
          <w:p>
            <w:pPr>
              <w:spacing w:before="30" w:after="30"/>
            </w:pPr>
            <w:r>
              <w:rPr>
                <w:rFonts w:ascii="DM Sans" w:hAnsi="DM Sans" w:cs="DM Sans"/>
                <w:b w:val="0"/>
                <w:i w:val="0"/>
                <w:color w:val="050C2A"/>
                <w:sz w:val="20"/>
                <w:u w:val="none"/>
              </w:rPr>
              <w:t>Constructive Feedback</w:t>
            </w:r>
          </w:p>
        </w:tc>
        <w:tc>
          <w:tcPr>
            <w:tcW w:type="dxa" w:w="6668"/>
            <w:vAlign w:val="center"/>
          </w:tcPr>
          <w:p>
            <w:pPr>
              <w:spacing w:before="30" w:after="30"/>
            </w:pPr>
            <w:r>
              <w:rPr>
                <w:rFonts w:ascii="DM Sans" w:hAnsi="DM Sans" w:cs="DM Sans"/>
                <w:b w:val="0"/>
                <w:i w:val="0"/>
                <w:color w:val="050C2A"/>
                <w:sz w:val="20"/>
                <w:u w:val="none"/>
              </w:rPr>
              <w:t>Peer Evaluation #2 (15.08) is the summative assessment for Teamwork competencies. The evaluation requires students to provide specific behavioral evidence for each rating — not just "they were a good teammate" but "they consistently delivered draft sections by the agreed deadline and twice volunteered to take on additional scope when the project plan changed." The full-arc evaluation is more demanding than the mid-project version because students must synthesize 15 weeks of observation into coherent, defensible assessments.</w:t>
            </w:r>
          </w:p>
        </w:tc>
      </w:tr>
      <w:tr>
        <w:tc>
          <w:tcPr>
            <w:tcW w:type="dxa" w:w="1454"/>
            <w:shd w:fill="F5F5F5" w:val="clear"/>
            <w:vAlign w:val="center"/>
          </w:tcPr>
          <w:p>
            <w:pPr>
              <w:spacing w:before="30" w:after="30"/>
            </w:pPr>
            <w:r>
              <w:rPr>
                <w:rFonts w:ascii="DM Sans" w:hAnsi="DM Sans" w:cs="DM Sans"/>
                <w:b/>
                <w:i w:val="0"/>
                <w:color w:val="050C2A"/>
                <w:sz w:val="20"/>
                <w:u w:val="none"/>
              </w:rPr>
              <w:t>Teamwork</w:t>
            </w:r>
          </w:p>
        </w:tc>
        <w:tc>
          <w:tcPr>
            <w:tcW w:type="dxa" w:w="1238"/>
            <w:shd w:fill="F5F5F5" w:val="clear"/>
            <w:vAlign w:val="center"/>
          </w:tcPr>
          <w:p>
            <w:pPr>
              <w:spacing w:before="30" w:after="30"/>
            </w:pPr>
            <w:r>
              <w:rPr>
                <w:rFonts w:ascii="DM Sans" w:hAnsi="DM Sans" w:cs="DM Sans"/>
                <w:b w:val="0"/>
                <w:i w:val="0"/>
                <w:color w:val="050C2A"/>
                <w:sz w:val="20"/>
                <w:u w:val="none"/>
              </w:rPr>
              <w:t>Shared Accountability</w:t>
            </w:r>
          </w:p>
        </w:tc>
        <w:tc>
          <w:tcPr>
            <w:tcW w:type="dxa" w:w="6668"/>
            <w:shd w:fill="F5F5F5" w:val="clear"/>
            <w:vAlign w:val="center"/>
          </w:tcPr>
          <w:p>
            <w:pPr>
              <w:spacing w:before="30" w:after="30"/>
            </w:pPr>
            <w:r>
              <w:rPr>
                <w:rFonts w:ascii="DM Sans" w:hAnsi="DM Sans" w:cs="DM Sans"/>
                <w:b w:val="0"/>
                <w:i w:val="0"/>
                <w:color w:val="050C2A"/>
                <w:sz w:val="20"/>
                <w:u w:val="none"/>
              </w:rPr>
              <w:t>The post-presentation debrief and team closing (15.06) is the last collaborative act of the course. The structured closing — acknowledging what the team accomplished together and what each person contributed — models shared accountability as a team practice, not just an evaluation criterion. The individual acknowledgments create material that feeds both the peer evaluation and the reflection.</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Final Presentation → Communication (Oral Presentation, Active Listening) + Professionalism (Quality &amp; Attention to Detail)</w:t>
      </w:r>
    </w:p>
    <w:p>
      <w:pPr>
        <w:spacing w:before="0" w:after="120" w:line="276" w:lineRule="auto"/>
      </w:pPr>
      <w:r>
        <w:rPr>
          <w:rFonts w:ascii="DM Sans" w:hAnsi="DM Sans" w:cs="DM Sans"/>
          <w:b w:val="0"/>
          <w:i w:val="0"/>
          <w:color w:val="050C2A"/>
          <w:sz w:val="20"/>
          <w:u w:val="none"/>
        </w:rPr>
        <w:t>Graded; rubric-based. Team submission. Worth 15% of the course grade. The Final Presentation is a 60-minute formal event: students present their completed work to the employer and course supervisor, respond to questions, and receive feedback. The presentation rubric assesses the team's ability to communicate their work to a professional audience through narrative structure, visual support, speaker coordination, and Q&amp;A performance.</w:t>
      </w:r>
    </w:p>
    <w:p>
      <w:pPr>
        <w:spacing w:before="0" w:after="120" w:line="276" w:lineRule="auto"/>
      </w:pPr>
      <w:r>
        <w:rPr>
          <w:rFonts w:ascii="DM Sans" w:hAnsi="DM Sans" w:cs="DM Sans"/>
          <w:b w:val="0"/>
          <w:i w:val="0"/>
          <w:color w:val="050C2A"/>
          <w:sz w:val="20"/>
          <w:u w:val="none"/>
        </w:rPr>
        <w:t>The presentation arc spans three weeks: Presentation Fundamentals in Week 12 (conceptual), Planning Your Presentation and Handling Q&amp;A in Week 14 (operational), deck build and rehearsal in Week 14 (production), and delivery in Week 15. The polish session (15.04) is not a rehearsal but a final-pass preparation — practicing opening and closing, confirming timing, and reviewing anticipated questions.</w:t>
      </w:r>
    </w:p>
    <w:p>
      <w:pPr>
        <w:spacing w:before="0" w:after="120" w:line="276" w:lineRule="auto"/>
      </w:pPr>
      <w:r>
        <w:rPr>
          <w:rFonts w:ascii="DM Sans" w:hAnsi="DM Sans" w:cs="DM Sans"/>
          <w:b w:val="0"/>
          <w:i w:val="0"/>
          <w:color w:val="050C2A"/>
          <w:sz w:val="20"/>
          <w:u w:val="none"/>
        </w:rPr>
        <w:t>AI-assisted slide design and speaker notes are permitted (with disclosure). The defend-your-work standard applies to the Q&amp;A: students must respond from genuine understanding of the research, analysis, and recommendations. Answers that reveal the student cannot explain their own team's work will be visible to the employer, the course supervisor, and the grading rubric.</w:t>
      </w:r>
    </w:p>
    <w:p>
      <w:pPr>
        <w:spacing w:before="0" w:after="120" w:line="276" w:lineRule="auto"/>
      </w:pPr>
      <w:r>
        <w:rPr>
          <w:rFonts w:ascii="DM Sans" w:hAnsi="DM Sans" w:cs="DM Sans"/>
          <w:b/>
          <w:i w:val="0"/>
          <w:color w:val="050C2A"/>
          <w:sz w:val="20"/>
          <w:u w:val="none"/>
        </w:rPr>
        <w:t>Reflection #5 → Career &amp; Self-Development (Reflection, Growth Orientation, Career Articulation)</w:t>
      </w:r>
    </w:p>
    <w:p>
      <w:pPr>
        <w:spacing w:before="0" w:after="120" w:line="276" w:lineRule="auto"/>
      </w:pPr>
      <w:r>
        <w:rPr>
          <w:rFonts w:ascii="DM Sans" w:hAnsi="DM Sans" w:cs="DM Sans"/>
          <w:b w:val="0"/>
          <w:i w:val="0"/>
          <w:color w:val="050C2A"/>
          <w:sz w:val="20"/>
          <w:u w:val="none"/>
        </w:rPr>
        <w:t>Graded; rubric-based. Individual submission. Contributes ~5% of the final grade as part of the Reflection Portfolio (25% total, five reflections). The fifth and final DEAL reflection. Students examine the full 15-week course arc and identify the single most important thing they learned about how they work, learn, or engage professionally — not about the project's subject matter but about themselves. The experiential pool is the entire course: from the kickoff meeting in Week 3 through the Final Presentation in Week 15.</w:t>
      </w:r>
    </w:p>
    <w:p>
      <w:pPr>
        <w:spacing w:before="0" w:after="120" w:line="276" w:lineRule="auto"/>
      </w:pPr>
      <w:r>
        <w:rPr>
          <w:rFonts w:ascii="DM Sans" w:hAnsi="DM Sans" w:cs="DM Sans"/>
          <w:b w:val="0"/>
          <w:i w:val="0"/>
          <w:color w:val="050C2A"/>
          <w:sz w:val="20"/>
          <w:u w:val="none"/>
        </w:rPr>
        <w:t>The same rubric applies as for all reflections: Descriptive Specificity (25%), Critical Examination (25%), Personal Accountability (25%), Articulation of Learning (25%). The calibration expectation is the highest of any reflection: students should demonstrate precise description, probing examination, and articulated learning that is both specific enough to be actionable and broad enough to transfer to future professional contexts. The distance between Reflection #5 and Reflection #1 should be evident in every dimension.</w:t>
      </w:r>
    </w:p>
    <w:p>
      <w:pPr>
        <w:spacing w:before="0" w:after="120" w:line="276" w:lineRule="auto"/>
      </w:pPr>
      <w:r>
        <w:rPr>
          <w:rFonts w:ascii="DM Sans" w:hAnsi="DM Sans" w:cs="DM Sans"/>
          <w:b w:val="0"/>
          <w:i w:val="0"/>
          <w:color w:val="050C2A"/>
          <w:sz w:val="20"/>
          <w:u w:val="none"/>
        </w:rPr>
        <w:t>Drafting began in Week 14 (14.10). The Final Presentation, employer feedback, and team closing (15.06) may surface final insights to incorporate. AI-as-Socratic-partner prompt is embedded in the assignment. AI-assisted drafting is off-limits. AI disclosure required on submission via Riipen.</w:t>
      </w:r>
    </w:p>
    <w:p>
      <w:pPr>
        <w:spacing w:before="0" w:after="120" w:line="276" w:lineRule="auto"/>
      </w:pPr>
      <w:r>
        <w:rPr>
          <w:rFonts w:ascii="DM Sans" w:hAnsi="DM Sans" w:cs="DM Sans"/>
          <w:b/>
          <w:i w:val="0"/>
          <w:color w:val="050C2A"/>
          <w:sz w:val="20"/>
          <w:u w:val="none"/>
        </w:rPr>
        <w:t>Peer Evaluation #2 → Teamwork (Reliability, Collaborative Contribution, Constructive Feedback, Shared Accountability)</w:t>
      </w:r>
    </w:p>
    <w:p>
      <w:pPr>
        <w:spacing w:before="0" w:after="120" w:line="276" w:lineRule="auto"/>
      </w:pPr>
      <w:r>
        <w:rPr>
          <w:rFonts w:ascii="DM Sans" w:hAnsi="DM Sans" w:cs="DM Sans"/>
          <w:b w:val="0"/>
          <w:i w:val="0"/>
          <w:color w:val="050C2A"/>
          <w:sz w:val="20"/>
          <w:u w:val="none"/>
        </w:rPr>
        <w:t>Contributes to Professional Engagement grade (not graded as a standalone deliverable). Peer Evaluation #2 is the summative end-of-project evaluation, covering the full arc of collaboration from Week 1 through Week 15. The evaluation carries 70% of the overall peer evaluation score (the mid-project evaluation in Week 8 carries 30%), which is 50% of the Professional Engagement component (20% of course grade).</w:t>
      </w:r>
    </w:p>
    <w:p>
      <w:pPr>
        <w:spacing w:before="0" w:after="120" w:line="276" w:lineRule="auto"/>
      </w:pPr>
      <w:r>
        <w:rPr>
          <w:rFonts w:ascii="DM Sans" w:hAnsi="DM Sans" w:cs="DM Sans"/>
          <w:b w:val="0"/>
          <w:i w:val="0"/>
          <w:color w:val="050C2A"/>
          <w:sz w:val="20"/>
          <w:u w:val="none"/>
        </w:rPr>
        <w:t>The instrument includes: (A) BARS ratings on four dimensions (Reliability, Contribution, Constructive Engagement, Accountability) with behavioral evidence for each rating; (B) contribution allocation (100 points distributed among teammates, unequal distribution required); (C) self-evaluation on the same four dimensions; (D) closure questions visible only to the instructor. Students evaluate the full arc, not just the final weeks — a teammate who started strong but disengaged in the Refinement phase is assessed on the full pattern, not just the ending.</w:t>
      </w:r>
    </w:p>
    <w:p>
      <w:pPr>
        <w:spacing w:before="0" w:after="120" w:line="276" w:lineRule="auto"/>
      </w:pPr>
      <w:r>
        <w:rPr>
          <w:rFonts w:ascii="DM Sans" w:hAnsi="DM Sans" w:cs="DM Sans"/>
          <w:b w:val="0"/>
          <w:i w:val="0"/>
          <w:color w:val="050C2A"/>
          <w:sz w:val="20"/>
          <w:u w:val="none"/>
        </w:rPr>
        <w:t>Started in Week 14 (14.11). AI cannot generate the evaluation — observations and ratings must reflect the student's genuine assessment of their teammate's behavior. AI disclosure required.</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For the Final Presentation, AI-assisted slide polish and speaker note refinement continues from Week 14. At this stage, the slides should already be built — AI use is most appropriate for final-pass work: checking that slides are visually consistent, tightening speaker notes, and preparing concise answers to anticipated questions. Using AI to simulate Q&amp;A is encouraged as final rehearsal preparation — prompting AI with the presentation content and asking it to generate challenging questions the employer might ask, then practicing answers out loud (not in writing).</w:t>
      </w:r>
    </w:p>
    <w:p>
      <w:pPr>
        <w:spacing w:before="0" w:after="120" w:line="276" w:lineRule="auto"/>
      </w:pPr>
      <w:r>
        <w:rPr>
          <w:rFonts w:ascii="DM Sans" w:hAnsi="DM Sans" w:cs="DM Sans"/>
          <w:b w:val="0"/>
          <w:i w:val="0"/>
          <w:color w:val="050C2A"/>
          <w:sz w:val="20"/>
          <w:u w:val="none"/>
        </w:rPr>
        <w:t>Module 15.03 (Articulating Your Experience) introduces a new AI application: using AI to refine professional self-presentation. This includes prompting AI to strengthen resume bullets, practice interview responses, and identify which accomplishments to lead with. This is distinct from AI-assisted reflection because the task is packaging and communicating learning, not generating or examining it. A student who uses AI to turn "I helped with a project for a credit union" into "Led market research synthesis for a regional financial institution, translating customer data into a strategic recommendations deck that informed the client's membership strategy" is using AI to articulate what they actually did — not to fabricate what they didn't.</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AI-assisted drafting is off-limits for Reflection #5. This is the final and most important reflection in the portfolio — the one that requires students to look across the full course arc and identify what changed in how they work professionally. Only the student can do this because only the student was there for all 15 weeks. AI as a Socratic thinking partner is permitted and encouraged: asking AI to push back on "I learned about teamwork" and challenge the student to articulate what specifically changed about how they collaborate, communicate, or approach ambiguity.</w:t>
      </w:r>
    </w:p>
    <w:p>
      <w:pPr>
        <w:spacing w:before="0" w:after="120" w:line="276" w:lineRule="auto"/>
      </w:pPr>
      <w:r>
        <w:rPr>
          <w:rFonts w:ascii="DM Sans" w:hAnsi="DM Sans" w:cs="DM Sans"/>
          <w:b w:val="0"/>
          <w:i w:val="0"/>
          <w:color w:val="050C2A"/>
          <w:sz w:val="20"/>
          <w:u w:val="none"/>
        </w:rPr>
        <w:t>AI cannot generate the peer evaluation. The qualitative feedback, BARS ratings, contribution allocation, and self-evaluation must all reflect the student's genuine observations and assessment. The closure questions (Part D) are especially sensitive — these are instructor-only signals about team dynamics that AI-generated responses would undermine.</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AI disclosure required on the Peer Evaluation #2 submission and the Reflection #5 submission. Presentation slides should include an AI disclosure if AI was used in their creation.</w:t>
      </w:r>
    </w:p>
    <w:p>
      <w:pPr>
        <w:spacing w:before="0" w:after="120" w:line="276" w:lineRule="auto"/>
      </w:pPr>
      <w:r>
        <w:rPr>
          <w:rFonts w:ascii="DM Sans" w:hAnsi="DM Sans" w:cs="DM Sans"/>
          <w:b/>
          <w:i w:val="0"/>
          <w:color w:val="050C2A"/>
          <w:sz w:val="20"/>
          <w:u w:val="none"/>
        </w:rPr>
        <w:t>Prompt strategy reinforced:</w:t>
      </w:r>
      <w:r>
        <w:rPr>
          <w:rFonts w:ascii="DM Sans" w:hAnsi="DM Sans" w:cs="DM Sans"/>
          <w:b w:val="0"/>
          <w:i w:val="0"/>
          <w:color w:val="050C2A"/>
          <w:sz w:val="20"/>
          <w:u w:val="none"/>
        </w:rPr>
        <w:t xml:space="preserve"> Three AI strategies conclude this week. The production partner role (Week 8+) ends with final slide polish. The Socratic partner strategy for reflection (introduced Week 1, applied in every reflection) reaches its most demanding application in Reflection #5. The new application — AI for professional self-presentation (Module 15.03) — introduces the last AI use case in the course and is explicitly about what comes after: using AI to articulate professional experience is a skill students will use beyond this course.</w:t>
      </w:r>
    </w:p>
    <w:p>
      <w:pPr>
        <w:spacing w:before="280" w:after="100"/>
      </w:pPr>
      <w:r>
        <w:rPr>
          <w:rFonts w:ascii="DM Sans" w:hAnsi="DM Sans" w:cs="DM Sans"/>
          <w:b/>
          <w:i w:val="0"/>
          <w:color w:val="050C2A"/>
          <w:sz w:val="28"/>
          <w:u w:val="none"/>
        </w:rPr>
        <w:t>Design Decisions</w:t>
      </w:r>
    </w:p>
    <w:p>
      <w:pPr>
        <w:spacing w:before="0" w:after="120" w:line="276" w:lineRule="auto"/>
      </w:pPr>
      <w:r>
        <w:rPr>
          <w:rFonts w:ascii="DM Sans" w:hAnsi="DM Sans" w:cs="DM Sans"/>
          <w:b/>
          <w:i w:val="0"/>
          <w:color w:val="050C2A"/>
          <w:sz w:val="20"/>
          <w:u w:val="none"/>
        </w:rPr>
        <w:t>1. Three graded submissions in one week.</w:t>
      </w:r>
      <w:r>
        <w:rPr>
          <w:rFonts w:ascii="DM Sans" w:hAnsi="DM Sans" w:cs="DM Sans"/>
          <w:b w:val="0"/>
          <w:i w:val="0"/>
          <w:color w:val="050C2A"/>
          <w:sz w:val="20"/>
          <w:u w:val="none"/>
        </w:rPr>
        <w:t xml:space="preserve"> Week 15 is the most submission-heavy week in the course. This is by design: the Final Presentation, Reflection #5, and Peer Evaluation #2 must all occur at the end of the course because they each depend on the full experience. The workload is manageable because both the reflection and peer evaluation were started in Week 14 — students are finalizing, not starting from scratch. The total time (490 min / ~8 hrs 10 min) is within the 9-hour ceiling and comparable to other heavy weeks (Week 3 at 565 min, Week 4 at 585 min).</w:t>
      </w:r>
    </w:p>
    <w:p>
      <w:pPr>
        <w:spacing w:before="0" w:after="120" w:line="276" w:lineRule="auto"/>
      </w:pPr>
      <w:r>
        <w:rPr>
          <w:rFonts w:ascii="DM Sans" w:hAnsi="DM Sans" w:cs="DM Sans"/>
          <w:b/>
          <w:i w:val="0"/>
          <w:color w:val="050C2A"/>
          <w:sz w:val="20"/>
          <w:u w:val="none"/>
        </w:rPr>
        <w:t>2. Peer Evaluation #2 time allocation reflects scope.</w:t>
      </w:r>
      <w:r>
        <w:rPr>
          <w:rFonts w:ascii="DM Sans" w:hAnsi="DM Sans" w:cs="DM Sans"/>
          <w:b w:val="0"/>
          <w:i w:val="0"/>
          <w:color w:val="050C2A"/>
          <w:sz w:val="20"/>
          <w:u w:val="none"/>
        </w:rPr>
        <w:t xml:space="preserve"> At 150 minutes, Peer Evaluation #2 is the single largest activity this week. This is not padding — evaluating three teammates across the full project arc with specific behavioral evidence for each BARS dimension, completing qualitative feedback, distributing contribution points, completing a self-evaluation, and answering closure questions takes real time if done thoughtfully. The approximately 45–50 minutes per teammate (plus self-evaluation and closure questions) is what the instrument demands. Students who rush through it produce thin evidence that undermines the evaluation's utility for both grading and teammate development.</w:t>
      </w:r>
    </w:p>
    <w:p>
      <w:pPr>
        <w:spacing w:before="0" w:after="120" w:line="276" w:lineRule="auto"/>
      </w:pPr>
      <w:r>
        <w:rPr>
          <w:rFonts w:ascii="DM Sans" w:hAnsi="DM Sans" w:cs="DM Sans"/>
          <w:b/>
          <w:i w:val="0"/>
          <w:color w:val="050C2A"/>
          <w:sz w:val="20"/>
          <w:u w:val="none"/>
        </w:rPr>
        <w:t>3. Sequencing: present, close, then reflect and evaluate.</w:t>
      </w:r>
      <w:r>
        <w:rPr>
          <w:rFonts w:ascii="DM Sans" w:hAnsi="DM Sans" w:cs="DM Sans"/>
          <w:b w:val="0"/>
          <w:i w:val="0"/>
          <w:color w:val="050C2A"/>
          <w:sz w:val="20"/>
          <w:u w:val="none"/>
        </w:rPr>
        <w:t xml:space="preserve"> The recommended completion order — present first, debrief and close as a team, then finalize Reflection #5 and Peer Evaluation #2 — is deliberate. The presentation experience and the team closing both generate material that strengthens the reflection and informs the evaluation. A student who writes Reflection #5 before presenting is missing the culminating experience of the course. A student who completes Peer Evaluation #2 before the team closing is evaluating an incomplete picture. The sequencing maximizes the quality of both individual submissions.</w:t>
      </w:r>
    </w:p>
    <w:p>
      <w:pPr>
        <w:spacing w:before="0" w:after="120" w:line="276" w:lineRule="auto"/>
      </w:pPr>
      <w:r>
        <w:rPr>
          <w:rFonts w:ascii="DM Sans" w:hAnsi="DM Sans" w:cs="DM Sans"/>
          <w:b/>
          <w:i w:val="0"/>
          <w:color w:val="050C2A"/>
          <w:sz w:val="20"/>
          <w:u w:val="none"/>
        </w:rPr>
        <w:t>4. Team closing as a designed activity, not an afterthought.</w:t>
      </w:r>
      <w:r>
        <w:rPr>
          <w:rFonts w:ascii="DM Sans" w:hAnsi="DM Sans" w:cs="DM Sans"/>
          <w:b w:val="0"/>
          <w:i w:val="0"/>
          <w:color w:val="050C2A"/>
          <w:sz w:val="20"/>
          <w:u w:val="none"/>
        </w:rPr>
        <w:t xml:space="preserve"> Activity 15.06 includes a structured team closing alongside the post-presentation debrief. This is intentional: experiential learning literature emphasizes that endings matter. Teams that disband without acknowledging what they built together miss a developmental opportunity. The structured format — what we accomplished, what we learned from each other, individual acknowledgments — gives students a framework for closing an experience that many have never had before. It also surfaces insights and observations that feed both Reflection #5 and Peer Evaluation #2.</w:t>
      </w:r>
    </w:p>
    <w:p>
      <w:pPr>
        <w:spacing w:before="0" w:after="120" w:line="276" w:lineRule="auto"/>
      </w:pPr>
      <w:r>
        <w:rPr>
          <w:rFonts w:ascii="DM Sans" w:hAnsi="DM Sans" w:cs="DM Sans"/>
          <w:b/>
          <w:i w:val="0"/>
          <w:color w:val="050C2A"/>
          <w:sz w:val="20"/>
          <w:u w:val="none"/>
        </w:rPr>
        <w:t>5. Articulating Your Experience as the final module.</w:t>
      </w:r>
      <w:r>
        <w:rPr>
          <w:rFonts w:ascii="DM Sans" w:hAnsi="DM Sans" w:cs="DM Sans"/>
          <w:b w:val="0"/>
          <w:i w:val="0"/>
          <w:color w:val="050C2A"/>
          <w:sz w:val="20"/>
          <w:u w:val="none"/>
        </w:rPr>
        <w:t xml:space="preserve"> Module 15.03 is the last instructional content in the course, and it's forward-facing: it helps students translate the project experience into professional self-presentation for contexts beyond the course. This is a deliberate choice about what the course's final teaching moment should be. The course has spent 14 weeks building professional competencies; the final module helps students learn to communicate what they've built. It also introduces the last AI use case — using AI to refine professional framing — which is a skill students will use in job searches, applications, and professional networking beyond this course.</w:t>
      </w:r>
    </w:p>
    <w:p>
      <w:pPr>
        <w:spacing w:before="0" w:after="120" w:line="276" w:lineRule="auto"/>
      </w:pPr>
      <w:r>
        <w:rPr>
          <w:rFonts w:ascii="DM Sans" w:hAnsi="DM Sans" w:cs="DM Sans"/>
          <w:b/>
          <w:i w:val="0"/>
          <w:color w:val="050C2A"/>
          <w:sz w:val="20"/>
          <w:u w:val="none"/>
        </w:rPr>
        <w:t>6. Module content is light and practical.</w:t>
      </w:r>
      <w:r>
        <w:rPr>
          <w:rFonts w:ascii="DM Sans" w:hAnsi="DM Sans" w:cs="DM Sans"/>
          <w:b w:val="0"/>
          <w:i w:val="0"/>
          <w:color w:val="050C2A"/>
          <w:sz w:val="20"/>
          <w:u w:val="none"/>
        </w:rPr>
        <w:t xml:space="preserve"> At 35 minutes total across two modules, Week 15 has among the lightest module content in the course. Presentation Day Prep (15.02) is not instruction — it's a brief mindset module for students who have already learned the concepts (Week 12) and practiced the execution (Week 14). Articulating Your Experience (15.03) teaches a genuinely new skill but one that requires concrete application rather than extensive instruction. The rest of the week's time is allocated to doing: presenting, closing, reflecting, and evaluating.</w:t>
      </w:r>
    </w:p>
    <w:p>
      <w:pPr>
        <w:spacing w:before="0" w:after="120" w:line="276" w:lineRule="auto"/>
      </w:pPr>
      <w:r>
        <w:rPr>
          <w:rFonts w:ascii="DM Sans" w:hAnsi="DM Sans" w:cs="DM Sans"/>
          <w:b/>
          <w:i w:val="0"/>
          <w:color w:val="050C2A"/>
          <w:sz w:val="20"/>
          <w:u w:val="none"/>
        </w:rPr>
        <w:t>7. The presentation tests the full arc, not just presentation skills.</w:t>
      </w:r>
      <w:r>
        <w:rPr>
          <w:rFonts w:ascii="DM Sans" w:hAnsi="DM Sans" w:cs="DM Sans"/>
          <w:b w:val="0"/>
          <w:i w:val="0"/>
          <w:color w:val="050C2A"/>
          <w:sz w:val="20"/>
          <w:u w:val="none"/>
        </w:rPr>
        <w:t xml:space="preserve"> The Final Presentation is graded as a communication competency assessment (15% of course grade), but it also functions as an implicit accountability check on the entire project. Students who outsourced thinking to AI, disengaged from the research, or let teammates carry the analysis will be exposed during Q&amp;A — the defend-your-work standard from Module 14.03 applies. The employer and course supervisor will ask questions, and the answers must come from genuine understanding of the work. This is not a gotcha — it is the professional standard that the entire course has been building toward.</w:t>
      </w:r>
    </w:p>
    <w:p>
      <w:pPr>
        <w:spacing w:before="0" w:after="120" w:line="276" w:lineRule="auto"/>
      </w:pPr>
      <w:r>
        <w:rPr>
          <w:rFonts w:ascii="DM Sans" w:hAnsi="DM Sans" w:cs="DM Sans"/>
          <w:b/>
          <w:i w:val="0"/>
          <w:color w:val="050C2A"/>
          <w:sz w:val="20"/>
          <w:u w:val="none"/>
        </w:rPr>
        <w:t>8. No Open Questions section.</w:t>
      </w:r>
      <w:r>
        <w:rPr>
          <w:rFonts w:ascii="DM Sans" w:hAnsi="DM Sans" w:cs="DM Sans"/>
          <w:b w:val="0"/>
          <w:i w:val="0"/>
          <w:color w:val="050C2A"/>
          <w:sz w:val="20"/>
          <w:u w:val="none"/>
        </w:rPr>
        <w:t xml:space="preserve"> Week 15 is the course's conclusion. The design is settled, the activities are specified, and the assessment framework is in place. Any remaining implementation questions (platform logistics for peer evaluation submission, presentation scheduling, grade calculation procedures) are operational matters addressed in facilitator materials, not design decisions that affect the weekly structure.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