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360" w:after="0"/>
      </w:pPr>
      <w:r>
        <w:rPr>
          <w:rFonts w:ascii="DM Sans" w:hAnsi="DM Sans" w:cs="DM Sans"/>
          <w:b/>
          <w:i w:val="0"/>
          <w:color w:val="FF7C0A"/>
          <w:sz w:val="34"/>
          <w:u w:val="none"/>
        </w:rPr>
        <w:t>Learner Deliverables — Reference for Riipen Experience Managers</w:t>
      </w:r>
    </w:p>
    <w:p>
      <w:pPr>
        <w:spacing w:before="0" w:after="120" w:line="276" w:lineRule="auto"/>
      </w:pP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>Quick reference of every learner submission across the 15-week course. Use this when building milestones and due dates into the course shell.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Graded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= scored against a rubric and contributes to the final grade.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Checkpoint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= completion-based; learners pass on submission, no quality rubric.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Employer viewable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= whether the employer (industry partner) sees the submission. Most checkpoints and all individual deliverables are internal to the course.</w:t>
      </w:r>
    </w:p>
    <w:p>
      <w:pPr>
        <w:ind w:left="720" w:hanging="360"/>
        <w:spacing w:before="0" w:after="60" w:line="276" w:lineRule="auto"/>
      </w:pPr>
      <w:r>
        <w:rPr>
          <w:rFonts w:ascii="DM Sans" w:hAnsi="DM Sans" w:cs="DM Sans"/>
          <w:b/>
          <w:i w:val="0"/>
          <w:color w:val="FF7C0A"/>
          <w:sz w:val="20"/>
          <w:u w:val="none"/>
        </w:rPr>
        <w:t xml:space="preserve">•  </w:t>
      </w:r>
      <w:r>
        <w:rPr>
          <w:rFonts w:ascii="DM Sans" w:hAnsi="DM Sans" w:cs="DM Sans"/>
          <w:b/>
          <w:i w:val="0"/>
          <w:color w:val="050C2A"/>
          <w:sz w:val="20"/>
          <w:u w:val="none"/>
        </w:rPr>
        <w:t>Submission week</w:t>
      </w:r>
      <w:r>
        <w:rPr>
          <w:rFonts w:ascii="DM Sans" w:hAnsi="DM Sans" w:cs="DM Sans"/>
          <w:b w:val="0"/>
          <w:i w:val="0"/>
          <w:color w:val="050C2A"/>
          <w:sz w:val="20"/>
          <w:u w:val="none"/>
        </w:rPr>
        <w:t xml:space="preserve"> = the week the deliverable is due. Some deliverables are introduced or drafted earlier; that's noted in the description.</w:t>
      </w:r>
    </w:p>
    <w:tbl>
      <w:tblPr>
        <w:jc w:val="center"/>
        <w:tblLook w:firstColumn="1" w:firstRow="1" w:lastColumn="0" w:lastRow="0" w:noHBand="0" w:noVBand="1" w:val="04A0"/>
        <w:tblW w:type="dxa" w:w="9360"/>
        <w:tblLayout w:type="fixed"/>
        <w:tblBorders>
          <w:top w:val="single" w:sz="4" w:space="0" w:color="ACACAC"/>
          <w:left w:val="single" w:sz="4" w:space="0" w:color="ACACAC"/>
          <w:bottom w:val="single" w:sz="4" w:space="0" w:color="ACACAC"/>
          <w:right w:val="single" w:sz="4" w:space="0" w:color="ACACAC"/>
          <w:insideH w:val="single" w:sz="4" w:space="0" w:color="ACACAC"/>
          <w:insideV w:val="single" w:sz="4" w:space="0" w:color="ACACAC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577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Week</w:t>
            </w:r>
          </w:p>
        </w:tc>
        <w:tc>
          <w:tcPr>
            <w:tcW w:type="dxa" w:w="1659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Deliverable</w:t>
            </w:r>
          </w:p>
        </w:tc>
        <w:tc>
          <w:tcPr>
            <w:tcW w:type="dxa" w:w="1191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Individual / Team</w:t>
            </w:r>
          </w:p>
        </w:tc>
        <w:tc>
          <w:tcPr>
            <w:tcW w:type="dxa" w:w="1259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Graded / Checkpoint</w:t>
            </w:r>
          </w:p>
        </w:tc>
        <w:tc>
          <w:tcPr>
            <w:tcW w:type="dxa" w:w="1191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Employer viewable</w:t>
            </w:r>
          </w:p>
        </w:tc>
        <w:tc>
          <w:tcPr>
            <w:tcW w:type="dxa" w:w="3483"/>
            <w:shd w:fill="FF7C0A" w:val="clear"/>
            <w:vAlign w:val="center"/>
          </w:tcPr>
          <w:p>
            <w:pPr>
              <w:jc w:val="left"/>
              <w:spacing w:before="40" w:after="40"/>
            </w:pPr>
            <w:r>
              <w:rPr>
                <w:rFonts w:ascii="DM Sans" w:hAnsi="DM Sans" w:cs="DM Sans"/>
                <w:b/>
                <w:i w:val="0"/>
                <w:color w:val="FFFFFF"/>
                <w:sz w:val="20"/>
                <w:u w:val="none"/>
              </w:rPr>
              <w:t>Brief description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Your Starting Point Questionnaire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Self-assessment and ranked project preferences. Forms the baseline for later reflections.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2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 Charter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Team's working agreement: roles, norms, communication channels, and decision-making. Internal team document.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3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Kickoff Summary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Internal record of what the employer said at the Kickoff. Used by the team during research; not sent to the employer.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3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Reflection #1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First DEAL-format reflection.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4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Context Analysis &amp; Project Plan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Yes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First formal team deliverable. Research findings, strategic implications, and project plan. Automatically shared with the employer on submission.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5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Direction Check Summary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Internal record of what was heard at the Direction Check meeting and what the team is changing as a result. Not shared with the employer.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6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Reflection #2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Second DEAL-format reflection.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7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Work-in-Progress Summary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Internal team-facing summary used to prepare for Development Check-In #1. Not sent to the employer.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8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Mid-Project Peer Evaluation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Peer evaluation across four Teamwork subskills using a behaviorally anchored scale.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9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Draft Deliverable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First complete internal assembly of the team's deliverable. Not sent to the employer.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9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Reflection #3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Third DEAL-format reflection. Feedback-themed.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11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Near-Final Package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Yes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Near-final draft of the deliverable. Submitted before the Near-Final review meeting; the employer reads it in advance.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12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Reflection #4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Fourth DEAL-format reflection.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13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Final Deliverables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Yes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The client-facing deliverable(s) submitted to the employer.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14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Presentation Outline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Checkpoint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Outline of the final presentation, submitted before the team builds the deck. Internal working document; not shared with the employer.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15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Final Presentation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Team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Yes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Live final presentation delivered to the employer (and any other audience).</w:t>
            </w:r>
          </w:p>
        </w:tc>
      </w:tr>
      <w:tr>
        <w:tc>
          <w:tcPr>
            <w:tcW w:type="dxa" w:w="577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15</w:t>
            </w:r>
          </w:p>
        </w:tc>
        <w:tc>
          <w:tcPr>
            <w:tcW w:type="dxa" w:w="16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End-of-Project Peer Evaluation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Final peer evaluation. Work begins in Week 14 and is submitted in Week 15.</w:t>
            </w:r>
          </w:p>
        </w:tc>
      </w:tr>
      <w:tr>
        <w:tc>
          <w:tcPr>
            <w:tcW w:type="dxa" w:w="577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15</w:t>
            </w:r>
          </w:p>
        </w:tc>
        <w:tc>
          <w:tcPr>
            <w:tcW w:type="dxa" w:w="16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Reflection #5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Individual</w:t>
            </w:r>
          </w:p>
        </w:tc>
        <w:tc>
          <w:tcPr>
            <w:tcW w:type="dxa" w:w="1259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Graded</w:t>
            </w:r>
          </w:p>
        </w:tc>
        <w:tc>
          <w:tcPr>
            <w:tcW w:type="dxa" w:w="1191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No</w:t>
            </w:r>
          </w:p>
        </w:tc>
        <w:tc>
          <w:tcPr>
            <w:tcW w:type="dxa" w:w="3483"/>
            <w:shd w:fill="F5F5F5" w:val="clear"/>
            <w:vAlign w:val="center"/>
          </w:tcPr>
          <w:p>
            <w:pPr>
              <w:spacing w:before="30" w:after="30"/>
            </w:pPr>
            <w:r>
              <w:rPr>
                <w:rFonts w:ascii="DM Sans" w:hAnsi="DM Sans" w:cs="DM Sans"/>
                <w:b w:val="0"/>
                <w:i w:val="0"/>
                <w:color w:val="050C2A"/>
                <w:sz w:val="20"/>
                <w:u w:val="none"/>
              </w:rPr>
              <w:t>Final DEAL-format reflection, focused on articulating learning for transfer. Work begins in Week 14 and is submitted in Week 15.</w:t>
            </w:r>
          </w:p>
        </w:tc>
      </w:tr>
    </w:tbl>
    <w:p>
      <w:pPr>
        <w:spacing w:before="0" w:after="1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DM Sans" w:hAnsi="DM Sans" w:cs="DM Sans"/>
        <w:b/>
        <w:i w:val="0"/>
        <w:color w:val="FF7C0A"/>
        <w:sz w:val="16"/>
        <w:u w:val="none"/>
      </w:rPr>
      <w:t>Riipen</w:t>
    </w:r>
    <w:r>
      <w:rPr>
        <w:rFonts w:ascii="DM Sans" w:hAnsi="DM Sans" w:cs="DM Sans"/>
        <w:b w:val="0"/>
        <w:i w:val="0"/>
        <w:color w:val="ACACAC"/>
        <w:sz w:val="16"/>
        <w:u w:val="none"/>
      </w:rPr>
      <w:t xml:space="preserve">  |  </w:t>
    </w:r>
    <w:r>
      <w:rPr>
        <w:rFonts w:ascii="DM Sans" w:hAnsi="DM Sans" w:cs="DM Sans"/>
        <w:b w:val="0"/>
        <w:i w:val="0"/>
        <w:color w:val="ACACAC"/>
        <w:sz w:val="16"/>
        <w:u w:val="none"/>
      </w:rPr>
      <w:t>riipen.com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097280" cy="57424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Riipen_Logo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97280" cy="574243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before="0" w:after="120"/>
    </w:pPr>
    <w:r>
      <w:rPr>
        <w:rFonts w:ascii="DM Sans" w:hAnsi="DM Sans" w:cs="DM Sans"/>
        <w:b w:val="0"/>
        <w:i w:val="0"/>
        <w:color w:val="ACACAC"/>
        <w:sz w:val="18"/>
        <w:u w:val="none"/>
      </w:rPr>
      <w:t>1200-555 West Hastings Street Vancouver, BC, V6B 4N6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M Sans" w:hAnsi="DM Sans" w:cs="DM Sans"/>
      <w:color w:val="050C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