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0"/>
      </w:pPr>
      <w:r>
        <w:rPr>
          <w:rFonts w:ascii="DM Sans" w:hAnsi="DM Sans" w:cs="DM Sans"/>
          <w:b/>
          <w:i w:val="0"/>
          <w:color w:val="FF7C0A"/>
          <w:sz w:val="34"/>
          <w:u w:val="none"/>
        </w:rPr>
        <w:t>Riipen Demo Script — 30 minutes</w:t>
      </w:r>
    </w:p>
    <w:p>
      <w:pPr>
        <w:spacing w:before="0" w:after="120" w:line="276" w:lineRule="auto"/>
      </w:pPr>
      <w:r>
        <w:rPr>
          <w:rFonts w:ascii="DM Sans" w:hAnsi="DM Sans" w:cs="DM Sans"/>
          <w:b/>
          <w:i w:val="0"/>
          <w:color w:val="050C2A"/>
          <w:sz w:val="20"/>
          <w:u w:val="none"/>
        </w:rPr>
        <w:t>Audience:</w:t>
      </w:r>
      <w:r>
        <w:rPr>
          <w:rFonts w:ascii="DM Sans" w:hAnsi="DM Sans" w:cs="DM Sans"/>
          <w:b w:val="0"/>
          <w:i w:val="0"/>
          <w:color w:val="050C2A"/>
          <w:sz w:val="20"/>
          <w:u w:val="none"/>
        </w:rPr>
        <w:t xml:space="preserve"> Partner-university faculty / academic reviewers </w:t>
      </w:r>
      <w:r>
        <w:rPr>
          <w:rFonts w:ascii="DM Sans" w:hAnsi="DM Sans" w:cs="DM Sans"/>
          <w:b/>
          <w:i w:val="0"/>
          <w:color w:val="050C2A"/>
          <w:sz w:val="20"/>
          <w:u w:val="none"/>
        </w:rPr>
        <w:t>Goal:</w:t>
      </w:r>
      <w:r>
        <w:rPr>
          <w:rFonts w:ascii="DM Sans" w:hAnsi="DM Sans" w:cs="DM Sans"/>
          <w:b w:val="0"/>
          <w:i w:val="0"/>
          <w:color w:val="050C2A"/>
          <w:sz w:val="20"/>
          <w:u w:val="none"/>
        </w:rPr>
        <w:t xml:space="preserve"> Showcase the pedagogical rigor, NACE competency alignment, four-part assessment, and gradebook/Platform integration of Career Catalyst using the smallest set of pages that still demonstrates the full range of the experience. </w:t>
      </w:r>
      <w:r>
        <w:rPr>
          <w:rFonts w:ascii="DM Sans" w:hAnsi="DM Sans" w:cs="DM Sans"/>
          <w:b/>
          <w:i w:val="0"/>
          <w:color w:val="050C2A"/>
          <w:sz w:val="20"/>
          <w:u w:val="none"/>
        </w:rPr>
        <w:t>Format:</w:t>
      </w:r>
      <w:r>
        <w:rPr>
          <w:rFonts w:ascii="DM Sans" w:hAnsi="DM Sans" w:cs="DM Sans"/>
          <w:b w:val="0"/>
          <w:i w:val="0"/>
          <w:color w:val="050C2A"/>
          <w:sz w:val="20"/>
          <w:u w:val="none"/>
        </w:rPr>
        <w:t xml:space="preserve"> Live click-through of 7 Canvas pages + 1 interactive element + 1 rubric document, with 2 narrated Riipen Platform screens between Canvas beats.</w:t>
      </w:r>
    </w:p>
    <w:p>
      <w:pPr>
        <w:pBdr>
          <w:bottom w:val="single" w:sz="6" w:space="1" w:color="ACACAC"/>
        </w:pBdr>
        <w:spacing w:before="120" w:after="120"/>
      </w:pPr>
    </w:p>
    <w:p>
      <w:pPr>
        <w:pStyle w:val="Heading2"/>
        <w:spacing w:before="280" w:after="100"/>
      </w:pPr>
      <w:r>
        <w:rPr>
          <w:rFonts w:ascii="DM Sans" w:hAnsi="DM Sans" w:cs="DM Sans"/>
          <w:b/>
          <w:i w:val="0"/>
          <w:color w:val="050C2A"/>
          <w:sz w:val="28"/>
          <w:u w:val="none"/>
        </w:rPr>
        <w:t>What's covered, mapped to the outline you sent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5559"/>
            <w:shd w:fill="FF7C0A" w:val="clear"/>
            <w:vAlign w:val="center"/>
          </w:tcPr>
          <w:p>
            <w:pPr>
              <w:jc w:val="left"/>
              <w:spacing w:before="40" w:after="40"/>
            </w:pPr>
            <w:r>
              <w:rPr>
                <w:rFonts w:ascii="DM Sans" w:hAnsi="DM Sans" w:cs="DM Sans"/>
                <w:b/>
                <w:i w:val="0"/>
                <w:color w:val="FFFFFF"/>
                <w:sz w:val="20"/>
                <w:u w:val="none"/>
              </w:rPr>
              <w:t>Outline item</w:t>
            </w:r>
          </w:p>
        </w:tc>
        <w:tc>
          <w:tcPr>
            <w:tcW w:type="dxa" w:w="3801"/>
            <w:shd w:fill="FF7C0A" w:val="clear"/>
            <w:vAlign w:val="center"/>
          </w:tcPr>
          <w:p>
            <w:pPr>
              <w:jc w:val="left"/>
              <w:spacing w:before="40" w:after="40"/>
            </w:pPr>
            <w:r>
              <w:rPr>
                <w:rFonts w:ascii="DM Sans" w:hAnsi="DM Sans" w:cs="DM Sans"/>
                <w:b/>
                <w:i w:val="0"/>
                <w:color w:val="FFFFFF"/>
                <w:sz w:val="20"/>
                <w:u w:val="none"/>
              </w:rPr>
              <w:t>Where it lives in the demo</w:t>
            </w:r>
          </w:p>
        </w:tc>
      </w:tr>
      <w:tr>
        <w:tc>
          <w:tcPr>
            <w:tcW w:type="dxa" w:w="5559"/>
            <w:vAlign w:val="center"/>
          </w:tcPr>
          <w:p>
            <w:pPr>
              <w:spacing w:before="30" w:after="30"/>
            </w:pPr>
            <w:r>
              <w:rPr>
                <w:rFonts w:ascii="DM Sans" w:hAnsi="DM Sans" w:cs="DM Sans"/>
                <w:b w:val="0"/>
                <w:i w:val="0"/>
                <w:color w:val="050C2A"/>
                <w:sz w:val="20"/>
                <w:u w:val="none"/>
              </w:rPr>
              <w:t>(a) Learning science anchor — Kolb + DEAL</w:t>
            </w:r>
          </w:p>
        </w:tc>
        <w:tc>
          <w:tcPr>
            <w:tcW w:type="dxa" w:w="3801"/>
            <w:vAlign w:val="center"/>
          </w:tcPr>
          <w:p>
            <w:pPr>
              <w:spacing w:before="30" w:after="30"/>
            </w:pPr>
            <w:r>
              <w:rPr>
                <w:rFonts w:ascii="DM Sans" w:hAnsi="DM Sans" w:cs="DM Sans"/>
                <w:b w:val="0"/>
                <w:i w:val="0"/>
                <w:color w:val="050C2A"/>
                <w:sz w:val="20"/>
                <w:u w:val="none"/>
              </w:rPr>
              <w:t>Beat 1, Beat 6</w:t>
            </w:r>
          </w:p>
        </w:tc>
      </w:tr>
      <w:tr>
        <w:tc>
          <w:tcPr>
            <w:tcW w:type="dxa" w:w="5559"/>
            <w:shd w:fill="F5F5F5" w:val="clear"/>
            <w:vAlign w:val="center"/>
          </w:tcPr>
          <w:p>
            <w:pPr>
              <w:spacing w:before="30" w:after="30"/>
            </w:pPr>
            <w:r>
              <w:rPr>
                <w:rFonts w:ascii="DM Sans" w:hAnsi="DM Sans" w:cs="DM Sans"/>
                <w:b w:val="0"/>
                <w:i w:val="0"/>
                <w:color w:val="050C2A"/>
                <w:sz w:val="20"/>
                <w:u w:val="none"/>
              </w:rPr>
              <w:t>(b) 15-week structure, Project Arc, syllabus, assignments page</w:t>
            </w:r>
          </w:p>
        </w:tc>
        <w:tc>
          <w:tcPr>
            <w:tcW w:type="dxa" w:w="3801"/>
            <w:shd w:fill="F5F5F5" w:val="clear"/>
            <w:vAlign w:val="center"/>
          </w:tcPr>
          <w:p>
            <w:pPr>
              <w:spacing w:before="30" w:after="30"/>
            </w:pPr>
            <w:r>
              <w:rPr>
                <w:rFonts w:ascii="DM Sans" w:hAnsi="DM Sans" w:cs="DM Sans"/>
                <w:b w:val="0"/>
                <w:i w:val="0"/>
                <w:color w:val="050C2A"/>
                <w:sz w:val="20"/>
                <w:u w:val="none"/>
              </w:rPr>
              <w:t>Beat 2</w:t>
            </w:r>
          </w:p>
        </w:tc>
      </w:tr>
      <w:tr>
        <w:tc>
          <w:tcPr>
            <w:tcW w:type="dxa" w:w="5559"/>
            <w:vAlign w:val="center"/>
          </w:tcPr>
          <w:p>
            <w:pPr>
              <w:spacing w:before="30" w:after="30"/>
            </w:pPr>
            <w:r>
              <w:rPr>
                <w:rFonts w:ascii="DM Sans" w:hAnsi="DM Sans" w:cs="DM Sans"/>
                <w:b w:val="0"/>
                <w:i w:val="0"/>
                <w:color w:val="050C2A"/>
                <w:sz w:val="20"/>
                <w:u w:val="none"/>
              </w:rPr>
              <w:t>(b-cont.) Employer touchpoint scaffolding</w:t>
            </w:r>
          </w:p>
        </w:tc>
        <w:tc>
          <w:tcPr>
            <w:tcW w:type="dxa" w:w="3801"/>
            <w:vAlign w:val="center"/>
          </w:tcPr>
          <w:p>
            <w:pPr>
              <w:spacing w:before="30" w:after="30"/>
            </w:pPr>
            <w:r>
              <w:rPr>
                <w:rFonts w:ascii="DM Sans" w:hAnsi="DM Sans" w:cs="DM Sans"/>
                <w:b w:val="0"/>
                <w:i w:val="0"/>
                <w:color w:val="050C2A"/>
                <w:sz w:val="20"/>
                <w:u w:val="none"/>
              </w:rPr>
              <w:t>Beat 2 + Beat 3 (mid-course exemplar)</w:t>
            </w:r>
          </w:p>
        </w:tc>
      </w:tr>
      <w:tr>
        <w:tc>
          <w:tcPr>
            <w:tcW w:type="dxa" w:w="5559"/>
            <w:shd w:fill="F5F5F5" w:val="clear"/>
            <w:vAlign w:val="center"/>
          </w:tcPr>
          <w:p>
            <w:pPr>
              <w:spacing w:before="30" w:after="30"/>
            </w:pPr>
            <w:r>
              <w:rPr>
                <w:rFonts w:ascii="DM Sans" w:hAnsi="DM Sans" w:cs="DM Sans"/>
                <w:b w:val="0"/>
                <w:i w:val="0"/>
                <w:color w:val="050C2A"/>
                <w:sz w:val="20"/>
                <w:u w:val="none"/>
              </w:rPr>
              <w:t>(c) NACE competencies + LOs (observable, assessable)</w:t>
            </w:r>
          </w:p>
        </w:tc>
        <w:tc>
          <w:tcPr>
            <w:tcW w:type="dxa" w:w="3801"/>
            <w:shd w:fill="F5F5F5" w:val="clear"/>
            <w:vAlign w:val="center"/>
          </w:tcPr>
          <w:p>
            <w:pPr>
              <w:spacing w:before="30" w:after="30"/>
            </w:pPr>
            <w:r>
              <w:rPr>
                <w:rFonts w:ascii="DM Sans" w:hAnsi="DM Sans" w:cs="DM Sans"/>
                <w:b w:val="0"/>
                <w:i w:val="0"/>
                <w:color w:val="050C2A"/>
                <w:sz w:val="20"/>
                <w:u w:val="none"/>
              </w:rPr>
              <w:t>Beat 2 + Beat 3 (page-level badges)</w:t>
            </w:r>
          </w:p>
        </w:tc>
      </w:tr>
      <w:tr>
        <w:tc>
          <w:tcPr>
            <w:tcW w:type="dxa" w:w="5559"/>
            <w:vAlign w:val="center"/>
          </w:tcPr>
          <w:p>
            <w:pPr>
              <w:spacing w:before="30" w:after="30"/>
            </w:pPr>
            <w:r>
              <w:rPr>
                <w:rFonts w:ascii="DM Sans" w:hAnsi="DM Sans" w:cs="DM Sans"/>
                <w:b w:val="0"/>
                <w:i w:val="0"/>
                <w:color w:val="050C2A"/>
                <w:sz w:val="20"/>
                <w:u w:val="none"/>
              </w:rPr>
              <w:t>(d) Employer Project Framework + team assignment</w:t>
            </w:r>
          </w:p>
        </w:tc>
        <w:tc>
          <w:tcPr>
            <w:tcW w:type="dxa" w:w="3801"/>
            <w:vAlign w:val="center"/>
          </w:tcPr>
          <w:p>
            <w:pPr>
              <w:spacing w:before="30" w:after="30"/>
            </w:pPr>
            <w:r>
              <w:rPr>
                <w:rFonts w:ascii="DM Sans" w:hAnsi="DM Sans" w:cs="DM Sans"/>
                <w:b w:val="0"/>
                <w:i w:val="0"/>
                <w:color w:val="050C2A"/>
                <w:sz w:val="20"/>
                <w:u w:val="none"/>
              </w:rPr>
              <w:t>Beat 5 (narrated Platform)</w:t>
            </w:r>
          </w:p>
        </w:tc>
      </w:tr>
      <w:tr>
        <w:tc>
          <w:tcPr>
            <w:tcW w:type="dxa" w:w="5559"/>
            <w:shd w:fill="F5F5F5" w:val="clear"/>
            <w:vAlign w:val="center"/>
          </w:tcPr>
          <w:p>
            <w:pPr>
              <w:spacing w:before="30" w:after="30"/>
            </w:pPr>
            <w:r>
              <w:rPr>
                <w:rFonts w:ascii="DM Sans" w:hAnsi="DM Sans" w:cs="DM Sans"/>
                <w:b w:val="0"/>
                <w:i w:val="0"/>
                <w:color w:val="050C2A"/>
                <w:sz w:val="20"/>
                <w:u w:val="none"/>
              </w:rPr>
              <w:t>(e) Four-part assessment structure with intentional weighting</w:t>
            </w:r>
          </w:p>
        </w:tc>
        <w:tc>
          <w:tcPr>
            <w:tcW w:type="dxa" w:w="3801"/>
            <w:shd w:fill="F5F5F5" w:val="clear"/>
            <w:vAlign w:val="center"/>
          </w:tcPr>
          <w:p>
            <w:pPr>
              <w:spacing w:before="30" w:after="30"/>
            </w:pPr>
            <w:r>
              <w:rPr>
                <w:rFonts w:ascii="DM Sans" w:hAnsi="DM Sans" w:cs="DM Sans"/>
                <w:b w:val="0"/>
                <w:i w:val="0"/>
                <w:color w:val="050C2A"/>
                <w:sz w:val="20"/>
                <w:u w:val="none"/>
              </w:rPr>
              <w:t>Beat 2</w:t>
            </w:r>
          </w:p>
        </w:tc>
      </w:tr>
      <w:tr>
        <w:tc>
          <w:tcPr>
            <w:tcW w:type="dxa" w:w="5559"/>
            <w:vAlign w:val="center"/>
          </w:tcPr>
          <w:p>
            <w:pPr>
              <w:spacing w:before="30" w:after="30"/>
            </w:pPr>
            <w:r>
              <w:rPr>
                <w:rFonts w:ascii="DM Sans" w:hAnsi="DM Sans" w:cs="DM Sans"/>
                <w:b w:val="0"/>
                <w:i w:val="0"/>
                <w:color w:val="050C2A"/>
                <w:sz w:val="20"/>
                <w:u w:val="none"/>
              </w:rPr>
              <w:t>(f) Student use of LMS features — weekly orientation, deliverable connection, estimated time</w:t>
            </w:r>
          </w:p>
        </w:tc>
        <w:tc>
          <w:tcPr>
            <w:tcW w:type="dxa" w:w="3801"/>
            <w:vAlign w:val="center"/>
          </w:tcPr>
          <w:p>
            <w:pPr>
              <w:spacing w:before="30" w:after="30"/>
            </w:pPr>
            <w:r>
              <w:rPr>
                <w:rFonts w:ascii="DM Sans" w:hAnsi="DM Sans" w:cs="DM Sans"/>
                <w:b w:val="0"/>
                <w:i w:val="0"/>
                <w:color w:val="050C2A"/>
                <w:sz w:val="20"/>
                <w:u w:val="none"/>
              </w:rPr>
              <w:t>Beat 3</w:t>
            </w:r>
          </w:p>
        </w:tc>
      </w:tr>
      <w:tr>
        <w:tc>
          <w:tcPr>
            <w:tcW w:type="dxa" w:w="5559"/>
            <w:shd w:fill="F5F5F5" w:val="clear"/>
            <w:vAlign w:val="center"/>
          </w:tcPr>
          <w:p>
            <w:pPr>
              <w:spacing w:before="30" w:after="30"/>
            </w:pPr>
            <w:r>
              <w:rPr>
                <w:rFonts w:ascii="DM Sans" w:hAnsi="DM Sans" w:cs="DM Sans"/>
                <w:b w:val="0"/>
                <w:i w:val="0"/>
                <w:color w:val="050C2A"/>
                <w:sz w:val="20"/>
                <w:u w:val="none"/>
              </w:rPr>
              <w:t>(f-cont.) Multimedia — overview videos, instructional videos, interactive practice</w:t>
            </w:r>
          </w:p>
        </w:tc>
        <w:tc>
          <w:tcPr>
            <w:tcW w:type="dxa" w:w="3801"/>
            <w:shd w:fill="F5F5F5" w:val="clear"/>
            <w:vAlign w:val="center"/>
          </w:tcPr>
          <w:p>
            <w:pPr>
              <w:spacing w:before="30" w:after="30"/>
            </w:pPr>
            <w:r>
              <w:rPr>
                <w:rFonts w:ascii="DM Sans" w:hAnsi="DM Sans" w:cs="DM Sans"/>
                <w:b w:val="0"/>
                <w:i w:val="0"/>
                <w:color w:val="050C2A"/>
                <w:sz w:val="20"/>
                <w:u w:val="none"/>
              </w:rPr>
              <w:t>Beat 3 (W6 overview video + W7 interactive)</w:t>
            </w:r>
          </w:p>
        </w:tc>
      </w:tr>
      <w:tr>
        <w:tc>
          <w:tcPr>
            <w:tcW w:type="dxa" w:w="5559"/>
            <w:vAlign w:val="center"/>
          </w:tcPr>
          <w:p>
            <w:pPr>
              <w:spacing w:before="30" w:after="30"/>
            </w:pPr>
            <w:r>
              <w:rPr>
                <w:rFonts w:ascii="DM Sans" w:hAnsi="DM Sans" w:cs="DM Sans"/>
                <w:b w:val="0"/>
                <w:i w:val="0"/>
                <w:color w:val="050C2A"/>
                <w:sz w:val="20"/>
                <w:u w:val="none"/>
              </w:rPr>
              <w:t>(f-cont.) AI tools in the workplace — as a taught skill, not just policy</w:t>
            </w:r>
          </w:p>
        </w:tc>
        <w:tc>
          <w:tcPr>
            <w:tcW w:type="dxa" w:w="3801"/>
            <w:vAlign w:val="center"/>
          </w:tcPr>
          <w:p>
            <w:pPr>
              <w:spacing w:before="30" w:after="30"/>
            </w:pPr>
            <w:r>
              <w:rPr>
                <w:rFonts w:ascii="DM Sans" w:hAnsi="DM Sans" w:cs="DM Sans"/>
                <w:b w:val="0"/>
                <w:i w:val="0"/>
                <w:color w:val="050C2A"/>
                <w:sz w:val="20"/>
                <w:u w:val="none"/>
              </w:rPr>
              <w:t>Beat 4 (15-week AI arc)</w:t>
            </w:r>
          </w:p>
        </w:tc>
      </w:tr>
      <w:tr>
        <w:tc>
          <w:tcPr>
            <w:tcW w:type="dxa" w:w="5559"/>
            <w:shd w:fill="F5F5F5" w:val="clear"/>
            <w:vAlign w:val="center"/>
          </w:tcPr>
          <w:p>
            <w:pPr>
              <w:spacing w:before="30" w:after="30"/>
            </w:pPr>
            <w:r>
              <w:rPr>
                <w:rFonts w:ascii="DM Sans" w:hAnsi="DM Sans" w:cs="DM Sans"/>
                <w:b w:val="0"/>
                <w:i w:val="0"/>
                <w:color w:val="050C2A"/>
                <w:sz w:val="20"/>
                <w:u w:val="none"/>
              </w:rPr>
              <w:t>(g) Student access to Riipen Platform from LMS</w:t>
            </w:r>
          </w:p>
        </w:tc>
        <w:tc>
          <w:tcPr>
            <w:tcW w:type="dxa" w:w="3801"/>
            <w:shd w:fill="F5F5F5" w:val="clear"/>
            <w:vAlign w:val="center"/>
          </w:tcPr>
          <w:p>
            <w:pPr>
              <w:spacing w:before="30" w:after="30"/>
            </w:pPr>
            <w:r>
              <w:rPr>
                <w:rFonts w:ascii="DM Sans" w:hAnsi="DM Sans" w:cs="DM Sans"/>
                <w:b w:val="0"/>
                <w:i w:val="0"/>
                <w:color w:val="050C2A"/>
                <w:sz w:val="20"/>
                <w:u w:val="none"/>
              </w:rPr>
              <w:t>Beat 5 transition</w:t>
            </w:r>
          </w:p>
        </w:tc>
      </w:tr>
      <w:tr>
        <w:tc>
          <w:tcPr>
            <w:tcW w:type="dxa" w:w="5559"/>
            <w:vAlign w:val="center"/>
          </w:tcPr>
          <w:p>
            <w:pPr>
              <w:spacing w:before="30" w:after="30"/>
            </w:pPr>
            <w:r>
              <w:rPr>
                <w:rFonts w:ascii="DM Sans" w:hAnsi="DM Sans" w:cs="DM Sans"/>
                <w:b w:val="0"/>
                <w:i w:val="0"/>
                <w:color w:val="050C2A"/>
                <w:sz w:val="20"/>
                <w:u w:val="none"/>
              </w:rPr>
              <w:t>(h) Riipen Platform features — sample project, team collaboration, employer feedback</w:t>
            </w:r>
          </w:p>
        </w:tc>
        <w:tc>
          <w:tcPr>
            <w:tcW w:type="dxa" w:w="3801"/>
            <w:vAlign w:val="center"/>
          </w:tcPr>
          <w:p>
            <w:pPr>
              <w:spacing w:before="30" w:after="30"/>
            </w:pPr>
            <w:r>
              <w:rPr>
                <w:rFonts w:ascii="DM Sans" w:hAnsi="DM Sans" w:cs="DM Sans"/>
                <w:b w:val="0"/>
                <w:i w:val="0"/>
                <w:color w:val="050C2A"/>
                <w:sz w:val="20"/>
                <w:u w:val="none"/>
              </w:rPr>
              <w:t>Beat 5</w:t>
            </w:r>
          </w:p>
        </w:tc>
      </w:tr>
      <w:tr>
        <w:tc>
          <w:tcPr>
            <w:tcW w:type="dxa" w:w="5559"/>
            <w:shd w:fill="F5F5F5" w:val="clear"/>
            <w:vAlign w:val="center"/>
          </w:tcPr>
          <w:p>
            <w:pPr>
              <w:spacing w:before="30" w:after="30"/>
            </w:pPr>
            <w:r>
              <w:rPr>
                <w:rFonts w:ascii="DM Sans" w:hAnsi="DM Sans" w:cs="DM Sans"/>
                <w:b w:val="0"/>
                <w:i w:val="0"/>
                <w:color w:val="050C2A"/>
                <w:sz w:val="20"/>
                <w:u w:val="none"/>
              </w:rPr>
              <w:t>(i) Self-reflection + peer assessment + rubric scoring</w:t>
            </w:r>
          </w:p>
        </w:tc>
        <w:tc>
          <w:tcPr>
            <w:tcW w:type="dxa" w:w="3801"/>
            <w:shd w:fill="F5F5F5" w:val="clear"/>
            <w:vAlign w:val="center"/>
          </w:tcPr>
          <w:p>
            <w:pPr>
              <w:spacing w:before="30" w:after="30"/>
            </w:pPr>
            <w:r>
              <w:rPr>
                <w:rFonts w:ascii="DM Sans" w:hAnsi="DM Sans" w:cs="DM Sans"/>
                <w:b w:val="0"/>
                <w:i w:val="0"/>
                <w:color w:val="050C2A"/>
                <w:sz w:val="20"/>
                <w:u w:val="none"/>
              </w:rPr>
              <w:t>Beats 6, 7, 8</w:t>
            </w:r>
          </w:p>
        </w:tc>
      </w:tr>
      <w:tr>
        <w:tc>
          <w:tcPr>
            <w:tcW w:type="dxa" w:w="5559"/>
            <w:vAlign w:val="center"/>
          </w:tcPr>
          <w:p>
            <w:pPr>
              <w:spacing w:before="30" w:after="30"/>
            </w:pPr>
            <w:r>
              <w:rPr>
                <w:rFonts w:ascii="DM Sans" w:hAnsi="DM Sans" w:cs="DM Sans"/>
                <w:b w:val="0"/>
                <w:i w:val="0"/>
                <w:color w:val="050C2A"/>
                <w:sz w:val="20"/>
                <w:u w:val="none"/>
              </w:rPr>
              <w:t>(j) Academic review of progress data, gradebook, assisted scoring</w:t>
            </w:r>
          </w:p>
        </w:tc>
        <w:tc>
          <w:tcPr>
            <w:tcW w:type="dxa" w:w="3801"/>
            <w:vAlign w:val="center"/>
          </w:tcPr>
          <w:p>
            <w:pPr>
              <w:spacing w:before="30" w:after="30"/>
            </w:pPr>
            <w:r>
              <w:rPr>
                <w:rFonts w:ascii="DM Sans" w:hAnsi="DM Sans" w:cs="DM Sans"/>
                <w:b w:val="0"/>
                <w:i w:val="0"/>
                <w:color w:val="050C2A"/>
                <w:sz w:val="20"/>
                <w:u w:val="none"/>
              </w:rPr>
              <w:t>Beat 8</w:t>
            </w:r>
          </w:p>
        </w:tc>
      </w:tr>
    </w:tbl>
    <w:p>
      <w:pPr>
        <w:spacing w:before="0" w:after="120"/>
      </w:pPr>
    </w:p>
    <w:p>
      <w:pPr>
        <w:pStyle w:val="Heading2"/>
        <w:spacing w:before="280" w:after="100"/>
      </w:pPr>
      <w:r>
        <w:rPr>
          <w:rFonts w:ascii="DM Sans" w:hAnsi="DM Sans" w:cs="DM Sans"/>
          <w:b/>
          <w:i w:val="0"/>
          <w:color w:val="050C2A"/>
          <w:sz w:val="28"/>
          <w:u w:val="none"/>
        </w:rPr>
        <w:t>Pages used</w:t>
      </w:r>
    </w:p>
    <w:p>
      <w:pPr>
        <w:spacing w:before="0" w:after="120" w:line="276" w:lineRule="auto"/>
      </w:pPr>
      <w:r>
        <w:rPr>
          <w:rFonts w:ascii="DM Sans" w:hAnsi="DM Sans" w:cs="DM Sans"/>
          <w:b/>
          <w:i w:val="0"/>
          <w:color w:val="050C2A"/>
          <w:sz w:val="20"/>
          <w:u w:val="none"/>
        </w:rPr>
        <w:t>7 Canvas pages + 1 live interactive + 1 rubric + 2 narrated Platform screens.</w:t>
      </w:r>
    </w:p>
    <w:p>
      <w:pPr>
        <w:spacing w:before="0" w:after="120" w:line="276" w:lineRule="auto"/>
      </w:pPr>
      <w:r>
        <w:rPr>
          <w:rFonts w:ascii="DM Sans" w:hAnsi="DM Sans" w:cs="DM Sans"/>
          <w:b w:val="0"/>
          <w:i w:val="0"/>
          <w:color w:val="050C2A"/>
          <w:sz w:val="20"/>
          <w:u w:val="none"/>
        </w:rPr>
        <w:t>All URLs below are live in Riipen test course 107 (</w:t>
      </w:r>
      <w:r>
        <w:rPr>
          <w:rFonts w:ascii="Courier New" w:hAnsi="Courier New" w:cs="Courier New"/>
          <w:b w:val="0"/>
          <w:i w:val="0"/>
          <w:color w:val="050C2A"/>
          <w:sz w:val="19"/>
          <w:u w:val="none"/>
        </w:rPr>
        <w:t>https://riipen.instructure.com</w:t>
      </w:r>
      <w:r>
        <w:rPr>
          <w:rFonts w:ascii="DM Sans" w:hAnsi="DM Sans" w:cs="DM Sans"/>
          <w:b w:val="0"/>
          <w:i w:val="0"/>
          <w:color w:val="050C2A"/>
          <w:sz w:val="20"/>
          <w:u w:val="none"/>
        </w:rPr>
        <w:t>).</w:t>
      </w:r>
    </w:p>
    <w:p>
      <w:pPr>
        <w:pStyle w:val="Heading3"/>
        <w:spacing w:before="240" w:after="80"/>
      </w:pPr>
      <w:r>
        <w:rPr>
          <w:rFonts w:ascii="DM Sans" w:hAnsi="DM Sans" w:cs="DM Sans"/>
          <w:b/>
          <w:i w:val="0"/>
          <w:color w:val="050C2A"/>
          <w:sz w:val="24"/>
          <w:u w:val="none"/>
        </w:rPr>
        <w:t>Direct links — copy/paste before the demo</w:t>
      </w:r>
    </w:p>
    <w:p>
      <w:pPr>
        <w:spacing w:before="0" w:after="120" w:line="276" w:lineRule="auto"/>
      </w:pPr>
      <w:r>
        <w:rPr>
          <w:rFonts w:ascii="DM Sans" w:hAnsi="DM Sans" w:cs="DM Sans"/>
          <w:b/>
          <w:i w:val="0"/>
          <w:color w:val="050C2A"/>
          <w:sz w:val="20"/>
          <w:u w:val="none"/>
        </w:rPr>
        <w:t>Canvas course shell (open these as ambient tabs):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Modules index: &lt;https://riipen.instructure.com/courses/107/modules&gt;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Assignments: &lt;https://riipen.instructure.com/courses/107/assignments&gt;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Syllabus: &lt;https://riipen.instructure.com/courses/107/assignments/syllabus&gt;</w:t>
      </w:r>
    </w:p>
    <w:p>
      <w:pPr>
        <w:spacing w:before="0" w:after="120" w:line="276" w:lineRule="auto"/>
      </w:pPr>
      <w:r>
        <w:rPr>
          <w:rFonts w:ascii="DM Sans" w:hAnsi="DM Sans" w:cs="DM Sans"/>
          <w:b/>
          <w:i w:val="0"/>
          <w:color w:val="050C2A"/>
          <w:sz w:val="20"/>
          <w:u w:val="none"/>
        </w:rPr>
        <w:t>Beat-by-beat pages:</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Beat 1</w:t>
      </w:r>
      <w:r>
        <w:rPr>
          <w:rFonts w:ascii="DM Sans" w:hAnsi="DM Sans" w:cs="DM Sans"/>
          <w:b w:val="0"/>
          <w:i w:val="0"/>
          <w:color w:val="050C2A"/>
          <w:sz w:val="20"/>
          <w:u w:val="none"/>
        </w:rPr>
        <w:t xml:space="preserve"> — &lt;https://riipen.instructure.com/courses/107/pages/what-is-experiential-learning&gt; </w:t>
      </w:r>
      <w:r>
        <w:rPr>
          <w:rFonts w:ascii="DM Sans" w:hAnsi="DM Sans" w:cs="DM Sans"/>
          <w:b w:val="0"/>
          <w:i/>
          <w:color w:val="050C2A"/>
          <w:sz w:val="20"/>
          <w:u w:val="none"/>
        </w:rPr>
        <w:t>(W1 p2: What Is Experiential Learning?)</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Beat 2</w:t>
      </w:r>
      <w:r>
        <w:rPr>
          <w:rFonts w:ascii="DM Sans" w:hAnsi="DM Sans" w:cs="DM Sans"/>
          <w:b w:val="0"/>
          <w:i w:val="0"/>
          <w:color w:val="050C2A"/>
          <w:sz w:val="20"/>
          <w:u w:val="none"/>
        </w:rPr>
        <w:t xml:space="preserve"> — &lt;https://riipen.instructure.com/courses/107/pages/syllabus-and-assessment-review&gt; </w:t>
      </w:r>
      <w:r>
        <w:rPr>
          <w:rFonts w:ascii="DM Sans" w:hAnsi="DM Sans" w:cs="DM Sans"/>
          <w:b w:val="0"/>
          <w:i/>
          <w:color w:val="050C2A"/>
          <w:sz w:val="20"/>
          <w:u w:val="none"/>
        </w:rPr>
        <w:t>(W1 p3: Syllabus &amp; Assessment Review)</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Beat 3a</w:t>
      </w:r>
      <w:r>
        <w:rPr>
          <w:rFonts w:ascii="DM Sans" w:hAnsi="DM Sans" w:cs="DM Sans"/>
          <w:b w:val="0"/>
          <w:i w:val="0"/>
          <w:color w:val="050C2A"/>
          <w:sz w:val="20"/>
          <w:u w:val="none"/>
        </w:rPr>
        <w:t xml:space="preserve"> — &lt;https://riipen.instructure.com/courses/107/pages/week-6-overview&gt; </w:t>
      </w:r>
      <w:r>
        <w:rPr>
          <w:rFonts w:ascii="DM Sans" w:hAnsi="DM Sans" w:cs="DM Sans"/>
          <w:b w:val="0"/>
          <w:i/>
          <w:color w:val="050C2A"/>
          <w:sz w:val="20"/>
          <w:u w:val="none"/>
        </w:rPr>
        <w:t>(W6 p1: overview-video showcase)</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i w:val="0"/>
          <w:color w:val="050C2A"/>
          <w:sz w:val="20"/>
          <w:u w:val="none"/>
        </w:rPr>
        <w:t>Beat 3b</w:t>
      </w:r>
      <w:r>
        <w:rPr>
          <w:rFonts w:ascii="DM Sans" w:hAnsi="DM Sans" w:cs="DM Sans"/>
          <w:b w:val="0"/>
          <w:i w:val="0"/>
          <w:color w:val="050C2A"/>
          <w:sz w:val="20"/>
          <w:u w:val="none"/>
        </w:rPr>
        <w:t xml:space="preserve"> — &lt;https://riipen.instructure.com/courses/107/pages/development-check-in-number-1&gt; </w:t>
      </w:r>
      <w:r>
        <w:rPr>
          <w:rFonts w:ascii="DM Sans" w:hAnsi="DM Sans" w:cs="DM Sans"/>
          <w:b w:val="0"/>
          <w:i/>
          <w:color w:val="050C2A"/>
          <w:sz w:val="20"/>
          <w:u w:val="none"/>
        </w:rPr>
        <w:t>(W7 p7: live Synthesia-driven feedback-reception interactive)</w:t>
      </w:r>
    </w:p>
    <w:p>
      <w:pPr>
        <w:ind w:left="720" w:hanging="360"/>
        <w:spacing w:before="0" w:after="60" w:line="276" w:lineRule="auto"/>
      </w:pPr>
      <w:r>
        <w:rPr>
          <w:rFonts w:ascii="DM Sans" w:hAnsi="DM Sans" w:cs="DM Sans"/>
          <w:b/>
          <w:i w:val="0"/>
          <w:color w:val="050C2A"/>
          <w:sz w:val="20"/>
          <w:u w:val="none"/>
        </w:rPr>
        <w:t xml:space="preserve">5.  </w:t>
      </w:r>
      <w:r>
        <w:rPr>
          <w:rFonts w:ascii="DM Sans" w:hAnsi="DM Sans" w:cs="DM Sans"/>
          <w:b/>
          <w:i w:val="0"/>
          <w:color w:val="050C2A"/>
          <w:sz w:val="20"/>
          <w:u w:val="none"/>
        </w:rPr>
        <w:t>Beat 4</w:t>
      </w:r>
      <w:r>
        <w:rPr>
          <w:rFonts w:ascii="DM Sans" w:hAnsi="DM Sans" w:cs="DM Sans"/>
          <w:b w:val="0"/>
          <w:i w:val="0"/>
          <w:color w:val="050C2A"/>
          <w:sz w:val="20"/>
          <w:u w:val="none"/>
        </w:rPr>
        <w:t xml:space="preserve"> — &lt;https://riipen.instructure.com/courses/107/pages/ai-in-todays-workplace-and-this-course&gt; </w:t>
      </w:r>
      <w:r>
        <w:rPr>
          <w:rFonts w:ascii="DM Sans" w:hAnsi="DM Sans" w:cs="DM Sans"/>
          <w:b w:val="0"/>
          <w:i/>
          <w:color w:val="050C2A"/>
          <w:sz w:val="20"/>
          <w:u w:val="none"/>
        </w:rPr>
        <w:t>(W1 p4: AI in Today's Workplace &amp; This Course — anchor for the 15-week AI arc)</w:t>
      </w:r>
    </w:p>
    <w:p>
      <w:pPr>
        <w:ind w:left="720" w:hanging="360"/>
        <w:spacing w:before="0" w:after="60" w:line="276" w:lineRule="auto"/>
      </w:pPr>
      <w:r>
        <w:rPr>
          <w:rFonts w:ascii="DM Sans" w:hAnsi="DM Sans" w:cs="DM Sans"/>
          <w:b/>
          <w:i w:val="0"/>
          <w:color w:val="050C2A"/>
          <w:sz w:val="20"/>
          <w:u w:val="none"/>
        </w:rPr>
        <w:t xml:space="preserve">6.  </w:t>
      </w:r>
      <w:r>
        <w:rPr>
          <w:rFonts w:ascii="DM Sans" w:hAnsi="DM Sans" w:cs="DM Sans"/>
          <w:b/>
          <w:i w:val="0"/>
          <w:color w:val="050C2A"/>
          <w:sz w:val="20"/>
          <w:u w:val="none"/>
        </w:rPr>
        <w:t>Beat 5</w:t>
      </w:r>
      <w:r>
        <w:rPr>
          <w:rFonts w:ascii="DM Sans" w:hAnsi="DM Sans" w:cs="DM Sans"/>
          <w:b w:val="0"/>
          <w:i w:val="0"/>
          <w:color w:val="050C2A"/>
          <w:sz w:val="20"/>
          <w:u w:val="none"/>
        </w:rPr>
        <w:t xml:space="preserve"> — </w:t>
      </w:r>
      <w:r>
        <w:rPr>
          <w:rFonts w:ascii="DM Sans" w:hAnsi="DM Sans" w:cs="DM Sans"/>
          <w:b w:val="0"/>
          <w:i/>
          <w:color w:val="050C2A"/>
          <w:sz w:val="20"/>
          <w:u w:val="none"/>
        </w:rPr>
        <w:t>(Platform — narrated screenshots)</w:t>
      </w:r>
      <w:r>
        <w:rPr>
          <w:rFonts w:ascii="DM Sans" w:hAnsi="DM Sans" w:cs="DM Sans"/>
          <w:b w:val="0"/>
          <w:i w:val="0"/>
          <w:color w:val="050C2A"/>
          <w:sz w:val="20"/>
          <w:u w:val="none"/>
        </w:rPr>
        <w:t xml:space="preserve"> Sample employer project; employer feedback</w:t>
      </w:r>
    </w:p>
    <w:p>
      <w:pPr>
        <w:ind w:left="720" w:hanging="360"/>
        <w:spacing w:before="0" w:after="60" w:line="276" w:lineRule="auto"/>
      </w:pPr>
      <w:r>
        <w:rPr>
          <w:rFonts w:ascii="DM Sans" w:hAnsi="DM Sans" w:cs="DM Sans"/>
          <w:b/>
          <w:i w:val="0"/>
          <w:color w:val="050C2A"/>
          <w:sz w:val="20"/>
          <w:u w:val="none"/>
        </w:rPr>
        <w:t xml:space="preserve">7.  </w:t>
      </w:r>
      <w:r>
        <w:rPr>
          <w:rFonts w:ascii="DM Sans" w:hAnsi="DM Sans" w:cs="DM Sans"/>
          <w:b/>
          <w:i w:val="0"/>
          <w:color w:val="050C2A"/>
          <w:sz w:val="20"/>
          <w:u w:val="none"/>
        </w:rPr>
        <w:t>Beat 6</w:t>
      </w:r>
      <w:r>
        <w:rPr>
          <w:rFonts w:ascii="DM Sans" w:hAnsi="DM Sans" w:cs="DM Sans"/>
          <w:b w:val="0"/>
          <w:i w:val="0"/>
          <w:color w:val="050C2A"/>
          <w:sz w:val="20"/>
          <w:u w:val="none"/>
        </w:rPr>
        <w:t xml:space="preserve"> — &lt;https://riipen.instructure.com/courses/107/pages/graded-reflection-number-5-submit-next-week&gt; </w:t>
      </w:r>
      <w:r>
        <w:rPr>
          <w:rFonts w:ascii="DM Sans" w:hAnsi="DM Sans" w:cs="DM Sans"/>
          <w:b w:val="0"/>
          <w:i/>
          <w:color w:val="050C2A"/>
          <w:sz w:val="20"/>
          <w:u w:val="none"/>
        </w:rPr>
        <w:t>(W14 p4: Reflection #5 — begin-drafting page with full pedagogical scaffolding; finalizes on the W15 page at `/pages/graded-reflection-number-5`)</w:t>
      </w:r>
    </w:p>
    <w:p>
      <w:pPr>
        <w:ind w:left="720" w:hanging="360"/>
        <w:spacing w:before="0" w:after="60" w:line="276" w:lineRule="auto"/>
      </w:pPr>
      <w:r>
        <w:rPr>
          <w:rFonts w:ascii="DM Sans" w:hAnsi="DM Sans" w:cs="DM Sans"/>
          <w:b/>
          <w:i w:val="0"/>
          <w:color w:val="050C2A"/>
          <w:sz w:val="20"/>
          <w:u w:val="none"/>
        </w:rPr>
        <w:t xml:space="preserve">8.  </w:t>
      </w:r>
      <w:r>
        <w:rPr>
          <w:rFonts w:ascii="DM Sans" w:hAnsi="DM Sans" w:cs="DM Sans"/>
          <w:b/>
          <w:i w:val="0"/>
          <w:color w:val="050C2A"/>
          <w:sz w:val="20"/>
          <w:u w:val="none"/>
        </w:rPr>
        <w:t>Beat 7</w:t>
      </w:r>
      <w:r>
        <w:rPr>
          <w:rFonts w:ascii="DM Sans" w:hAnsi="DM Sans" w:cs="DM Sans"/>
          <w:b w:val="0"/>
          <w:i w:val="0"/>
          <w:color w:val="050C2A"/>
          <w:sz w:val="20"/>
          <w:u w:val="none"/>
        </w:rPr>
        <w:t xml:space="preserve"> — &lt;https://riipen.instructure.com/courses/107/pages/graded-end-of-project-peer-evaluation-submit-next-week&gt; </w:t>
      </w:r>
      <w:r>
        <w:rPr>
          <w:rFonts w:ascii="DM Sans" w:hAnsi="DM Sans" w:cs="DM Sans"/>
          <w:b w:val="0"/>
          <w:i/>
          <w:color w:val="050C2A"/>
          <w:sz w:val="20"/>
          <w:u w:val="none"/>
        </w:rPr>
        <w:t>(W14 p5: End-of-Project Peer Evaluation — begin-drafting page; finalizes at `/pages/graded-end-of-project-peer-evaluation`)</w:t>
      </w:r>
    </w:p>
    <w:p>
      <w:pPr>
        <w:ind w:left="720" w:hanging="360"/>
        <w:spacing w:before="0" w:after="60" w:line="276" w:lineRule="auto"/>
      </w:pPr>
      <w:r>
        <w:rPr>
          <w:rFonts w:ascii="DM Sans" w:hAnsi="DM Sans" w:cs="DM Sans"/>
          <w:b/>
          <w:i w:val="0"/>
          <w:color w:val="050C2A"/>
          <w:sz w:val="20"/>
          <w:u w:val="none"/>
        </w:rPr>
        <w:t xml:space="preserve">9.  </w:t>
      </w:r>
      <w:r>
        <w:rPr>
          <w:rFonts w:ascii="DM Sans" w:hAnsi="DM Sans" w:cs="DM Sans"/>
          <w:b/>
          <w:i w:val="0"/>
          <w:color w:val="050C2A"/>
          <w:sz w:val="20"/>
          <w:u w:val="none"/>
        </w:rPr>
        <w:t>Beat 8</w:t>
      </w:r>
      <w:r>
        <w:rPr>
          <w:rFonts w:ascii="DM Sans" w:hAnsi="DM Sans" w:cs="DM Sans"/>
          <w:b w:val="0"/>
          <w:i w:val="0"/>
          <w:color w:val="050C2A"/>
          <w:sz w:val="20"/>
          <w:u w:val="none"/>
        </w:rPr>
        <w:t xml:space="preserve"> — Riipen Platform grading view (submission + rubric + assisted scoring) split-screened with the Canvas gradebook showing the score that flowed back. </w:t>
      </w:r>
      <w:r>
        <w:rPr>
          <w:rFonts w:ascii="Courier New" w:hAnsi="Courier New" w:cs="Courier New"/>
          <w:b w:val="0"/>
          <w:i w:val="0"/>
          <w:color w:val="050C2A"/>
          <w:sz w:val="19"/>
          <w:u w:val="none"/>
        </w:rPr>
        <w:t>rubrics/reflection-rubric-learner.pdf</w:t>
      </w:r>
      <w:r>
        <w:rPr>
          <w:rFonts w:ascii="DM Sans" w:hAnsi="DM Sans" w:cs="DM Sans"/>
          <w:b w:val="0"/>
          <w:i w:val="0"/>
          <w:color w:val="050C2A"/>
          <w:sz w:val="20"/>
          <w:u w:val="none"/>
        </w:rPr>
        <w:t xml:space="preserve"> ready as a third tab if faculty want to inspect the rubric on its own.</w:t>
      </w:r>
    </w:p>
    <w:p>
      <w:pPr>
        <w:pStyle w:val="Heading2"/>
        <w:spacing w:before="280" w:after="100"/>
      </w:pPr>
      <w:r>
        <w:rPr>
          <w:rFonts w:ascii="DM Sans" w:hAnsi="DM Sans" w:cs="DM Sans"/>
          <w:b/>
          <w:i w:val="0"/>
          <w:color w:val="050C2A"/>
          <w:sz w:val="28"/>
          <w:u w:val="none"/>
        </w:rPr>
        <w:t>Opening (2 min)</w:t>
      </w:r>
    </w:p>
    <w:p>
      <w:pPr>
        <w:pBdr>
          <w:left w:val="single" w:sz="18" w:space="8" w:color="FF7C0A"/>
        </w:pBdr>
        <w:ind w:left="720"/>
        <w:spacing w:before="120" w:after="120" w:line="276" w:lineRule="auto"/>
      </w:pPr>
      <w:r>
        <w:rPr>
          <w:rFonts w:ascii="DM Sans" w:hAnsi="DM Sans" w:cs="DM Sans"/>
          <w:b w:val="0"/>
          <w:i w:val="0"/>
          <w:color w:val="4A4A4A"/>
          <w:sz w:val="20"/>
          <w:u w:val="none"/>
        </w:rPr>
        <w:t>"Career Catalyst is a 15-week experiential learning course. The course shell is automatically populated in Canvas for every partner, and the project work runs on the Riipen Platform. The thing we want to show you today is how the academic structure on the Canvas side and the project structure on the Platform side are designed to produce assessable, defensible learning evidence — without you having to build any of that scaffolding yourselves. We'll walk through six Canvas pages, a few Platform views, and one of the rubrics. About 30 minutes."</w:t>
      </w:r>
    </w:p>
    <w:p>
      <w:pPr>
        <w:spacing w:before="0" w:after="120" w:line="276" w:lineRule="auto"/>
      </w:pPr>
      <w:r>
        <w:rPr>
          <w:rFonts w:ascii="DM Sans" w:hAnsi="DM Sans" w:cs="DM Sans"/>
          <w:b w:val="0"/>
          <w:i w:val="0"/>
          <w:color w:val="050C2A"/>
          <w:sz w:val="20"/>
          <w:u w:val="none"/>
        </w:rPr>
        <w:t>Have these tabs open before you start: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Canvas course 107 modules index: &lt;https://riipen.instructure.com/courses/107/modules&gt;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All eight beat pages (URLs in the "Direct links" block above)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Riipen Platform sandbox (project + team views ready to narrate)</w:t>
      </w:r>
    </w:p>
    <w:p>
      <w:pPr>
        <w:ind w:left="720" w:hanging="360"/>
        <w:spacing w:before="0" w:after="60" w:line="276" w:lineRule="auto"/>
      </w:pPr>
      <w:r>
        <w:rPr>
          <w:rFonts w:ascii="DM Sans" w:hAnsi="DM Sans" w:cs="DM Sans"/>
          <w:b/>
          <w:i w:val="0"/>
          <w:color w:val="FF7C0A"/>
          <w:sz w:val="20"/>
          <w:u w:val="none"/>
        </w:rPr>
        <w:t xml:space="preserve">•  </w:t>
      </w:r>
      <w:r>
        <w:rPr>
          <w:rFonts w:ascii="Courier New" w:hAnsi="Courier New" w:cs="Courier New"/>
          <w:b w:val="0"/>
          <w:i w:val="0"/>
          <w:color w:val="050C2A"/>
          <w:sz w:val="19"/>
          <w:u w:val="none"/>
        </w:rPr>
        <w:t>rubrics/reflection-rubric-learner.pdf</w:t>
      </w:r>
      <w:r>
        <w:rPr>
          <w:rFonts w:ascii="DM Sans" w:hAnsi="DM Sans" w:cs="DM Sans"/>
          <w:b w:val="0"/>
          <w:i w:val="0"/>
          <w:color w:val="050C2A"/>
          <w:sz w:val="20"/>
          <w:u w:val="none"/>
        </w:rPr>
        <w:t xml:space="preserve"> ready in a second window</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 graded reflection inside the Riipen Platform grading view (for Beat 8 left pane)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Canvas gradebook for course 107 showing the corresponding score flowed back (for Beat 8 right pane)</w:t>
      </w:r>
    </w:p>
    <w:p>
      <w:pPr>
        <w:pStyle w:val="Heading2"/>
        <w:spacing w:before="280" w:after="100"/>
      </w:pPr>
      <w:r>
        <w:rPr>
          <w:rFonts w:ascii="DM Sans" w:hAnsi="DM Sans" w:cs="DM Sans"/>
          <w:b/>
          <w:i w:val="0"/>
          <w:color w:val="050C2A"/>
          <w:sz w:val="28"/>
          <w:u w:val="none"/>
        </w:rPr>
        <w:t>Beat 1 — Learning science anchor (4 min)</w:t>
      </w:r>
    </w:p>
    <w:p>
      <w:pPr>
        <w:spacing w:before="0" w:after="120" w:line="276" w:lineRule="auto"/>
      </w:pPr>
      <w:r>
        <w:rPr>
          <w:rFonts w:ascii="DM Sans" w:hAnsi="DM Sans" w:cs="DM Sans"/>
          <w:b/>
          <w:i w:val="0"/>
          <w:color w:val="050C2A"/>
          <w:sz w:val="20"/>
          <w:u w:val="none"/>
        </w:rPr>
        <w:t>Open:</w:t>
      </w:r>
      <w:r>
        <w:rPr>
          <w:rFonts w:ascii="DM Sans" w:hAnsi="DM Sans" w:cs="DM Sans"/>
          <w:b w:val="0"/>
          <w:i w:val="0"/>
          <w:color w:val="050C2A"/>
          <w:sz w:val="20"/>
          <w:u w:val="none"/>
        </w:rPr>
        <w:t xml:space="preserve"> Week 1 → </w:t>
      </w:r>
      <w:r>
        <w:rPr>
          <w:rFonts w:ascii="DM Sans" w:hAnsi="DM Sans" w:cs="DM Sans"/>
          <w:b w:val="0"/>
          <w:i w:val="0"/>
          <w:color w:val="FF7C0A"/>
          <w:sz w:val="20"/>
          <w:u w:val="single"/>
        </w:rPr>
        <w:t>*What Is Experiential Learning?*</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"Everything in the course is built on the Kolb experiential learning cycle and the DEAL reflection framework. We anchor that on day one for the students — but for you, the academic reason it matters is that it gives every project, no matter the industry, the same evaluation structure. We can compare a marketing team and a data team using the same rubric because the underlying learning model is consistent."</w:t>
      </w:r>
    </w:p>
    <w:p>
      <w:pPr>
        <w:spacing w:before="0" w:after="120" w:line="276" w:lineRule="auto"/>
      </w:pPr>
      <w:r>
        <w:rPr>
          <w:rFonts w:ascii="DM Sans" w:hAnsi="DM Sans" w:cs="DM Sans"/>
          <w:b/>
          <w:i w:val="0"/>
          <w:color w:val="050C2A"/>
          <w:sz w:val="20"/>
          <w:u w:val="none"/>
        </w:rPr>
        <w:t>Highlight on the page: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"How this course works differently" section — six bullets describing the experiential pedagogy (real work, defend-your-work assessment, content arrives when needed, frequent checkpoints, team dependence, ambiguity).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skills you're building" section — names the five NACE competency areas and explains the page-level competency badges visible throughout the course.</w:t>
      </w:r>
    </w:p>
    <w:p>
      <w:pPr>
        <w:spacing w:before="0" w:after="120" w:line="276" w:lineRule="auto"/>
      </w:pPr>
      <w:r>
        <w:rPr>
          <w:rFonts w:ascii="DM Sans" w:hAnsi="DM Sans" w:cs="DM Sans"/>
          <w:b/>
          <w:i w:val="0"/>
          <w:color w:val="050C2A"/>
          <w:sz w:val="20"/>
          <w:u w:val="none"/>
        </w:rPr>
        <w:t>Why this beat matters for faculty: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Sets the pedagogical foundation before any course mechanics.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Establishes the NACE competency framework as the assessment spine.</w:t>
      </w:r>
    </w:p>
    <w:p>
      <w:pPr>
        <w:pStyle w:val="Heading2"/>
        <w:spacing w:before="280" w:after="100"/>
      </w:pPr>
      <w:r>
        <w:rPr>
          <w:rFonts w:ascii="DM Sans" w:hAnsi="DM Sans" w:cs="DM Sans"/>
          <w:b/>
          <w:i w:val="0"/>
          <w:color w:val="050C2A"/>
          <w:sz w:val="28"/>
          <w:u w:val="none"/>
        </w:rPr>
        <w:t>Beat 2 — Project arc, NACE competencies, four-part assessment (5 min)</w:t>
      </w:r>
    </w:p>
    <w:p>
      <w:pPr>
        <w:spacing w:before="0" w:after="120" w:line="276" w:lineRule="auto"/>
      </w:pPr>
      <w:r>
        <w:rPr>
          <w:rFonts w:ascii="DM Sans" w:hAnsi="DM Sans" w:cs="DM Sans"/>
          <w:b/>
          <w:i w:val="0"/>
          <w:color w:val="050C2A"/>
          <w:sz w:val="20"/>
          <w:u w:val="none"/>
        </w:rPr>
        <w:t>Open:</w:t>
      </w:r>
      <w:r>
        <w:rPr>
          <w:rFonts w:ascii="DM Sans" w:hAnsi="DM Sans" w:cs="DM Sans"/>
          <w:b w:val="0"/>
          <w:i w:val="0"/>
          <w:color w:val="050C2A"/>
          <w:sz w:val="20"/>
          <w:u w:val="none"/>
        </w:rPr>
        <w:t xml:space="preserve"> Week 1 → </w:t>
      </w:r>
      <w:r>
        <w:rPr>
          <w:rFonts w:ascii="DM Sans" w:hAnsi="DM Sans" w:cs="DM Sans"/>
          <w:b w:val="0"/>
          <w:i w:val="0"/>
          <w:color w:val="FF7C0A"/>
          <w:sz w:val="20"/>
          <w:u w:val="single"/>
        </w:rPr>
        <w:t>*Syllabus &amp; Assessment Review*</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"This is the page that does the academic-rigor heavy lifting. Three things to look at here: the five-phase project arc, the NACE competency breakdown, and the four-part assessment structure."</w:t>
      </w:r>
    </w:p>
    <w:p>
      <w:pPr>
        <w:spacing w:before="0" w:after="120" w:line="276" w:lineRule="auto"/>
      </w:pPr>
      <w:r>
        <w:rPr>
          <w:rFonts w:ascii="DM Sans" w:hAnsi="DM Sans" w:cs="DM Sans"/>
          <w:b/>
          <w:i w:val="0"/>
          <w:color w:val="050C2A"/>
          <w:sz w:val="20"/>
          <w:u w:val="none"/>
        </w:rPr>
        <w:t>Highlight in order:</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The five-phase project arc</w:t>
      </w:r>
      <w:r>
        <w:rPr>
          <w:rFonts w:ascii="DM Sans" w:hAnsi="DM Sans" w:cs="DM Sans"/>
          <w:b w:val="0"/>
          <w:i w:val="0"/>
          <w:color w:val="050C2A"/>
          <w:sz w:val="20"/>
          <w:u w:val="none"/>
        </w:rPr>
        <w:t xml:space="preserve"> — Foundation → Discovery → Development → Refinement → Integration.</w:t>
      </w:r>
    </w:p>
    <w:p>
      <w:pPr>
        <w:pBdr>
          <w:left w:val="single" w:sz="18" w:space="8" w:color="FF7C0A"/>
        </w:pBdr>
        <w:ind w:left="720"/>
        <w:spacing w:before="120" w:after="120" w:line="276" w:lineRule="auto"/>
      </w:pPr>
      <w:r>
        <w:rPr>
          <w:rFonts w:ascii="DM Sans" w:hAnsi="DM Sans" w:cs="DM Sans"/>
          <w:b w:val="0"/>
          <w:i w:val="0"/>
          <w:color w:val="4A4A4A"/>
          <w:sz w:val="20"/>
          <w:u w:val="none"/>
        </w:rPr>
        <w:t>"Each phase has an expected employer touchpoint. The course content scaffolds the professional skills the students will use in that phase, at the moment they need them."</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 twenty subskills across five NACE areas.</w:t>
      </w:r>
    </w:p>
    <w:p>
      <w:pPr>
        <w:pBdr>
          <w:left w:val="single" w:sz="18" w:space="8" w:color="FF7C0A"/>
        </w:pBdr>
        <w:ind w:left="720"/>
        <w:spacing w:before="120" w:after="120" w:line="276" w:lineRule="auto"/>
      </w:pPr>
      <w:r>
        <w:rPr>
          <w:rFonts w:ascii="DM Sans" w:hAnsi="DM Sans" w:cs="DM Sans"/>
          <w:b w:val="0"/>
          <w:i w:val="0"/>
          <w:color w:val="4A4A4A"/>
          <w:sz w:val="20"/>
          <w:u w:val="none"/>
        </w:rPr>
        <w:t>"Each subskill is written to be observable and assessable. Every content page in the course tags which subskills it develops; every rubric dimension maps to a specific subskill. So a student's final grade is traceable back to specific competency evidence, not a holistic impression."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How you'll be assessed — four parts.</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Graded deliverables</w:t>
      </w:r>
      <w:r>
        <w:rPr>
          <w:rFonts w:ascii="DM Sans" w:hAnsi="DM Sans" w:cs="DM Sans"/>
          <w:b w:val="0"/>
          <w:i w:val="0"/>
          <w:color w:val="050C2A"/>
          <w:sz w:val="20"/>
          <w:u w:val="none"/>
        </w:rPr>
        <w:t xml:space="preserve"> (team-produced artifacts + individual reflections, all rubric-scored)</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Completion-based items</w:t>
      </w:r>
      <w:r>
        <w:rPr>
          <w:rFonts w:ascii="DM Sans" w:hAnsi="DM Sans" w:cs="DM Sans"/>
          <w:b w:val="0"/>
          <w:i w:val="0"/>
          <w:color w:val="050C2A"/>
          <w:sz w:val="20"/>
          <w:u w:val="none"/>
        </w:rPr>
        <w:t xml:space="preserve"> (questionnaires, charter, checkpoints — graded for honest completion, not polish)</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The Reflection Portfolio</w:t>
      </w:r>
      <w:r>
        <w:rPr>
          <w:rFonts w:ascii="DM Sans" w:hAnsi="DM Sans" w:cs="DM Sans"/>
          <w:b w:val="0"/>
          <w:i w:val="0"/>
          <w:color w:val="050C2A"/>
          <w:sz w:val="20"/>
          <w:u w:val="none"/>
        </w:rPr>
        <w:t xml:space="preserve"> (five DEAL reflections, individually graded, spaced across the semester)</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The defend-your-work standard</w:t>
      </w:r>
      <w:r>
        <w:rPr>
          <w:rFonts w:ascii="DM Sans" w:hAnsi="DM Sans" w:cs="DM Sans"/>
          <w:b w:val="0"/>
          <w:i w:val="0"/>
          <w:color w:val="050C2A"/>
          <w:sz w:val="20"/>
          <w:u w:val="none"/>
        </w:rPr>
        <w:t xml:space="preserve"> (applies to any submission, especially AI-assisted)</w:t>
      </w:r>
    </w:p>
    <w:p>
      <w:pPr>
        <w:pBdr>
          <w:left w:val="single" w:sz="18" w:space="8" w:color="FF7C0A"/>
        </w:pBdr>
        <w:ind w:left="720"/>
        <w:spacing w:before="120" w:after="120" w:line="276" w:lineRule="auto"/>
      </w:pPr>
      <w:r>
        <w:rPr>
          <w:rFonts w:ascii="DM Sans" w:hAnsi="DM Sans" w:cs="DM Sans"/>
          <w:b w:val="0"/>
          <w:i w:val="0"/>
          <w:color w:val="4A4A4A"/>
          <w:sz w:val="20"/>
          <w:u w:val="none"/>
        </w:rPr>
        <w:t>"The weighting is intentional. The Reflection Portfolio is weighted enough that a student who produces strong team deliverables but doesn't reflect honestly won't earn an A. That's where we encode 'learning beyond the project work alone.'"</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Deliverable timeline</w:t>
      </w:r>
      <w:r>
        <w:rPr>
          <w:rFonts w:ascii="DM Sans" w:hAnsi="DM Sans" w:cs="DM Sans"/>
          <w:b w:val="0"/>
          <w:i w:val="0"/>
          <w:color w:val="050C2A"/>
          <w:sz w:val="20"/>
          <w:u w:val="none"/>
        </w:rPr>
        <w:t xml:space="preserve"> — frontloaded completion-based work, production-heavy middle, reflection spread evenly.</w:t>
      </w:r>
    </w:p>
    <w:p>
      <w:pPr>
        <w:pStyle w:val="Heading2"/>
        <w:spacing w:before="280" w:after="100"/>
      </w:pPr>
      <w:r>
        <w:rPr>
          <w:rFonts w:ascii="DM Sans" w:hAnsi="DM Sans" w:cs="DM Sans"/>
          <w:b/>
          <w:i w:val="0"/>
          <w:color w:val="050C2A"/>
          <w:sz w:val="28"/>
          <w:u w:val="none"/>
        </w:rPr>
        <w:t>Beat 3 — Weekly orientation, multimedia, interactive practice (5 min)</w:t>
      </w:r>
    </w:p>
    <w:p>
      <w:pPr>
        <w:spacing w:before="0" w:after="120" w:line="276" w:lineRule="auto"/>
      </w:pPr>
      <w:r>
        <w:rPr>
          <w:rFonts w:ascii="DM Sans" w:hAnsi="DM Sans" w:cs="DM Sans"/>
          <w:b/>
          <w:i w:val="0"/>
          <w:color w:val="050C2A"/>
          <w:sz w:val="20"/>
          <w:u w:val="none"/>
        </w:rPr>
        <w:t>Open:</w:t>
      </w:r>
      <w:r>
        <w:rPr>
          <w:rFonts w:ascii="DM Sans" w:hAnsi="DM Sans" w:cs="DM Sans"/>
          <w:b w:val="0"/>
          <w:i w:val="0"/>
          <w:color w:val="050C2A"/>
          <w:sz w:val="20"/>
          <w:u w:val="none"/>
        </w:rPr>
        <w:t xml:space="preserve"> Week 6 → </w:t>
      </w:r>
      <w:r>
        <w:rPr>
          <w:rFonts w:ascii="DM Sans" w:hAnsi="DM Sans" w:cs="DM Sans"/>
          <w:b w:val="0"/>
          <w:i w:val="0"/>
          <w:color w:val="FF7C0A"/>
          <w:sz w:val="20"/>
          <w:u w:val="single"/>
        </w:rPr>
        <w:t>*Week 6 Overview: From planning to development*</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"Every week has the same orientation page structure. Three things to look at: how the week's deliverable is named and tied to its assessment component, the suggested order of completion with estimated time, and the embedded overview video."</w:t>
      </w:r>
    </w:p>
    <w:p>
      <w:pPr>
        <w:spacing w:before="0" w:after="120" w:line="276" w:lineRule="auto"/>
      </w:pPr>
      <w:r>
        <w:rPr>
          <w:rFonts w:ascii="DM Sans" w:hAnsi="DM Sans" w:cs="DM Sans"/>
          <w:b/>
          <w:i w:val="0"/>
          <w:color w:val="050C2A"/>
          <w:sz w:val="20"/>
          <w:u w:val="none"/>
        </w:rPr>
        <w:t>Highlight on the page: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"What's due this week" — Reflection #2 named, explicitly tied to the Reflection Portfolio component of the final grade.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"Suggested order of completion" — eight items with the rationale for each ordering.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Play the first ~20 seconds of the overview video.</w:t>
      </w:r>
    </w:p>
    <w:p>
      <w:pPr>
        <w:pBdr>
          <w:left w:val="single" w:sz="18" w:space="8" w:color="FF7C0A"/>
        </w:pBdr>
        <w:ind w:left="720"/>
        <w:spacing w:before="120" w:after="120" w:line="276" w:lineRule="auto"/>
      </w:pPr>
      <w:r>
        <w:rPr>
          <w:rFonts w:ascii="DM Sans" w:hAnsi="DM Sans" w:cs="DM Sans"/>
          <w:b w:val="0"/>
          <w:i w:val="0"/>
          <w:color w:val="4A4A4A"/>
          <w:sz w:val="20"/>
          <w:u w:val="none"/>
        </w:rPr>
        <w:t>"Every week opens with a short overview video. The videos are produced with AI-generated narration synced to branded visuals — that's deliberate: it lets us refresh content per cohort without re-recording, and the consistency across 15 weeks is something partner students would notice immediately. Every content page that introduces a new skill has its own instructional video on the same model. Roughly 40 videos across the course."</w:t>
      </w:r>
    </w:p>
    <w:p>
      <w:pPr>
        <w:spacing w:before="0" w:after="120" w:line="276" w:lineRule="auto"/>
      </w:pPr>
      <w:r>
        <w:rPr>
          <w:rFonts w:ascii="DM Sans" w:hAnsi="DM Sans" w:cs="DM Sans"/>
          <w:b/>
          <w:i w:val="0"/>
          <w:color w:val="050C2A"/>
          <w:sz w:val="20"/>
          <w:u w:val="none"/>
        </w:rPr>
        <w:t>Then click into the Week 7 Development Check-In #1 interactive</w:t>
      </w:r>
      <w:r>
        <w:rPr>
          <w:rFonts w:ascii="DM Sans" w:hAnsi="DM Sans" w:cs="DM Sans"/>
          <w:b w:val="0"/>
          <w:i w:val="0"/>
          <w:color w:val="050C2A"/>
          <w:sz w:val="20"/>
          <w:u w:val="none"/>
        </w:rPr>
        <w:t xml:space="preserve"> — </w:t>
      </w:r>
      <w:r>
        <w:rPr>
          <w:rFonts w:ascii="DM Sans" w:hAnsi="DM Sans" w:cs="DM Sans"/>
          <w:b w:val="0"/>
          <w:i/>
          <w:color w:val="050C2A"/>
          <w:sz w:val="20"/>
          <w:u w:val="none"/>
        </w:rPr>
        <w:t>When Feedback Catches You Off Guard</w:t>
      </w:r>
      <w:r>
        <w:rPr>
          <w:rFonts w:ascii="DM Sans" w:hAnsi="DM Sans" w:cs="DM Sans"/>
          <w:b w:val="0"/>
          <w:i w:val="0"/>
          <w:color w:val="050C2A"/>
          <w:sz w:val="20"/>
          <w:u w:val="none"/>
        </w:rPr>
        <w:t xml:space="preserve"> (</w:t>
      </w:r>
      <w:r>
        <w:rPr>
          <w:rFonts w:ascii="DM Sans" w:hAnsi="DM Sans" w:cs="DM Sans"/>
          <w:b w:val="0"/>
          <w:i w:val="0"/>
          <w:color w:val="FF7C0A"/>
          <w:sz w:val="20"/>
          <w:u w:val="single"/>
        </w:rPr>
        <w:t>`development-check-in-number-1`</w:t>
      </w:r>
      <w:r>
        <w:rPr>
          <w:rFonts w:ascii="DM Sans" w:hAnsi="DM Sans" w:cs="DM Sans"/>
          <w:b w:val="0"/>
          <w:i w:val="0"/>
          <w:color w:val="050C2A"/>
          <w:sz w:val="20"/>
          <w:u w:val="none"/>
        </w:rPr>
        <w:t>).</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"Interactives are how students practice a professional move before they're graded on it. This is the most sophisticated example in the course. The student walks into a simulated mid-project employer meeting and the employer flags an unexpected piece of history that complicates the team's strongest recommendation. The skill being practiced is hearing that land in real time and producing a response — not picking one from a multiple-choice list."</w:t>
      </w:r>
    </w:p>
    <w:p>
      <w:pPr>
        <w:spacing w:before="0" w:after="120" w:line="276" w:lineRule="auto"/>
      </w:pPr>
      <w:r>
        <w:rPr>
          <w:rFonts w:ascii="DM Sans" w:hAnsi="DM Sans" w:cs="DM Sans"/>
          <w:b/>
          <w:i w:val="0"/>
          <w:color w:val="050C2A"/>
          <w:sz w:val="20"/>
          <w:u w:val="none"/>
        </w:rPr>
        <w:t>Highlight in the interactive: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 xml:space="preserve">The </w:t>
      </w:r>
      <w:r>
        <w:rPr>
          <w:rFonts w:ascii="DM Sans" w:hAnsi="DM Sans" w:cs="DM Sans"/>
          <w:b/>
          <w:i w:val="0"/>
          <w:color w:val="050C2A"/>
          <w:sz w:val="20"/>
          <w:u w:val="none"/>
        </w:rPr>
        <w:t>Skills You'll Practice</w:t>
      </w:r>
      <w:r>
        <w:rPr>
          <w:rFonts w:ascii="DM Sans" w:hAnsi="DM Sans" w:cs="DM Sans"/>
          <w:b w:val="0"/>
          <w:i w:val="0"/>
          <w:color w:val="050C2A"/>
          <w:sz w:val="20"/>
          <w:u w:val="none"/>
        </w:rPr>
        <w:t xml:space="preserve"> badges at the top — NACE competency subskills tagged at the page level. Same convention on every content page.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 xml:space="preserve">The </w:t>
      </w:r>
      <w:r>
        <w:rPr>
          <w:rFonts w:ascii="DM Sans" w:hAnsi="DM Sans" w:cs="DM Sans"/>
          <w:b/>
          <w:i w:val="0"/>
          <w:color w:val="050C2A"/>
          <w:sz w:val="20"/>
          <w:u w:val="none"/>
        </w:rPr>
        <w:t>Synthesia video</w:t>
      </w:r>
      <w:r>
        <w:rPr>
          <w:rFonts w:ascii="DM Sans" w:hAnsi="DM Sans" w:cs="DM Sans"/>
          <w:b w:val="0"/>
          <w:i w:val="0"/>
          <w:color w:val="050C2A"/>
          <w:sz w:val="20"/>
          <w:u w:val="none"/>
        </w:rPr>
        <w:t xml:space="preserve"> of the employer (David Park) flagging the problem — same employer character students saw at the Kickoff in Week 3 and the Direction Check in Week 5. Continuity across the course's video scenarios.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 xml:space="preserve">The </w:t>
      </w:r>
      <w:r>
        <w:rPr>
          <w:rFonts w:ascii="DM Sans" w:hAnsi="DM Sans" w:cs="DM Sans"/>
          <w:b/>
          <w:i w:val="0"/>
          <w:color w:val="050C2A"/>
          <w:sz w:val="20"/>
          <w:u w:val="none"/>
        </w:rPr>
        <w:t>hybrid question design</w:t>
      </w:r>
      <w:r>
        <w:rPr>
          <w:rFonts w:ascii="DM Sans" w:hAnsi="DM Sans" w:cs="DM Sans"/>
          <w:b w:val="0"/>
          <w:i w:val="0"/>
          <w:color w:val="050C2A"/>
          <w:sz w:val="20"/>
          <w:u w:val="none"/>
        </w:rPr>
        <w:t xml:space="preserve"> — multiple-choice for pattern-recognition moves (do you interrupt; how do you handle a defensive teammate), and free-text-with-model for production moves (write the clarifying question, write the acknowledgment, write the action item). After the student types, the model response unlocks and they self-calibrate.</w:t>
      </w:r>
    </w:p>
    <w:p>
      <w:pPr>
        <w:pBdr>
          <w:left w:val="single" w:sz="18" w:space="8" w:color="FF7C0A"/>
        </w:pBdr>
        <w:ind w:left="720"/>
        <w:spacing w:before="120" w:after="120" w:line="276" w:lineRule="auto"/>
      </w:pPr>
      <w:r>
        <w:rPr>
          <w:rFonts w:ascii="DM Sans" w:hAnsi="DM Sans" w:cs="DM Sans"/>
          <w:b w:val="0"/>
          <w:i w:val="0"/>
          <w:color w:val="4A4A4A"/>
          <w:sz w:val="20"/>
          <w:u w:val="none"/>
        </w:rPr>
        <w:t>"The pedagogical point: multiple choice trains students to recognize good responses. In the meeting, they have to produce one. Typing first makes production the thing being practiced. Self-comparison against a model is the same calibration move they'll use on every piece of feedback they get for the rest of the course."</w:t>
      </w:r>
    </w:p>
    <w:p>
      <w:pPr>
        <w:spacing w:before="0" w:after="120" w:line="276" w:lineRule="auto"/>
      </w:pPr>
      <w:r>
        <w:rPr>
          <w:rFonts w:ascii="DM Sans" w:hAnsi="DM Sans" w:cs="DM Sans"/>
          <w:b/>
          <w:i w:val="0"/>
          <w:color w:val="050C2A"/>
          <w:sz w:val="20"/>
          <w:u w:val="none"/>
        </w:rPr>
        <w:t>Other interactives in the course (mention briefly, don't open):</w:t>
      </w:r>
      <w:r>
        <w:rPr>
          <w:rFonts w:ascii="DM Sans" w:hAnsi="DM Sans" w:cs="DM Sans"/>
          <w:b w:val="0"/>
          <w:i w:val="0"/>
          <w:color w:val="050C2A"/>
          <w:sz w:val="20"/>
          <w:u w:val="none"/>
        </w:rPr>
        <w:t xml:space="preserve"> Week 1 DEAL-sorting (categorize reflection stages); Week 1 reflective-practice interactive; Week 3 Kickoff branching-video scenario (the original showpiece, same employer); Week 5 Before-the-Direction-Check rehearsal (decision tree for pre-meeting prep).</w:t>
      </w:r>
    </w:p>
    <w:p>
      <w:pPr>
        <w:spacing w:before="0" w:after="120" w:line="276" w:lineRule="auto"/>
      </w:pPr>
      <w:r>
        <w:rPr>
          <w:rFonts w:ascii="DM Sans" w:hAnsi="DM Sans" w:cs="DM Sans"/>
          <w:b/>
          <w:i w:val="0"/>
          <w:color w:val="050C2A"/>
          <w:sz w:val="20"/>
          <w:u w:val="none"/>
        </w:rPr>
        <w:t>Why this beat matters for faculty: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Multimedia is consistent and scalable across the course; not bolted 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Interactives are calibrated to specific assessment moments, not generic engagement bait.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Per-page competency badges make the NACE alignment visible to the student in context, not just in the syllabus.</w:t>
      </w:r>
    </w:p>
    <w:p>
      <w:pPr>
        <w:pStyle w:val="Heading2"/>
        <w:spacing w:before="280" w:after="100"/>
      </w:pPr>
      <w:r>
        <w:rPr>
          <w:rFonts w:ascii="DM Sans" w:hAnsi="DM Sans" w:cs="DM Sans"/>
          <w:b/>
          <w:i w:val="0"/>
          <w:color w:val="050C2A"/>
          <w:sz w:val="28"/>
          <w:u w:val="none"/>
        </w:rPr>
        <w:t>Beat 4 — AI as a taught skill, scaffolded across 15 weeks (3 min)</w:t>
      </w:r>
    </w:p>
    <w:p>
      <w:pPr>
        <w:spacing w:before="0" w:after="120" w:line="276" w:lineRule="auto"/>
      </w:pPr>
      <w:r>
        <w:rPr>
          <w:rFonts w:ascii="DM Sans" w:hAnsi="DM Sans" w:cs="DM Sans"/>
          <w:b/>
          <w:i w:val="0"/>
          <w:color w:val="050C2A"/>
          <w:sz w:val="20"/>
          <w:u w:val="none"/>
        </w:rPr>
        <w:t>Open:</w:t>
      </w:r>
      <w:r>
        <w:rPr>
          <w:rFonts w:ascii="DM Sans" w:hAnsi="DM Sans" w:cs="DM Sans"/>
          <w:b w:val="0"/>
          <w:i w:val="0"/>
          <w:color w:val="050C2A"/>
          <w:sz w:val="20"/>
          <w:u w:val="none"/>
        </w:rPr>
        <w:t xml:space="preserve"> Week 1 → </w:t>
      </w:r>
      <w:r>
        <w:rPr>
          <w:rFonts w:ascii="DM Sans" w:hAnsi="DM Sans" w:cs="DM Sans"/>
          <w:b w:val="0"/>
          <w:i w:val="0"/>
          <w:color w:val="FF7C0A"/>
          <w:sz w:val="20"/>
          <w:u w:val="single"/>
        </w:rPr>
        <w:t>*AI in Today's Workplace &amp; This Course*</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"AI isn't a side topic in this course — it's a curricular strand that runs across all 15 weeks, scaffolded the same way the project work is scaffolded. This is the introductory page. The reason it deserves its own beat in this demo is that academic-integrity conversations about AI usually stop at policy. This course treats AI as a professional skill students need to learn how to wield, with the standard for use rising as the work gets harder."</w:t>
      </w:r>
    </w:p>
    <w:p>
      <w:pPr>
        <w:spacing w:before="0" w:after="120" w:line="276" w:lineRule="auto"/>
      </w:pPr>
      <w:r>
        <w:rPr>
          <w:rFonts w:ascii="DM Sans" w:hAnsi="DM Sans" w:cs="DM Sans"/>
          <w:b/>
          <w:i w:val="0"/>
          <w:color w:val="050C2A"/>
          <w:sz w:val="20"/>
          <w:u w:val="none"/>
        </w:rPr>
        <w:t>Highlight on the page: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Course-level AI policy — permitted use, required disclosure, the defend-your-work standard.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framing that AI competence is itself an employer-valued capability, not just a tool-use convenience.</w:t>
      </w:r>
    </w:p>
    <w:p>
      <w:pPr>
        <w:spacing w:before="0" w:after="120" w:line="276" w:lineRule="auto"/>
      </w:pPr>
      <w:r>
        <w:rPr>
          <w:rFonts w:ascii="DM Sans" w:hAnsi="DM Sans" w:cs="DM Sans"/>
          <w:b/>
          <w:i w:val="0"/>
          <w:color w:val="050C2A"/>
          <w:sz w:val="20"/>
          <w:u w:val="none"/>
        </w:rPr>
        <w:t>Then narrate the arc (no second page; this is a verbal walkthrough):</w:t>
      </w:r>
    </w:p>
    <w:p>
      <w:pPr>
        <w:pBdr>
          <w:left w:val="single" w:sz="18" w:space="8" w:color="FF7C0A"/>
        </w:pBdr>
        <w:ind w:left="720"/>
        <w:spacing w:before="120" w:after="120" w:line="276" w:lineRule="auto"/>
      </w:pPr>
      <w:r>
        <w:rPr>
          <w:rFonts w:ascii="DM Sans" w:hAnsi="DM Sans" w:cs="DM Sans"/>
          <w:b w:val="0"/>
          <w:i w:val="0"/>
          <w:color w:val="4A4A4A"/>
          <w:sz w:val="20"/>
          <w:u w:val="none"/>
        </w:rPr>
        <w:t xml:space="preserve">"Across 15 weeks, the AI policy shifts deliberately. Week 1, AI is introduced as a thinking partner. Week 2, the </w:t>
      </w:r>
      <w:r>
        <w:rPr>
          <w:rFonts w:ascii="DM Sans" w:hAnsi="DM Sans" w:cs="DM Sans"/>
          <w:b w:val="0"/>
          <w:i/>
          <w:color w:val="4A4A4A"/>
          <w:sz w:val="20"/>
          <w:u w:val="none"/>
        </w:rPr>
        <w:t>Using AI Responsibly</w:t>
      </w:r>
      <w:r>
        <w:rPr>
          <w:rFonts w:ascii="DM Sans" w:hAnsi="DM Sans" w:cs="DM Sans"/>
          <w:b w:val="0"/>
          <w:i w:val="0"/>
          <w:color w:val="4A4A4A"/>
          <w:sz w:val="20"/>
          <w:u w:val="none"/>
        </w:rPr>
        <w:t xml:space="preserve"> page sets the disclosure and defend-your-work standard. Week 4-5, students use AI as a research and analysis partner during Discovery, then as a critique partner before the Direction Check. Week 7, AI helps them review teammates' drafts before peer feedback. By Week 14, on Reflection #5 — the most demanding analytical reflection in the portfolio — AI-assisted drafting is explicitly walled off because identifying what changed in how you work is the assignment itself. Students are taught not just to use AI, but to recognize when to take it out of the loop. That arc is the same thing employers are asking for, and it's a curricular sequence you'd otherwise have to build yourselves."</w:t>
      </w:r>
    </w:p>
    <w:p>
      <w:pPr>
        <w:spacing w:before="0" w:after="120" w:line="276" w:lineRule="auto"/>
      </w:pPr>
      <w:r>
        <w:rPr>
          <w:rFonts w:ascii="DM Sans" w:hAnsi="DM Sans" w:cs="DM Sans"/>
          <w:b/>
          <w:i w:val="0"/>
          <w:color w:val="050C2A"/>
          <w:sz w:val="20"/>
          <w:u w:val="none"/>
        </w:rPr>
        <w:t>Reference pages on the AI arc (don't open during demo; share if asked):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Using AI Responsibly</w:t>
      </w:r>
      <w:r>
        <w:rPr>
          <w:rFonts w:ascii="DM Sans" w:hAnsi="DM Sans" w:cs="DM Sans"/>
          <w:b w:val="0"/>
          <w:i w:val="0"/>
          <w:color w:val="050C2A"/>
          <w:sz w:val="20"/>
          <w:u w:val="none"/>
        </w:rPr>
        <w:t xml:space="preserve"> (W2)</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Using AI for Research &amp; Analysis</w:t>
      </w:r>
      <w:r>
        <w:rPr>
          <w:rFonts w:ascii="DM Sans" w:hAnsi="DM Sans" w:cs="DM Sans"/>
          <w:b w:val="0"/>
          <w:i w:val="0"/>
          <w:color w:val="050C2A"/>
          <w:sz w:val="20"/>
          <w:u w:val="none"/>
        </w:rPr>
        <w:t xml:space="preserve"> (W4-5)</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AI as a Development Partner</w:t>
      </w:r>
      <w:r>
        <w:rPr>
          <w:rFonts w:ascii="DM Sans" w:hAnsi="DM Sans" w:cs="DM Sans"/>
          <w:b w:val="0"/>
          <w:i w:val="0"/>
          <w:color w:val="050C2A"/>
          <w:sz w:val="20"/>
          <w:u w:val="none"/>
        </w:rPr>
        <w:t xml:space="preserve"> (mid-course)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AI as a Quality Reviewer</w:t>
      </w:r>
      <w:r>
        <w:rPr>
          <w:rFonts w:ascii="DM Sans" w:hAnsi="DM Sans" w:cs="DM Sans"/>
          <w:b w:val="0"/>
          <w:i w:val="0"/>
          <w:color w:val="050C2A"/>
          <w:sz w:val="20"/>
          <w:u w:val="none"/>
        </w:rPr>
        <w:t xml:space="preserve"> (Refinement phase)</w:t>
      </w:r>
    </w:p>
    <w:p>
      <w:pPr>
        <w:spacing w:before="0" w:after="120" w:line="276" w:lineRule="auto"/>
      </w:pPr>
      <w:r>
        <w:rPr>
          <w:rFonts w:ascii="DM Sans" w:hAnsi="DM Sans" w:cs="DM Sans"/>
          <w:b/>
          <w:i w:val="0"/>
          <w:color w:val="050C2A"/>
          <w:sz w:val="20"/>
          <w:u w:val="none"/>
        </w:rPr>
        <w:t>Why this beat matters for faculty: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Pre-empts the most common academic-integrity question by showing AI is taught, not just policed.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per-activity scoping is consistent with the assessment model — different activities, different policies, all defensible.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Faculty walk away with one sentence they can use with their own department: "AI is scaffolded across 15 weeks as a graded professional skill."</w:t>
      </w:r>
    </w:p>
    <w:p>
      <w:pPr>
        <w:pStyle w:val="Heading2"/>
        <w:spacing w:before="280" w:after="100"/>
      </w:pPr>
      <w:r>
        <w:rPr>
          <w:rFonts w:ascii="DM Sans" w:hAnsi="DM Sans" w:cs="DM Sans"/>
          <w:b/>
          <w:i w:val="0"/>
          <w:color w:val="050C2A"/>
          <w:sz w:val="28"/>
          <w:u w:val="none"/>
        </w:rPr>
        <w:t>Beat 5 — Riipen Platform handoff (4 min, narrated screens)</w:t>
      </w:r>
    </w:p>
    <w:p>
      <w:pPr>
        <w:spacing w:before="0" w:after="120" w:line="276" w:lineRule="auto"/>
      </w:pPr>
      <w:r>
        <w:rPr>
          <w:rFonts w:ascii="DM Sans" w:hAnsi="DM Sans" w:cs="DM Sans"/>
          <w:b/>
          <w:i w:val="0"/>
          <w:color w:val="050C2A"/>
          <w:sz w:val="20"/>
          <w:u w:val="none"/>
        </w:rPr>
        <w:t>Transition from Beat 4:</w:t>
      </w:r>
    </w:p>
    <w:p>
      <w:pPr>
        <w:pBdr>
          <w:left w:val="single" w:sz="18" w:space="8" w:color="FF7C0A"/>
        </w:pBdr>
        <w:ind w:left="720"/>
        <w:spacing w:before="120" w:after="120" w:line="276" w:lineRule="auto"/>
      </w:pPr>
      <w:r>
        <w:rPr>
          <w:rFonts w:ascii="DM Sans" w:hAnsi="DM Sans" w:cs="DM Sans"/>
          <w:b w:val="0"/>
          <w:i w:val="0"/>
          <w:color w:val="4A4A4A"/>
          <w:sz w:val="20"/>
          <w:u w:val="none"/>
        </w:rPr>
        <w:t>"Every page in Canvas that touches a project deliverable links out to the Riipen Platform. The Platform is where the team submits work, where the employer reviews it, and where peer evaluations and final assessments are submitted. Two quick views."</w:t>
      </w:r>
    </w:p>
    <w:p>
      <w:pPr>
        <w:spacing w:before="0" w:after="120" w:line="276" w:lineRule="auto"/>
      </w:pPr>
      <w:r>
        <w:rPr>
          <w:rFonts w:ascii="DM Sans" w:hAnsi="DM Sans" w:cs="DM Sans"/>
          <w:b/>
          <w:i w:val="0"/>
          <w:color w:val="050C2A"/>
          <w:sz w:val="20"/>
          <w:u w:val="none"/>
        </w:rPr>
        <w:t>Narrated screen 1 — Sample employer project (~90 sec).</w:t>
      </w:r>
    </w:p>
    <w:p>
      <w:pPr>
        <w:pBdr>
          <w:left w:val="single" w:sz="18" w:space="8" w:color="FF7C0A"/>
        </w:pBdr>
        <w:ind w:left="720"/>
        <w:spacing w:before="120" w:after="120" w:line="276" w:lineRule="auto"/>
      </w:pPr>
      <w:r>
        <w:rPr>
          <w:rFonts w:ascii="DM Sans" w:hAnsi="DM Sans" w:cs="DM Sans"/>
          <w:b w:val="0"/>
          <w:i w:val="0"/>
          <w:color w:val="4A4A4A"/>
          <w:sz w:val="20"/>
          <w:u w:val="none"/>
        </w:rPr>
        <w:t>"Each project is scoped by an employer with a real deliverable need. The team is assigned to the project before Week 1 of the course, so by the time the student lands on the syllabus, they already know who they're working with and what the project is. The Project Framework template the employer fills in maps cleanly to the Discovery-phase deliverables on the Canvas side — the Context Analysis especially. Team collaboration — who submitted what, when, with what feedback status — also lives here; it gives you a separate evidence stream from the LMS for academic review."</w:t>
      </w:r>
    </w:p>
    <w:p>
      <w:pPr>
        <w:spacing w:before="0" w:after="120" w:line="276" w:lineRule="auto"/>
      </w:pPr>
      <w:r>
        <w:rPr>
          <w:rFonts w:ascii="DM Sans" w:hAnsi="DM Sans" w:cs="DM Sans"/>
          <w:b/>
          <w:i w:val="0"/>
          <w:color w:val="050C2A"/>
          <w:sz w:val="20"/>
          <w:u w:val="none"/>
        </w:rPr>
        <w:t>Narrated screen 2 — Employer feedback view (~90 sec).</w:t>
      </w:r>
    </w:p>
    <w:p>
      <w:pPr>
        <w:pBdr>
          <w:left w:val="single" w:sz="18" w:space="8" w:color="FF7C0A"/>
        </w:pBdr>
        <w:ind w:left="720"/>
        <w:spacing w:before="120" w:after="120" w:line="276" w:lineRule="auto"/>
      </w:pPr>
      <w:r>
        <w:rPr>
          <w:rFonts w:ascii="DM Sans" w:hAnsi="DM Sans" w:cs="DM Sans"/>
          <w:b w:val="0"/>
          <w:i w:val="0"/>
          <w:color w:val="4A4A4A"/>
          <w:sz w:val="20"/>
          <w:u w:val="none"/>
        </w:rPr>
        <w:t>"When the employer leaves feedback on a deliverable, it appears here. This becomes part of the Professional Engagement evidence stream — and it's one of the reasons the End-of-Project Peer Evaluation can ask students to evaluate teammates against behavior the employer also saw."</w:t>
      </w:r>
    </w:p>
    <w:p>
      <w:pPr>
        <w:spacing w:before="0" w:after="120" w:line="276" w:lineRule="auto"/>
      </w:pPr>
      <w:r>
        <w:rPr>
          <w:rFonts w:ascii="DM Sans" w:hAnsi="DM Sans" w:cs="DM Sans"/>
          <w:b/>
          <w:i w:val="0"/>
          <w:color w:val="050C2A"/>
          <w:sz w:val="20"/>
          <w:u w:val="none"/>
        </w:rPr>
        <w:t>Transition to Beat 6:</w:t>
      </w:r>
    </w:p>
    <w:p>
      <w:pPr>
        <w:pBdr>
          <w:left w:val="single" w:sz="18" w:space="8" w:color="FF7C0A"/>
        </w:pBdr>
        <w:ind w:left="720"/>
        <w:spacing w:before="120" w:after="120" w:line="276" w:lineRule="auto"/>
      </w:pPr>
      <w:r>
        <w:rPr>
          <w:rFonts w:ascii="DM Sans" w:hAnsi="DM Sans" w:cs="DM Sans"/>
          <w:b w:val="0"/>
          <w:i w:val="0"/>
          <w:color w:val="4A4A4A"/>
          <w:sz w:val="20"/>
          <w:u w:val="none"/>
        </w:rPr>
        <w:t>"Two of the four assessment components are individual: the Reflection Portfolio and the Peer Evaluation. Both submitted through the Platform; both rubric-scored. Let's look at the most demanding instance of each."</w:t>
      </w:r>
    </w:p>
    <w:p>
      <w:pPr>
        <w:pStyle w:val="Heading2"/>
        <w:spacing w:before="280" w:after="100"/>
      </w:pPr>
      <w:r>
        <w:rPr>
          <w:rFonts w:ascii="DM Sans" w:hAnsi="DM Sans" w:cs="DM Sans"/>
          <w:b/>
          <w:i w:val="0"/>
          <w:color w:val="050C2A"/>
          <w:sz w:val="28"/>
          <w:u w:val="none"/>
        </w:rPr>
        <w:t>Beat 6 — Reflection as assessment (4 min)</w:t>
      </w:r>
    </w:p>
    <w:p>
      <w:pPr>
        <w:spacing w:before="0" w:after="120" w:line="276" w:lineRule="auto"/>
      </w:pPr>
      <w:r>
        <w:rPr>
          <w:rFonts w:ascii="DM Sans" w:hAnsi="DM Sans" w:cs="DM Sans"/>
          <w:b/>
          <w:i w:val="0"/>
          <w:color w:val="050C2A"/>
          <w:sz w:val="20"/>
          <w:u w:val="none"/>
        </w:rPr>
        <w:t>Open:</w:t>
      </w:r>
      <w:r>
        <w:rPr>
          <w:rFonts w:ascii="DM Sans" w:hAnsi="DM Sans" w:cs="DM Sans"/>
          <w:b w:val="0"/>
          <w:i w:val="0"/>
          <w:color w:val="050C2A"/>
          <w:sz w:val="20"/>
          <w:u w:val="none"/>
        </w:rPr>
        <w:t xml:space="preserve"> Week 14 → </w:t>
      </w:r>
      <w:r>
        <w:rPr>
          <w:rFonts w:ascii="DM Sans" w:hAnsi="DM Sans" w:cs="DM Sans"/>
          <w:b w:val="0"/>
          <w:i w:val="0"/>
          <w:color w:val="FF7C0A"/>
          <w:sz w:val="20"/>
          <w:u w:val="single"/>
        </w:rPr>
        <w:t>*GRADED: Reflection #5 (Submit Next Week)*</w:t>
      </w:r>
    </w:p>
    <w:p>
      <w:pPr>
        <w:pBdr>
          <w:left w:val="single" w:sz="18" w:space="8" w:color="FF7C0A"/>
        </w:pBdr>
        <w:ind w:left="720"/>
        <w:spacing w:before="120" w:after="120" w:line="276" w:lineRule="auto"/>
      </w:pPr>
      <w:r>
        <w:rPr>
          <w:rFonts w:ascii="DM Sans" w:hAnsi="DM Sans" w:cs="DM Sans"/>
          <w:b w:val="0"/>
          <w:i/>
          <w:color w:val="4A4A4A"/>
          <w:sz w:val="20"/>
          <w:u w:val="none"/>
        </w:rPr>
        <w:t>Note for the demo-runner: this is the begin-drafting page in W14 — it carries the pedagogical scaffolding. The same reflection finalizes on a parallel [W15 page](https://riipen.instructure.com/courses/107/pages/graded-reflection-number-5). Demo the W14 page.</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"This is the final reflection in the portfolio. Each of the five reflections uses the same DEAL framework — Describe, Examine, Articulate, Learn — but the depth bar rises across the semester. Reflection #5 is where it consolidates. What I want to show you is what the reflection prompt does academically, the AI policy at this level of demand, and how it sets up the rubric."</w:t>
      </w:r>
    </w:p>
    <w:p>
      <w:pPr>
        <w:spacing w:before="0" w:after="120" w:line="276" w:lineRule="auto"/>
      </w:pPr>
      <w:r>
        <w:rPr>
          <w:rFonts w:ascii="DM Sans" w:hAnsi="DM Sans" w:cs="DM Sans"/>
          <w:b/>
          <w:i w:val="0"/>
          <w:color w:val="050C2A"/>
          <w:sz w:val="20"/>
          <w:u w:val="none"/>
        </w:rPr>
        <w:t>Highlight on the page: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prompt — asks for a single, specific, defensible claim about the student's own professional capability, drawn from the full 15-week arc.</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"Transfer — taking it with you" section — distinguishes project-specific learning from transferable learning. This is the academic move the rubric will assess.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The embedded video</w:t>
      </w:r>
      <w:r>
        <w:rPr>
          <w:rFonts w:ascii="DM Sans" w:hAnsi="DM Sans" w:cs="DM Sans"/>
          <w:b w:val="0"/>
          <w:i w:val="0"/>
          <w:color w:val="050C2A"/>
          <w:sz w:val="20"/>
          <w:u w:val="none"/>
        </w:rPr>
        <w:t xml:space="preserve"> — "Picking one thing from fifteen weeks." Mention briefly: "Worked example showing a learner running a full-arc scan instead of anchoring on the most recent moment. Same production model as the overview videos."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"From 'what I learned' to 'what changed in how I work'" — names the analytical move and explicitly references the Articulation of Learning rubric dimension.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 xml:space="preserve">AI policy — </w:t>
      </w:r>
      <w:r>
        <w:rPr>
          <w:rFonts w:ascii="DM Sans" w:hAnsi="DM Sans" w:cs="DM Sans"/>
          <w:b/>
          <w:i w:val="0"/>
          <w:color w:val="050C2A"/>
          <w:sz w:val="20"/>
          <w:u w:val="none"/>
        </w:rPr>
        <w:t>AI-assisted drafting is off-limits for this reflection</w:t>
      </w:r>
      <w:r>
        <w:rPr>
          <w:rFonts w:ascii="DM Sans" w:hAnsi="DM Sans" w:cs="DM Sans"/>
          <w:b w:val="0"/>
          <w:i w:val="0"/>
          <w:color w:val="050C2A"/>
          <w:sz w:val="20"/>
          <w:u w:val="none"/>
        </w:rPr>
        <w:t>, with reasoning. The wall-off here is the endpoint of the AI arc you saw in Beat 4.</w:t>
      </w:r>
    </w:p>
    <w:p>
      <w:pPr>
        <w:spacing w:before="0" w:after="120" w:line="276" w:lineRule="auto"/>
      </w:pPr>
      <w:r>
        <w:rPr>
          <w:rFonts w:ascii="DM Sans" w:hAnsi="DM Sans" w:cs="DM Sans"/>
          <w:b/>
          <w:i w:val="0"/>
          <w:color w:val="050C2A"/>
          <w:sz w:val="20"/>
          <w:u w:val="none"/>
        </w:rPr>
        <w:t>Why this beat matters for faculty: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Shows that reflection is scaffolded as a graded academic exercise, not a journaling activity.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Shows that AI policy is per-activity, with the most demanding analytical work explicitly walled off.</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Sets up the rubric in Beat 7.</w:t>
      </w:r>
    </w:p>
    <w:p>
      <w:pPr>
        <w:pStyle w:val="Heading2"/>
        <w:spacing w:before="280" w:after="100"/>
      </w:pPr>
      <w:r>
        <w:rPr>
          <w:rFonts w:ascii="DM Sans" w:hAnsi="DM Sans" w:cs="DM Sans"/>
          <w:b/>
          <w:i w:val="0"/>
          <w:color w:val="050C2A"/>
          <w:sz w:val="28"/>
          <w:u w:val="none"/>
        </w:rPr>
        <w:t>Beat 7 — Peer assessment with behavioral anchors (3 min)</w:t>
      </w:r>
    </w:p>
    <w:p>
      <w:pPr>
        <w:spacing w:before="0" w:after="120" w:line="276" w:lineRule="auto"/>
      </w:pPr>
      <w:r>
        <w:rPr>
          <w:rFonts w:ascii="DM Sans" w:hAnsi="DM Sans" w:cs="DM Sans"/>
          <w:b/>
          <w:i w:val="0"/>
          <w:color w:val="050C2A"/>
          <w:sz w:val="20"/>
          <w:u w:val="none"/>
        </w:rPr>
        <w:t>Open:</w:t>
      </w:r>
      <w:r>
        <w:rPr>
          <w:rFonts w:ascii="DM Sans" w:hAnsi="DM Sans" w:cs="DM Sans"/>
          <w:b w:val="0"/>
          <w:i w:val="0"/>
          <w:color w:val="050C2A"/>
          <w:sz w:val="20"/>
          <w:u w:val="none"/>
        </w:rPr>
        <w:t xml:space="preserve"> Week 14 → </w:t>
      </w:r>
      <w:r>
        <w:rPr>
          <w:rFonts w:ascii="DM Sans" w:hAnsi="DM Sans" w:cs="DM Sans"/>
          <w:b w:val="0"/>
          <w:i w:val="0"/>
          <w:color w:val="FF7C0A"/>
          <w:sz w:val="20"/>
          <w:u w:val="single"/>
        </w:rPr>
        <w:t>*GRADED: End-of-Project Peer Evaluation (Submit Next Week)*</w:t>
      </w:r>
    </w:p>
    <w:p>
      <w:pPr>
        <w:pBdr>
          <w:left w:val="single" w:sz="18" w:space="8" w:color="FF7C0A"/>
        </w:pBdr>
        <w:ind w:left="720"/>
        <w:spacing w:before="120" w:after="120" w:line="276" w:lineRule="auto"/>
      </w:pPr>
      <w:r>
        <w:rPr>
          <w:rFonts w:ascii="DM Sans" w:hAnsi="DM Sans" w:cs="DM Sans"/>
          <w:b w:val="0"/>
          <w:i/>
          <w:color w:val="4A4A4A"/>
          <w:sz w:val="20"/>
          <w:u w:val="none"/>
        </w:rPr>
        <w:t>Same convention as Reflection #5: this W14 page is where the pedagogical scaffolding lives; the final submission page is at [`/pages/graded-end-of-project-peer-evaluation`](https://riipen.instructure.com/courses/107/pages/graded-end-of-project-peer-evaluation) in W15.</w:t>
      </w:r>
    </w:p>
    <w:p>
      <w:pPr>
        <w:spacing w:before="0" w:after="120" w:line="276" w:lineRule="auto"/>
      </w:pPr>
      <w:r>
        <w:rPr>
          <w:rFonts w:ascii="DM Sans" w:hAnsi="DM Sans" w:cs="DM Sans"/>
          <w:b/>
          <w:i w:val="0"/>
          <w:color w:val="050C2A"/>
          <w:sz w:val="20"/>
          <w:u w:val="none"/>
        </w:rPr>
        <w:t>What to say:</w:t>
      </w:r>
    </w:p>
    <w:p>
      <w:pPr>
        <w:pBdr>
          <w:left w:val="single" w:sz="18" w:space="8" w:color="FF7C0A"/>
        </w:pBdr>
        <w:ind w:left="720"/>
        <w:spacing w:before="120" w:after="120" w:line="276" w:lineRule="auto"/>
      </w:pPr>
      <w:r>
        <w:rPr>
          <w:rFonts w:ascii="DM Sans" w:hAnsi="DM Sans" w:cs="DM Sans"/>
          <w:b w:val="0"/>
          <w:i w:val="0"/>
          <w:color w:val="4A4A4A"/>
          <w:sz w:val="20"/>
          <w:u w:val="none"/>
        </w:rPr>
        <w:t>"Peer assessment is one of the multiple sources of evidence that feeds into the Professional Engagement component of the final grade. Two of those reviews happen across the course: a Mid-Project Peer Evaluation and this End-of-Project one. Both use the same instrument — Continue/Start/Adjust qualitative feedback plus BARS, Behaviorally Anchored Rating Scales, on four dimensions."</w:t>
      </w:r>
    </w:p>
    <w:p>
      <w:pPr>
        <w:spacing w:before="0" w:after="120" w:line="276" w:lineRule="auto"/>
      </w:pPr>
      <w:r>
        <w:rPr>
          <w:rFonts w:ascii="DM Sans" w:hAnsi="DM Sans" w:cs="DM Sans"/>
          <w:b/>
          <w:i w:val="0"/>
          <w:color w:val="050C2A"/>
          <w:sz w:val="20"/>
          <w:u w:val="none"/>
        </w:rPr>
        <w:t>Highlight on the page: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four BARS dimensions: Reliability, Contribution, Constructive Engagement, Accountability.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"Evaluating contributions that evolved over time" — explicit guidance on calibrating across the full project arc rather than the endpoint, with three named patterns (the slow starter who steps up, the early leader who fades, the steady contributor).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"What counts as behavioral evidence" — observable action plus effect, not impression. "I felt like he was engaged" versus "He circled back to his own draft after two teammates flagged the same structural issue."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AI policy — permitted for the organizational work of sorting evidence, not for generating observations or assigning ratings. Disclosure required.</w:t>
      </w:r>
    </w:p>
    <w:p>
      <w:pPr>
        <w:spacing w:before="0" w:after="120" w:line="276" w:lineRule="auto"/>
      </w:pPr>
      <w:r>
        <w:rPr>
          <w:rFonts w:ascii="DM Sans" w:hAnsi="DM Sans" w:cs="DM Sans"/>
          <w:b/>
          <w:i w:val="0"/>
          <w:color w:val="050C2A"/>
          <w:sz w:val="20"/>
          <w:u w:val="none"/>
        </w:rPr>
        <w:t>Why this beat matters for faculty: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BARS is a standard organizational psychology instrument; using it here gives partner institutions a defensible peer-assessment methodology rather than a popularity rating.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cross-arc calibration guidance addresses the most common faculty critique of peer evaluation (recency bias).</w:t>
      </w:r>
    </w:p>
    <w:p>
      <w:pPr>
        <w:pStyle w:val="Heading2"/>
        <w:spacing w:before="280" w:after="100"/>
      </w:pPr>
      <w:r>
        <w:rPr>
          <w:rFonts w:ascii="DM Sans" w:hAnsi="DM Sans" w:cs="DM Sans"/>
          <w:b/>
          <w:i w:val="0"/>
          <w:color w:val="050C2A"/>
          <w:sz w:val="28"/>
          <w:u w:val="none"/>
        </w:rPr>
        <w:t>Beat 8 — Rubric and assisted scoring (3 min)</w:t>
      </w:r>
    </w:p>
    <w:p>
      <w:pPr>
        <w:spacing w:before="0" w:after="120" w:line="276" w:lineRule="auto"/>
      </w:pPr>
      <w:r>
        <w:rPr>
          <w:rFonts w:ascii="DM Sans" w:hAnsi="DM Sans" w:cs="DM Sans"/>
          <w:b/>
          <w:i w:val="0"/>
          <w:color w:val="050C2A"/>
          <w:sz w:val="20"/>
          <w:u w:val="none"/>
        </w:rPr>
        <w:t>Setup before this beat:</w:t>
      </w:r>
      <w:r>
        <w:rPr>
          <w:rFonts w:ascii="DM Sans" w:hAnsi="DM Sans" w:cs="DM Sans"/>
          <w:b w:val="0"/>
          <w:i w:val="0"/>
          <w:color w:val="050C2A"/>
          <w:sz w:val="20"/>
          <w:u w:val="none"/>
        </w:rPr>
        <w:t xml:space="preserve"> Open two windows side-by-side.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Left half:</w:t>
      </w:r>
      <w:r>
        <w:rPr>
          <w:rFonts w:ascii="DM Sans" w:hAnsi="DM Sans" w:cs="DM Sans"/>
          <w:b w:val="0"/>
          <w:i w:val="0"/>
          <w:color w:val="050C2A"/>
          <w:sz w:val="20"/>
          <w:u w:val="none"/>
        </w:rPr>
        <w:t xml:space="preserve"> the Riipen Platform grading view, showing a graded Reflection #5 submission with the rubric and assisted-scoring output.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Right half:</w:t>
      </w:r>
      <w:r>
        <w:rPr>
          <w:rFonts w:ascii="DM Sans" w:hAnsi="DM Sans" w:cs="DM Sans"/>
          <w:b w:val="0"/>
          <w:i w:val="0"/>
          <w:color w:val="050C2A"/>
          <w:sz w:val="20"/>
          <w:u w:val="none"/>
        </w:rPr>
        <w:t xml:space="preserve"> the Canvas gradebook for course 107, scrolled to the row that received the score that just got pushed back from Riipen.</w:t>
      </w:r>
    </w:p>
    <w:p>
      <w:pPr>
        <w:spacing w:before="0" w:after="120" w:line="276" w:lineRule="auto"/>
      </w:pPr>
      <w:r>
        <w:rPr>
          <w:rFonts w:ascii="DM Sans" w:hAnsi="DM Sans" w:cs="DM Sans"/>
          <w:b/>
          <w:i w:val="0"/>
          <w:color w:val="050C2A"/>
          <w:sz w:val="20"/>
          <w:u w:val="none"/>
        </w:rPr>
        <w:t>What to say (orient first):</w:t>
      </w:r>
    </w:p>
    <w:p>
      <w:pPr>
        <w:pBdr>
          <w:left w:val="single" w:sz="18" w:space="8" w:color="FF7C0A"/>
        </w:pBdr>
        <w:ind w:left="720"/>
        <w:spacing w:before="120" w:after="120" w:line="276" w:lineRule="auto"/>
      </w:pPr>
      <w:r>
        <w:rPr>
          <w:rFonts w:ascii="DM Sans" w:hAnsi="DM Sans" w:cs="DM Sans"/>
          <w:b w:val="0"/>
          <w:i w:val="0"/>
          <w:color w:val="4A4A4A"/>
          <w:sz w:val="20"/>
          <w:u w:val="none"/>
        </w:rPr>
        <w:t>"Quick orientation on the grading flow before I show you this, because it's different from most LMS-integrated courses. Students submit deliverables on the Riipen Platform, not in Canvas. Instructors grade on Riipen, using Riipen's rubric tools and assisted scoring. The final score gets pushed back to the Canvas gradebook, which remains the gradebook of record for the institution. Students can see their grade in either place. The split-screen here is the two halves of that flow."</w:t>
      </w:r>
    </w:p>
    <w:p>
      <w:pPr>
        <w:spacing w:before="0" w:after="120" w:line="276" w:lineRule="auto"/>
      </w:pPr>
      <w:r>
        <w:rPr>
          <w:rFonts w:ascii="DM Sans" w:hAnsi="DM Sans" w:cs="DM Sans"/>
          <w:b/>
          <w:i w:val="0"/>
          <w:color w:val="050C2A"/>
          <w:sz w:val="20"/>
          <w:u w:val="none"/>
        </w:rPr>
        <w:t>Highlight in the Riipen grading view (left, ~90 sec):</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submission itself.</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rubric panel — five-point scale, four equally-weighted dimensions, same rubric the student saw when they wrote the reflection.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The dimensions and their NACE mapping:</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Descriptive Specificity</w:t>
      </w:r>
      <w:r>
        <w:rPr>
          <w:rFonts w:ascii="DM Sans" w:hAnsi="DM Sans" w:cs="DM Sans"/>
          <w:b w:val="0"/>
          <w:i w:val="0"/>
          <w:color w:val="050C2A"/>
          <w:sz w:val="20"/>
          <w:u w:val="none"/>
        </w:rPr>
        <w:t xml:space="preserve"> → Career &amp; Self-Development / Self-Awareness (evaluates the Describe stage)</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Critical Examination</w:t>
      </w:r>
      <w:r>
        <w:rPr>
          <w:rFonts w:ascii="DM Sans" w:hAnsi="DM Sans" w:cs="DM Sans"/>
          <w:b w:val="0"/>
          <w:i w:val="0"/>
          <w:color w:val="050C2A"/>
          <w:sz w:val="20"/>
          <w:u w:val="none"/>
        </w:rPr>
        <w:t xml:space="preserve"> → Career &amp; Self-Development / Reflection (evaluates the Examine stage)</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Personal Accountability</w:t>
      </w:r>
      <w:r>
        <w:rPr>
          <w:rFonts w:ascii="DM Sans" w:hAnsi="DM Sans" w:cs="DM Sans"/>
          <w:b w:val="0"/>
          <w:i w:val="0"/>
          <w:color w:val="050C2A"/>
          <w:sz w:val="20"/>
          <w:u w:val="none"/>
        </w:rPr>
        <w:t xml:space="preserve"> → Career &amp; Self-Development / Self-Awareness (across all stages)</w:t>
      </w:r>
    </w:p>
    <w:p>
      <w:pPr>
        <w:ind w:left="108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Articulation of Learning</w:t>
      </w:r>
      <w:r>
        <w:rPr>
          <w:rFonts w:ascii="DM Sans" w:hAnsi="DM Sans" w:cs="DM Sans"/>
          <w:b w:val="0"/>
          <w:i w:val="0"/>
          <w:color w:val="050C2A"/>
          <w:sz w:val="20"/>
          <w:u w:val="none"/>
        </w:rPr>
        <w:t xml:space="preserve"> → Career &amp; Self-Development / Career Articulation + Growth Orientation (evaluates the Articulate Learning stage)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assisted-scoring output — a proposed rating per dimension with rationale.</w:t>
      </w:r>
    </w:p>
    <w:p>
      <w:pPr>
        <w:pBdr>
          <w:left w:val="single" w:sz="18" w:space="8" w:color="FF7C0A"/>
        </w:pBdr>
        <w:ind w:left="720"/>
        <w:spacing w:before="120" w:after="120" w:line="276" w:lineRule="auto"/>
      </w:pPr>
      <w:r>
        <w:rPr>
          <w:rFonts w:ascii="DM Sans" w:hAnsi="DM Sans" w:cs="DM Sans"/>
          <w:b w:val="0"/>
          <w:i w:val="0"/>
          <w:color w:val="4A4A4A"/>
          <w:sz w:val="20"/>
          <w:u w:val="none"/>
        </w:rPr>
        <w:t>"Assisted scoring proposes a rating per dimension based on the submission and the rubric. The instructor reviews each one and can accept, adjust, or override. Every score that leaves Riipen is instructor-approved. Assisted scoring is a starting point, not the final score. From a partner-institution academic-integrity standpoint, this matters: the human-in-the-loop is the faculty member, not the system."</w:t>
      </w:r>
    </w:p>
    <w:p>
      <w:pPr>
        <w:spacing w:before="0" w:after="120" w:line="276" w:lineRule="auto"/>
      </w:pPr>
      <w:r>
        <w:rPr>
          <w:rFonts w:ascii="DM Sans" w:hAnsi="DM Sans" w:cs="DM Sans"/>
          <w:b/>
          <w:i w:val="0"/>
          <w:color w:val="050C2A"/>
          <w:sz w:val="20"/>
          <w:u w:val="none"/>
        </w:rPr>
        <w:t>Then point at the Canvas gradebook (right, ~30 sec):</w:t>
      </w:r>
    </w:p>
    <w:p>
      <w:pPr>
        <w:pBdr>
          <w:left w:val="single" w:sz="18" w:space="8" w:color="FF7C0A"/>
        </w:pBdr>
        <w:ind w:left="720"/>
        <w:spacing w:before="120" w:after="120" w:line="276" w:lineRule="auto"/>
      </w:pPr>
      <w:r>
        <w:rPr>
          <w:rFonts w:ascii="DM Sans" w:hAnsi="DM Sans" w:cs="DM Sans"/>
          <w:b w:val="0"/>
          <w:i w:val="0"/>
          <w:color w:val="4A4A4A"/>
          <w:sz w:val="20"/>
          <w:u w:val="none"/>
        </w:rPr>
        <w:t>"And here's the same student's row in the Canvas gradebook. The Reflection #5 score has flowed back from Riipen. From the registrar's standpoint, Canvas is the source of truth — the gradebook the institution uses for final grades. From the instructor's standpoint, all the grading work happens on Riipen, alongside the submission, the rubric, and the assisted score. One workflow for the instructor; the institutional gradebook stays current automatically."</w:t>
      </w:r>
    </w:p>
    <w:p>
      <w:pPr>
        <w:pStyle w:val="Heading2"/>
        <w:spacing w:before="280" w:after="100"/>
      </w:pPr>
      <w:r>
        <w:rPr>
          <w:rFonts w:ascii="DM Sans" w:hAnsi="DM Sans" w:cs="DM Sans"/>
          <w:b/>
          <w:i w:val="0"/>
          <w:color w:val="050C2A"/>
          <w:sz w:val="28"/>
          <w:u w:val="none"/>
        </w:rPr>
        <w:t>Closing (1-2 min)</w:t>
      </w:r>
    </w:p>
    <w:p>
      <w:pPr>
        <w:pBdr>
          <w:left w:val="single" w:sz="18" w:space="8" w:color="FF7C0A"/>
        </w:pBdr>
        <w:ind w:left="720"/>
        <w:spacing w:before="120" w:after="120" w:line="276" w:lineRule="auto"/>
      </w:pPr>
      <w:r>
        <w:rPr>
          <w:rFonts w:ascii="DM Sans" w:hAnsi="DM Sans" w:cs="DM Sans"/>
          <w:b w:val="0"/>
          <w:i w:val="0"/>
          <w:color w:val="4A4A4A"/>
          <w:sz w:val="20"/>
          <w:u w:val="none"/>
        </w:rPr>
        <w:t>"That's the range. Seven pages, one interactive, two Platform views, one rubric. The full course is 15 weeks, around 110 content pages, roughly 40 videos, a half-dozen interactive practice activities, rubrics for the major deliverables, and an AI skills arc that runs end-to-end. What I've shown you is the structural pattern. Every week looks like the Week 6 view; every reflection follows the DEAL framework with rising depth; every rubric uses the same five-point scale; every page tags the specific NACE subskills it develops. That consistency is what makes the course assessable at an academic-review level. Questions?"</w:t>
      </w:r>
    </w:p>
    <w:p>
      <w:pPr>
        <w:pStyle w:val="Heading2"/>
        <w:spacing w:before="280" w:after="100"/>
      </w:pPr>
      <w:r>
        <w:rPr>
          <w:rFonts w:ascii="DM Sans" w:hAnsi="DM Sans" w:cs="DM Sans"/>
          <w:b/>
          <w:i w:val="0"/>
          <w:color w:val="050C2A"/>
          <w:sz w:val="28"/>
          <w:u w:val="none"/>
        </w:rPr>
        <w:t>If the demo runs short — extras to pull in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**Week 3 → *During the Kickoff* interactive**</w:t>
      </w:r>
      <w:r>
        <w:rPr>
          <w:rFonts w:ascii="DM Sans" w:hAnsi="DM Sans" w:cs="DM Sans"/>
          <w:b w:val="0"/>
          <w:i w:val="0"/>
          <w:color w:val="050C2A"/>
          <w:sz w:val="20"/>
          <w:u w:val="none"/>
        </w:rPr>
        <w:t xml:space="preserve"> — branching video-driven scenario; the original interactive showpiece. Faculty often respond well to this one.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**Week 5 → *Before the Direction Check* interactive**</w:t>
      </w:r>
      <w:r>
        <w:rPr>
          <w:rFonts w:ascii="DM Sans" w:hAnsi="DM Sans" w:cs="DM Sans"/>
          <w:b w:val="0"/>
          <w:i w:val="0"/>
          <w:color w:val="050C2A"/>
          <w:sz w:val="20"/>
          <w:u w:val="none"/>
        </w:rPr>
        <w:t xml:space="preserve"> — decision-tree rehearsal for the mid-project employer meeting.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**Week 1 → Reflective Practice (DEAL)**</w:t>
      </w:r>
      <w:r>
        <w:rPr>
          <w:rFonts w:ascii="DM Sans" w:hAnsi="DM Sans" w:cs="DM Sans"/>
          <w:b w:val="0"/>
          <w:i w:val="0"/>
          <w:color w:val="050C2A"/>
          <w:sz w:val="20"/>
          <w:u w:val="none"/>
        </w:rPr>
        <w:t xml:space="preserve"> — short DEAL-sorting interactive that pairs with the Beat 1 learning-science anchor.</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FF7C0A"/>
          <w:sz w:val="20"/>
          <w:u w:val="single"/>
        </w:rPr>
        <w:t>**Week 1 → How the Course is Run**</w:t>
      </w:r>
      <w:r>
        <w:rPr>
          <w:rFonts w:ascii="DM Sans" w:hAnsi="DM Sans" w:cs="DM Sans"/>
          <w:b w:val="0"/>
          <w:i w:val="0"/>
          <w:color w:val="050C2A"/>
          <w:sz w:val="20"/>
          <w:u w:val="none"/>
        </w:rPr>
        <w:t xml:space="preserve"> — useful if faculty press on Canvas/Platform integration mechanics.</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`rubrics/context-analysis-rubric-learner.pdf`</w:t>
      </w:r>
      <w:r>
        <w:rPr>
          <w:rFonts w:ascii="DM Sans" w:hAnsi="DM Sans" w:cs="DM Sans"/>
          <w:b w:val="0"/>
          <w:i w:val="0"/>
          <w:color w:val="050C2A"/>
          <w:sz w:val="20"/>
          <w:u w:val="none"/>
        </w:rPr>
        <w:t xml:space="preserve"> — example of a deliverable rubric (not reflection) if faculty want to see how team-produced artifacts are scored.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`guides/learner-deliverables-milestones.md`</w:t>
      </w:r>
      <w:r>
        <w:rPr>
          <w:rFonts w:ascii="DM Sans" w:hAnsi="DM Sans" w:cs="DM Sans"/>
          <w:b w:val="0"/>
          <w:i w:val="0"/>
          <w:color w:val="050C2A"/>
          <w:sz w:val="20"/>
          <w:u w:val="none"/>
        </w:rPr>
        <w:t xml:space="preserve"> — the 15-week table the Riipen Experience Manager uses for milestone setup. Useful if faculty want the at-a-glance map of what's due when.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`guides/ai-arc.md`</w:t>
      </w:r>
      <w:r>
        <w:rPr>
          <w:rFonts w:ascii="DM Sans" w:hAnsi="DM Sans" w:cs="DM Sans"/>
          <w:b w:val="0"/>
          <w:i w:val="0"/>
          <w:color w:val="050C2A"/>
          <w:sz w:val="20"/>
          <w:u w:val="none"/>
        </w:rPr>
        <w:t xml:space="preserve"> — full AI skills arc reference, in case faculty want the written version of the Beat 4 narration.</w:t>
      </w:r>
    </w:p>
    <w:p>
      <w:pPr>
        <w:pStyle w:val="Heading2"/>
        <w:spacing w:before="280" w:after="100"/>
      </w:pPr>
      <w:r>
        <w:rPr>
          <w:rFonts w:ascii="DM Sans" w:hAnsi="DM Sans" w:cs="DM Sans"/>
          <w:b/>
          <w:i w:val="0"/>
          <w:color w:val="050C2A"/>
          <w:sz w:val="28"/>
          <w:u w:val="none"/>
        </w:rPr>
        <w:t>If the demo runs long — what to cut first</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val="0"/>
          <w:i w:val="0"/>
          <w:color w:val="050C2A"/>
          <w:sz w:val="20"/>
          <w:u w:val="none"/>
        </w:rPr>
        <w:t>Beat 3's interactive (skip the W7 click-in; mention interactives verbally and stay on the W6 overview).</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val="0"/>
          <w:i w:val="0"/>
          <w:color w:val="050C2A"/>
          <w:sz w:val="20"/>
          <w:u w:val="none"/>
        </w:rPr>
        <w:t>The AI-arc narration at the end of Beat 4 (just show the W1 p4 page; mention the arc in one sentence).</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val="0"/>
          <w:i w:val="0"/>
          <w:color w:val="050C2A"/>
          <w:sz w:val="20"/>
          <w:u w:val="none"/>
        </w:rPr>
        <w:t>The W14 worked-example video mention in Beat 6.</w:t>
      </w:r>
    </w:p>
    <w:p>
      <w:pPr>
        <w:ind w:left="720" w:hanging="360"/>
        <w:spacing w:before="0" w:after="60" w:line="276" w:lineRule="auto"/>
      </w:pPr>
      <w:r>
        <w:rPr>
          <w:rFonts w:ascii="DM Sans" w:hAnsi="DM Sans" w:cs="DM Sans"/>
          <w:b/>
          <w:i w:val="0"/>
          <w:color w:val="050C2A"/>
          <w:sz w:val="20"/>
          <w:u w:val="none"/>
        </w:rPr>
        <w:t xml:space="preserve">4.  </w:t>
      </w:r>
      <w:r>
        <w:rPr>
          <w:rFonts w:ascii="DM Sans" w:hAnsi="DM Sans" w:cs="DM Sans"/>
          <w:b w:val="0"/>
          <w:i w:val="0"/>
          <w:color w:val="050C2A"/>
          <w:sz w:val="20"/>
          <w:u w:val="none"/>
        </w:rPr>
        <w:t xml:space="preserve">The Canvas-gradebook half of Beat 8's split-screen — stay on the Riipen grading view and just </w:t>
      </w:r>
      <w:r>
        <w:rPr>
          <w:rFonts w:ascii="DM Sans" w:hAnsi="DM Sans" w:cs="DM Sans"/>
          <w:b w:val="0"/>
          <w:i/>
          <w:color w:val="050C2A"/>
          <w:sz w:val="20"/>
          <w:u w:val="none"/>
        </w:rPr>
        <w:t>mention</w:t>
      </w:r>
      <w:r>
        <w:rPr>
          <w:rFonts w:ascii="DM Sans" w:hAnsi="DM Sans" w:cs="DM Sans"/>
          <w:b w:val="0"/>
          <w:i w:val="0"/>
          <w:color w:val="050C2A"/>
          <w:sz w:val="20"/>
          <w:u w:val="none"/>
        </w:rPr>
        <w:t xml:space="preserve"> that the score flows back. Save the full integration story for Q&amp;A.</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