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0"/>
      </w:pPr>
      <w:r>
        <w:rPr>
          <w:rFonts w:ascii="DM Sans" w:hAnsi="DM Sans" w:cs="DM Sans"/>
          <w:b/>
          <w:i w:val="0"/>
          <w:color w:val="FF7C0A"/>
          <w:sz w:val="34"/>
          <w:u w:val="none"/>
        </w:rPr>
        <w:t>Final Presentation — Rubric</w:t>
      </w:r>
    </w:p>
    <w:p>
      <w:pPr>
        <w:pBdr>
          <w:bottom w:val="single" w:sz="6" w:space="1" w:color="ACACAC"/>
        </w:pBdr>
        <w:spacing w:before="120" w:after="120"/>
      </w:pPr>
    </w:p>
    <w:p>
      <w:pPr>
        <w:pStyle w:val="Heading2"/>
        <w:spacing w:before="280" w:after="100"/>
      </w:pPr>
      <w:r>
        <w:rPr>
          <w:rFonts w:ascii="DM Sans" w:hAnsi="DM Sans" w:cs="DM Sans"/>
          <w:b/>
          <w:i w:val="0"/>
          <w:color w:val="050C2A"/>
          <w:sz w:val="28"/>
          <w:u w:val="none"/>
        </w:rPr>
        <w:t>Scale</w:t>
      </w:r>
    </w:p>
    <w:p>
      <w:pPr>
        <w:spacing w:before="0" w:after="120" w:line="276" w:lineRule="auto"/>
      </w:pPr>
      <w:r>
        <w:rPr>
          <w:rFonts w:ascii="DM Sans" w:hAnsi="DM Sans" w:cs="DM Sans"/>
          <w:b w:val="0"/>
          <w:i w:val="0"/>
          <w:color w:val="050C2A"/>
          <w:sz w:val="20"/>
          <w:u w:val="none"/>
        </w:rPr>
        <w:t>All course rubrics use the same 5-point scale.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3501"/>
            <w:shd w:fill="FF7C0A" w:val="clear"/>
            <w:vAlign w:val="center"/>
          </w:tcPr>
          <w:p>
            <w:pPr>
              <w:jc w:val="left"/>
              <w:spacing w:before="40" w:after="40"/>
            </w:pPr>
            <w:r>
              <w:rPr>
                <w:rFonts w:ascii="DM Sans" w:hAnsi="DM Sans" w:cs="DM Sans"/>
                <w:b/>
                <w:i w:val="0"/>
                <w:color w:val="FFFFFF"/>
                <w:sz w:val="20"/>
                <w:u w:val="none"/>
              </w:rPr>
              <w:t>Level</w:t>
            </w:r>
          </w:p>
        </w:tc>
        <w:tc>
          <w:tcPr>
            <w:tcW w:type="dxa" w:w="5859"/>
            <w:shd w:fill="FF7C0A" w:val="clear"/>
            <w:vAlign w:val="center"/>
          </w:tcPr>
          <w:p>
            <w:pPr>
              <w:jc w:val="left"/>
              <w:spacing w:before="40" w:after="40"/>
            </w:pPr>
            <w:r>
              <w:rPr>
                <w:rFonts w:ascii="DM Sans" w:hAnsi="DM Sans" w:cs="DM Sans"/>
                <w:b/>
                <w:i w:val="0"/>
                <w:color w:val="FFFFFF"/>
                <w:sz w:val="20"/>
                <w:u w:val="none"/>
              </w:rPr>
              <w:t>Label</w:t>
            </w:r>
          </w:p>
        </w:tc>
      </w:tr>
      <w:tr>
        <w:tc>
          <w:tcPr>
            <w:tcW w:type="dxa" w:w="3501"/>
            <w:vAlign w:val="center"/>
          </w:tcPr>
          <w:p>
            <w:pPr>
              <w:spacing w:before="30" w:after="30"/>
            </w:pPr>
            <w:r>
              <w:rPr>
                <w:rFonts w:ascii="DM Sans" w:hAnsi="DM Sans" w:cs="DM Sans"/>
                <w:b w:val="0"/>
                <w:i w:val="0"/>
                <w:color w:val="050C2A"/>
                <w:sz w:val="20"/>
                <w:u w:val="none"/>
              </w:rPr>
              <w:t>4</w:t>
            </w:r>
          </w:p>
        </w:tc>
        <w:tc>
          <w:tcPr>
            <w:tcW w:type="dxa" w:w="5859"/>
            <w:vAlign w:val="center"/>
          </w:tcPr>
          <w:p>
            <w:pPr>
              <w:spacing w:before="30" w:after="30"/>
            </w:pPr>
            <w:r>
              <w:rPr>
                <w:rFonts w:ascii="DM Sans" w:hAnsi="DM Sans" w:cs="DM Sans"/>
                <w:b w:val="0"/>
                <w:i w:val="0"/>
                <w:color w:val="050C2A"/>
                <w:sz w:val="20"/>
                <w:u w:val="none"/>
              </w:rPr>
              <w:t>Exemplary</w:t>
            </w:r>
          </w:p>
        </w:tc>
      </w:tr>
      <w:tr>
        <w:tc>
          <w:tcPr>
            <w:tcW w:type="dxa" w:w="3501"/>
            <w:shd w:fill="F5F5F5" w:val="clear"/>
            <w:vAlign w:val="center"/>
          </w:tcPr>
          <w:p>
            <w:pPr>
              <w:spacing w:before="30" w:after="30"/>
            </w:pPr>
            <w:r>
              <w:rPr>
                <w:rFonts w:ascii="DM Sans" w:hAnsi="DM Sans" w:cs="DM Sans"/>
                <w:b w:val="0"/>
                <w:i w:val="0"/>
                <w:color w:val="050C2A"/>
                <w:sz w:val="20"/>
                <w:u w:val="none"/>
              </w:rPr>
              <w:t>3</w:t>
            </w:r>
          </w:p>
        </w:tc>
        <w:tc>
          <w:tcPr>
            <w:tcW w:type="dxa" w:w="5859"/>
            <w:shd w:fill="F5F5F5" w:val="clear"/>
            <w:vAlign w:val="center"/>
          </w:tcPr>
          <w:p>
            <w:pPr>
              <w:spacing w:before="30" w:after="30"/>
            </w:pPr>
            <w:r>
              <w:rPr>
                <w:rFonts w:ascii="DM Sans" w:hAnsi="DM Sans" w:cs="DM Sans"/>
                <w:b w:val="0"/>
                <w:i w:val="0"/>
                <w:color w:val="050C2A"/>
                <w:sz w:val="20"/>
                <w:u w:val="none"/>
              </w:rPr>
              <w:t>Proficient</w:t>
            </w:r>
          </w:p>
        </w:tc>
      </w:tr>
      <w:tr>
        <w:tc>
          <w:tcPr>
            <w:tcW w:type="dxa" w:w="3501"/>
            <w:vAlign w:val="center"/>
          </w:tcPr>
          <w:p>
            <w:pPr>
              <w:spacing w:before="30" w:after="30"/>
            </w:pPr>
            <w:r>
              <w:rPr>
                <w:rFonts w:ascii="DM Sans" w:hAnsi="DM Sans" w:cs="DM Sans"/>
                <w:b w:val="0"/>
                <w:i w:val="0"/>
                <w:color w:val="050C2A"/>
                <w:sz w:val="20"/>
                <w:u w:val="none"/>
              </w:rPr>
              <w:t>2</w:t>
            </w:r>
          </w:p>
        </w:tc>
        <w:tc>
          <w:tcPr>
            <w:tcW w:type="dxa" w:w="5859"/>
            <w:vAlign w:val="center"/>
          </w:tcPr>
          <w:p>
            <w:pPr>
              <w:spacing w:before="30" w:after="30"/>
            </w:pPr>
            <w:r>
              <w:rPr>
                <w:rFonts w:ascii="DM Sans" w:hAnsi="DM Sans" w:cs="DM Sans"/>
                <w:b w:val="0"/>
                <w:i w:val="0"/>
                <w:color w:val="050C2A"/>
                <w:sz w:val="20"/>
                <w:u w:val="none"/>
              </w:rPr>
              <w:t>Developing</w:t>
            </w:r>
          </w:p>
        </w:tc>
      </w:tr>
      <w:tr>
        <w:tc>
          <w:tcPr>
            <w:tcW w:type="dxa" w:w="3501"/>
            <w:shd w:fill="F5F5F5" w:val="clear"/>
            <w:vAlign w:val="center"/>
          </w:tcPr>
          <w:p>
            <w:pPr>
              <w:spacing w:before="30" w:after="30"/>
            </w:pPr>
            <w:r>
              <w:rPr>
                <w:rFonts w:ascii="DM Sans" w:hAnsi="DM Sans" w:cs="DM Sans"/>
                <w:b w:val="0"/>
                <w:i w:val="0"/>
                <w:color w:val="050C2A"/>
                <w:sz w:val="20"/>
                <w:u w:val="none"/>
              </w:rPr>
              <w:t>1</w:t>
            </w:r>
          </w:p>
        </w:tc>
        <w:tc>
          <w:tcPr>
            <w:tcW w:type="dxa" w:w="5859"/>
            <w:shd w:fill="F5F5F5" w:val="clear"/>
            <w:vAlign w:val="center"/>
          </w:tcPr>
          <w:p>
            <w:pPr>
              <w:spacing w:before="30" w:after="30"/>
            </w:pPr>
            <w:r>
              <w:rPr>
                <w:rFonts w:ascii="DM Sans" w:hAnsi="DM Sans" w:cs="DM Sans"/>
                <w:b w:val="0"/>
                <w:i w:val="0"/>
                <w:color w:val="050C2A"/>
                <w:sz w:val="20"/>
                <w:u w:val="none"/>
              </w:rPr>
              <w:t>Emerging</w:t>
            </w:r>
          </w:p>
        </w:tc>
      </w:tr>
      <w:tr>
        <w:tc>
          <w:tcPr>
            <w:tcW w:type="dxa" w:w="3501"/>
            <w:vAlign w:val="center"/>
          </w:tcPr>
          <w:p>
            <w:pPr>
              <w:spacing w:before="30" w:after="30"/>
            </w:pPr>
            <w:r>
              <w:rPr>
                <w:rFonts w:ascii="DM Sans" w:hAnsi="DM Sans" w:cs="DM Sans"/>
                <w:b w:val="0"/>
                <w:i w:val="0"/>
                <w:color w:val="050C2A"/>
                <w:sz w:val="20"/>
                <w:u w:val="none"/>
              </w:rPr>
              <w:t>0</w:t>
            </w:r>
          </w:p>
        </w:tc>
        <w:tc>
          <w:tcPr>
            <w:tcW w:type="dxa" w:w="5859"/>
            <w:vAlign w:val="center"/>
          </w:tcPr>
          <w:p>
            <w:pPr>
              <w:spacing w:before="30" w:after="30"/>
            </w:pPr>
            <w:r>
              <w:rPr>
                <w:rFonts w:ascii="DM Sans" w:hAnsi="DM Sans" w:cs="DM Sans"/>
                <w:b w:val="0"/>
                <w:i w:val="0"/>
                <w:color w:val="050C2A"/>
                <w:sz w:val="20"/>
                <w:u w:val="none"/>
              </w:rPr>
              <w:t>Not Acceptable</w:t>
            </w:r>
          </w:p>
        </w:tc>
      </w:tr>
    </w:tbl>
    <w:p>
      <w:pPr>
        <w:spacing w:before="0" w:after="120"/>
      </w:pPr>
    </w:p>
    <w:p>
      <w:pPr>
        <w:pStyle w:val="Heading2"/>
        <w:spacing w:before="280" w:after="100"/>
      </w:pPr>
      <w:r>
        <w:rPr>
          <w:rFonts w:ascii="DM Sans" w:hAnsi="DM Sans" w:cs="DM Sans"/>
          <w:b/>
          <w:i w:val="0"/>
          <w:color w:val="050C2A"/>
          <w:sz w:val="28"/>
          <w:u w:val="none"/>
        </w:rPr>
        <w:t>Dimensions</w:t>
      </w:r>
    </w:p>
    <w:p>
      <w:pPr>
        <w:spacing w:before="0" w:after="120" w:line="276" w:lineRule="auto"/>
      </w:pPr>
      <w:r>
        <w:rPr>
          <w:rFonts w:ascii="DM Sans" w:hAnsi="DM Sans" w:cs="DM Sans"/>
          <w:b w:val="0"/>
          <w:i w:val="0"/>
          <w:color w:val="050C2A"/>
          <w:sz w:val="20"/>
          <w:u w:val="none"/>
        </w:rPr>
        <w:t>Four dimensions with unequal weights reflecting the scope of what each assesses.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1775"/>
            <w:shd w:fill="FF7C0A" w:val="clear"/>
            <w:vAlign w:val="center"/>
          </w:tcPr>
          <w:p>
            <w:pPr>
              <w:jc w:val="left"/>
              <w:spacing w:before="40" w:after="40"/>
            </w:pPr>
            <w:r>
              <w:rPr>
                <w:rFonts w:ascii="DM Sans" w:hAnsi="DM Sans" w:cs="DM Sans"/>
                <w:b/>
                <w:i w:val="0"/>
                <w:color w:val="FFFFFF"/>
                <w:sz w:val="20"/>
                <w:u w:val="none"/>
              </w:rPr>
              <w:t>Dimension</w:t>
            </w:r>
          </w:p>
        </w:tc>
        <w:tc>
          <w:tcPr>
            <w:tcW w:type="dxa" w:w="972"/>
            <w:shd w:fill="FF7C0A" w:val="clear"/>
            <w:vAlign w:val="center"/>
          </w:tcPr>
          <w:p>
            <w:pPr>
              <w:jc w:val="left"/>
              <w:spacing w:before="40" w:after="40"/>
            </w:pPr>
            <w:r>
              <w:rPr>
                <w:rFonts w:ascii="DM Sans" w:hAnsi="DM Sans" w:cs="DM Sans"/>
                <w:b/>
                <w:i w:val="0"/>
                <w:color w:val="FFFFFF"/>
                <w:sz w:val="20"/>
                <w:u w:val="none"/>
              </w:rPr>
              <w:t>Weight</w:t>
            </w:r>
          </w:p>
        </w:tc>
        <w:tc>
          <w:tcPr>
            <w:tcW w:type="dxa" w:w="3639"/>
            <w:shd w:fill="FF7C0A" w:val="clear"/>
            <w:vAlign w:val="center"/>
          </w:tcPr>
          <w:p>
            <w:pPr>
              <w:jc w:val="left"/>
              <w:spacing w:before="40" w:after="40"/>
            </w:pPr>
            <w:r>
              <w:rPr>
                <w:rFonts w:ascii="DM Sans" w:hAnsi="DM Sans" w:cs="DM Sans"/>
                <w:b/>
                <w:i w:val="0"/>
                <w:color w:val="FFFFFF"/>
                <w:sz w:val="20"/>
                <w:u w:val="none"/>
              </w:rPr>
              <w:t>Competency → Subskill</w:t>
            </w:r>
          </w:p>
        </w:tc>
        <w:tc>
          <w:tcPr>
            <w:tcW w:type="dxa" w:w="2974"/>
            <w:shd w:fill="FF7C0A" w:val="clear"/>
            <w:vAlign w:val="center"/>
          </w:tcPr>
          <w:p>
            <w:pPr>
              <w:jc w:val="left"/>
              <w:spacing w:before="40" w:after="40"/>
            </w:pPr>
            <w:r>
              <w:rPr>
                <w:rFonts w:ascii="DM Sans" w:hAnsi="DM Sans" w:cs="DM Sans"/>
                <w:b/>
                <w:i w:val="0"/>
                <w:color w:val="FFFFFF"/>
                <w:sz w:val="20"/>
                <w:u w:val="none"/>
              </w:rPr>
              <w:t>Evaluates</w:t>
            </w:r>
          </w:p>
        </w:tc>
      </w:tr>
      <w:tr>
        <w:tc>
          <w:tcPr>
            <w:tcW w:type="dxa" w:w="1775"/>
            <w:vAlign w:val="center"/>
          </w:tcPr>
          <w:p>
            <w:pPr>
              <w:spacing w:before="30" w:after="30"/>
            </w:pPr>
            <w:r>
              <w:rPr>
                <w:rFonts w:ascii="DM Sans" w:hAnsi="DM Sans" w:cs="DM Sans"/>
                <w:b w:val="0"/>
                <w:i w:val="0"/>
                <w:color w:val="050C2A"/>
                <w:sz w:val="20"/>
                <w:u w:val="none"/>
              </w:rPr>
              <w:t>Content &amp; Synthesis</w:t>
            </w:r>
          </w:p>
        </w:tc>
        <w:tc>
          <w:tcPr>
            <w:tcW w:type="dxa" w:w="972"/>
            <w:vAlign w:val="center"/>
          </w:tcPr>
          <w:p>
            <w:pPr>
              <w:spacing w:before="30" w:after="30"/>
            </w:pPr>
            <w:r>
              <w:rPr>
                <w:rFonts w:ascii="DM Sans" w:hAnsi="DM Sans" w:cs="DM Sans"/>
                <w:b w:val="0"/>
                <w:i w:val="0"/>
                <w:color w:val="050C2A"/>
                <w:sz w:val="20"/>
                <w:u w:val="none"/>
              </w:rPr>
              <w:t>30%</w:t>
            </w:r>
          </w:p>
        </w:tc>
        <w:tc>
          <w:tcPr>
            <w:tcW w:type="dxa" w:w="3639"/>
            <w:vAlign w:val="center"/>
          </w:tcPr>
          <w:p>
            <w:pPr>
              <w:spacing w:before="30" w:after="30"/>
            </w:pPr>
            <w:r>
              <w:rPr>
                <w:rFonts w:ascii="DM Sans" w:hAnsi="DM Sans" w:cs="DM Sans"/>
                <w:b w:val="0"/>
                <w:i w:val="0"/>
                <w:color w:val="050C2A"/>
                <w:sz w:val="20"/>
                <w:u w:val="none"/>
              </w:rPr>
              <w:t>Critical Thinking → Problem Framing; Career &amp; Self-Development → Career Articulation</w:t>
            </w:r>
          </w:p>
        </w:tc>
        <w:tc>
          <w:tcPr>
            <w:tcW w:type="dxa" w:w="2974"/>
            <w:vAlign w:val="center"/>
          </w:tcPr>
          <w:p>
            <w:pPr>
              <w:spacing w:before="30" w:after="30"/>
            </w:pPr>
            <w:r>
              <w:rPr>
                <w:rFonts w:ascii="DM Sans" w:hAnsi="DM Sans" w:cs="DM Sans"/>
                <w:b w:val="0"/>
                <w:i w:val="0"/>
                <w:color w:val="050C2A"/>
                <w:sz w:val="20"/>
                <w:u w:val="none"/>
              </w:rPr>
              <w:t>Narrative coherence, synthesis, framing for the employer</w:t>
            </w:r>
          </w:p>
        </w:tc>
      </w:tr>
      <w:tr>
        <w:tc>
          <w:tcPr>
            <w:tcW w:type="dxa" w:w="1775"/>
            <w:shd w:fill="F5F5F5" w:val="clear"/>
            <w:vAlign w:val="center"/>
          </w:tcPr>
          <w:p>
            <w:pPr>
              <w:spacing w:before="30" w:after="30"/>
            </w:pPr>
            <w:r>
              <w:rPr>
                <w:rFonts w:ascii="DM Sans" w:hAnsi="DM Sans" w:cs="DM Sans"/>
                <w:b w:val="0"/>
                <w:i w:val="0"/>
                <w:color w:val="050C2A"/>
                <w:sz w:val="20"/>
                <w:u w:val="none"/>
              </w:rPr>
              <w:t>Delivery &amp; Presence</w:t>
            </w:r>
          </w:p>
        </w:tc>
        <w:tc>
          <w:tcPr>
            <w:tcW w:type="dxa" w:w="972"/>
            <w:shd w:fill="F5F5F5" w:val="clear"/>
            <w:vAlign w:val="center"/>
          </w:tcPr>
          <w:p>
            <w:pPr>
              <w:spacing w:before="30" w:after="30"/>
            </w:pPr>
            <w:r>
              <w:rPr>
                <w:rFonts w:ascii="DM Sans" w:hAnsi="DM Sans" w:cs="DM Sans"/>
                <w:b w:val="0"/>
                <w:i w:val="0"/>
                <w:color w:val="050C2A"/>
                <w:sz w:val="20"/>
                <w:u w:val="none"/>
              </w:rPr>
              <w:t>25%</w:t>
            </w:r>
          </w:p>
        </w:tc>
        <w:tc>
          <w:tcPr>
            <w:tcW w:type="dxa" w:w="3639"/>
            <w:shd w:fill="F5F5F5" w:val="clear"/>
            <w:vAlign w:val="center"/>
          </w:tcPr>
          <w:p>
            <w:pPr>
              <w:spacing w:before="30" w:after="30"/>
            </w:pPr>
            <w:r>
              <w:rPr>
                <w:rFonts w:ascii="DM Sans" w:hAnsi="DM Sans" w:cs="DM Sans"/>
                <w:b w:val="0"/>
                <w:i w:val="0"/>
                <w:color w:val="050C2A"/>
                <w:sz w:val="20"/>
                <w:u w:val="none"/>
              </w:rPr>
              <w:t>Communication → Oral Presentation</w:t>
            </w:r>
          </w:p>
        </w:tc>
        <w:tc>
          <w:tcPr>
            <w:tcW w:type="dxa" w:w="2974"/>
            <w:shd w:fill="F5F5F5" w:val="clear"/>
            <w:vAlign w:val="center"/>
          </w:tcPr>
          <w:p>
            <w:pPr>
              <w:spacing w:before="30" w:after="30"/>
            </w:pPr>
            <w:r>
              <w:rPr>
                <w:rFonts w:ascii="DM Sans" w:hAnsi="DM Sans" w:cs="DM Sans"/>
                <w:b w:val="0"/>
                <w:i w:val="0"/>
                <w:color w:val="050C2A"/>
                <w:sz w:val="20"/>
                <w:u w:val="none"/>
              </w:rPr>
              <w:t>Speaker confidence, clarity, pacing, team coordination</w:t>
            </w:r>
          </w:p>
        </w:tc>
      </w:tr>
      <w:tr>
        <w:tc>
          <w:tcPr>
            <w:tcW w:type="dxa" w:w="1775"/>
            <w:vAlign w:val="center"/>
          </w:tcPr>
          <w:p>
            <w:pPr>
              <w:spacing w:before="30" w:after="30"/>
            </w:pPr>
            <w:r>
              <w:rPr>
                <w:rFonts w:ascii="DM Sans" w:hAnsi="DM Sans" w:cs="DM Sans"/>
                <w:b w:val="0"/>
                <w:i w:val="0"/>
                <w:color w:val="050C2A"/>
                <w:sz w:val="20"/>
                <w:u w:val="none"/>
              </w:rPr>
              <w:t>Q&amp;A Handling</w:t>
            </w:r>
          </w:p>
        </w:tc>
        <w:tc>
          <w:tcPr>
            <w:tcW w:type="dxa" w:w="972"/>
            <w:vAlign w:val="center"/>
          </w:tcPr>
          <w:p>
            <w:pPr>
              <w:spacing w:before="30" w:after="30"/>
            </w:pPr>
            <w:r>
              <w:rPr>
                <w:rFonts w:ascii="DM Sans" w:hAnsi="DM Sans" w:cs="DM Sans"/>
                <w:b w:val="0"/>
                <w:i w:val="0"/>
                <w:color w:val="050C2A"/>
                <w:sz w:val="20"/>
                <w:u w:val="none"/>
              </w:rPr>
              <w:t>25%</w:t>
            </w:r>
          </w:p>
        </w:tc>
        <w:tc>
          <w:tcPr>
            <w:tcW w:type="dxa" w:w="3639"/>
            <w:vAlign w:val="center"/>
          </w:tcPr>
          <w:p>
            <w:pPr>
              <w:spacing w:before="30" w:after="30"/>
            </w:pPr>
            <w:r>
              <w:rPr>
                <w:rFonts w:ascii="DM Sans" w:hAnsi="DM Sans" w:cs="DM Sans"/>
                <w:b w:val="0"/>
                <w:i w:val="0"/>
                <w:color w:val="050C2A"/>
                <w:sz w:val="20"/>
                <w:u w:val="none"/>
              </w:rPr>
              <w:t>Communication → Active Listening; Critical Thinking → Evidence-Based Reasoning</w:t>
            </w:r>
          </w:p>
        </w:tc>
        <w:tc>
          <w:tcPr>
            <w:tcW w:type="dxa" w:w="2974"/>
            <w:vAlign w:val="center"/>
          </w:tcPr>
          <w:p>
            <w:pPr>
              <w:spacing w:before="30" w:after="30"/>
            </w:pPr>
            <w:r>
              <w:rPr>
                <w:rFonts w:ascii="DM Sans" w:hAnsi="DM Sans" w:cs="DM Sans"/>
                <w:b w:val="0"/>
                <w:i w:val="0"/>
                <w:color w:val="050C2A"/>
                <w:sz w:val="20"/>
                <w:u w:val="none"/>
              </w:rPr>
              <w:t>Responsiveness to questions and depth of understanding</w:t>
            </w:r>
          </w:p>
        </w:tc>
      </w:tr>
      <w:tr>
        <w:tc>
          <w:tcPr>
            <w:tcW w:type="dxa" w:w="1775"/>
            <w:shd w:fill="F5F5F5" w:val="clear"/>
            <w:vAlign w:val="center"/>
          </w:tcPr>
          <w:p>
            <w:pPr>
              <w:spacing w:before="30" w:after="30"/>
            </w:pPr>
            <w:r>
              <w:rPr>
                <w:rFonts w:ascii="DM Sans" w:hAnsi="DM Sans" w:cs="DM Sans"/>
                <w:b w:val="0"/>
                <w:i w:val="0"/>
                <w:color w:val="050C2A"/>
                <w:sz w:val="20"/>
                <w:u w:val="none"/>
              </w:rPr>
              <w:t>Visual Communication</w:t>
            </w:r>
          </w:p>
        </w:tc>
        <w:tc>
          <w:tcPr>
            <w:tcW w:type="dxa" w:w="972"/>
            <w:shd w:fill="F5F5F5" w:val="clear"/>
            <w:vAlign w:val="center"/>
          </w:tcPr>
          <w:p>
            <w:pPr>
              <w:spacing w:before="30" w:after="30"/>
            </w:pPr>
            <w:r>
              <w:rPr>
                <w:rFonts w:ascii="DM Sans" w:hAnsi="DM Sans" w:cs="DM Sans"/>
                <w:b w:val="0"/>
                <w:i w:val="0"/>
                <w:color w:val="050C2A"/>
                <w:sz w:val="20"/>
                <w:u w:val="none"/>
              </w:rPr>
              <w:t>20%</w:t>
            </w:r>
          </w:p>
        </w:tc>
        <w:tc>
          <w:tcPr>
            <w:tcW w:type="dxa" w:w="3639"/>
            <w:shd w:fill="F5F5F5" w:val="clear"/>
            <w:vAlign w:val="center"/>
          </w:tcPr>
          <w:p>
            <w:pPr>
              <w:spacing w:before="30" w:after="30"/>
            </w:pPr>
            <w:r>
              <w:rPr>
                <w:rFonts w:ascii="DM Sans" w:hAnsi="DM Sans" w:cs="DM Sans"/>
                <w:b w:val="0"/>
                <w:i w:val="0"/>
                <w:color w:val="050C2A"/>
                <w:sz w:val="20"/>
                <w:u w:val="none"/>
              </w:rPr>
              <w:t>Communication → Oral Presentation; Professionalism → Quality and Attention to Detail</w:t>
            </w:r>
          </w:p>
        </w:tc>
        <w:tc>
          <w:tcPr>
            <w:tcW w:type="dxa" w:w="2974"/>
            <w:shd w:fill="F5F5F5" w:val="clear"/>
            <w:vAlign w:val="center"/>
          </w:tcPr>
          <w:p>
            <w:pPr>
              <w:spacing w:before="30" w:after="30"/>
            </w:pPr>
            <w:r>
              <w:rPr>
                <w:rFonts w:ascii="DM Sans" w:hAnsi="DM Sans" w:cs="DM Sans"/>
                <w:b w:val="0"/>
                <w:i w:val="0"/>
                <w:color w:val="050C2A"/>
                <w:sz w:val="20"/>
                <w:u w:val="none"/>
              </w:rPr>
              <w:t>Slide design and visual support for the narrative</w:t>
            </w:r>
          </w:p>
        </w:tc>
      </w:tr>
    </w:tbl>
    <w:p>
      <w:pPr>
        <w:spacing w:before="0" w:after="120"/>
      </w:pPr>
    </w:p>
    <w:p>
      <w:pPr>
        <w:spacing w:before="0" w:after="120" w:line="276" w:lineRule="auto"/>
      </w:pPr>
      <w:r>
        <w:rPr>
          <w:rFonts w:ascii="DM Sans" w:hAnsi="DM Sans" w:cs="DM Sans"/>
          <w:b/>
          <w:i w:val="0"/>
          <w:color w:val="050C2A"/>
          <w:sz w:val="20"/>
          <w:u w:val="none"/>
        </w:rPr>
        <w:t>A team grade.</w:t>
      </w:r>
      <w:r>
        <w:rPr>
          <w:rFonts w:ascii="DM Sans" w:hAnsi="DM Sans" w:cs="DM Sans"/>
          <w:b w:val="0"/>
          <w:i w:val="0"/>
          <w:color w:val="050C2A"/>
          <w:sz w:val="20"/>
          <w:u w:val="none"/>
        </w:rPr>
        <w:t xml:space="preserve"> The Final Presentation is scored at the team level — every team member receives the same score on each dimension. Delivery &amp; Presence and Q&amp;A Handling assess the team as a coordinated unit (balanced participation, smooth handoffs, shared ownership of questions) rather than rating individual speakers. Individual contributions to team functioning are evaluated separately through peer evaluation in the Professional Engagement grade.</w:t>
      </w:r>
    </w:p>
    <w:p>
      <w:pPr>
        <w:pStyle w:val="Heading2"/>
        <w:spacing w:before="280" w:after="100"/>
      </w:pPr>
      <w:r>
        <w:rPr>
          <w:rFonts w:ascii="DM Sans" w:hAnsi="DM Sans" w:cs="DM Sans"/>
          <w:b/>
          <w:i w:val="0"/>
          <w:color w:val="050C2A"/>
          <w:sz w:val="28"/>
          <w:u w:val="none"/>
        </w:rPr>
        <w:t>Dimension 1: Content &amp; Synthesis</w:t>
      </w:r>
    </w:p>
    <w:p>
      <w:pPr>
        <w:spacing w:before="0" w:after="120" w:line="276" w:lineRule="auto"/>
      </w:pPr>
      <w:r>
        <w:rPr>
          <w:rFonts w:ascii="DM Sans" w:hAnsi="DM Sans" w:cs="DM Sans"/>
          <w:b w:val="0"/>
          <w:i/>
          <w:color w:val="050C2A"/>
          <w:sz w:val="20"/>
          <w:u w:val="none"/>
        </w:rPr>
        <w:t>Critical Thinking → Problem Framing; Career &amp; Self-Development → Career Articulation</w:t>
      </w:r>
      <w:r>
        <w:rPr>
          <w:rFonts w:ascii="DM Sans" w:hAnsi="DM Sans" w:cs="DM Sans"/>
          <w:b w:val="0"/>
          <w:i w:val="0"/>
          <w:color w:val="050C2A"/>
          <w:sz w:val="20"/>
          <w:u w:val="none"/>
        </w:rPr>
        <w:t xml:space="preserve"> </w:t>
      </w:r>
      <w:r>
        <w:rPr>
          <w:rFonts w:ascii="DM Sans" w:hAnsi="DM Sans" w:cs="DM Sans"/>
          <w:b w:val="0"/>
          <w:i/>
          <w:color w:val="050C2A"/>
          <w:sz w:val="20"/>
          <w:u w:val="none"/>
        </w:rPr>
        <w:t>Evaluates narrative coherence, synthesis, and framing for the employer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663"/>
            <w:shd w:fill="FF7C0A" w:val="clear"/>
            <w:vAlign w:val="center"/>
          </w:tcPr>
          <w:p>
            <w:pPr>
              <w:jc w:val="left"/>
              <w:spacing w:before="40" w:after="40"/>
            </w:pPr>
            <w:r>
              <w:rPr>
                <w:rFonts w:ascii="DM Sans" w:hAnsi="DM Sans" w:cs="DM Sans"/>
                <w:b/>
                <w:i w:val="0"/>
                <w:color w:val="FFFFFF"/>
                <w:sz w:val="20"/>
                <w:u w:val="none"/>
              </w:rPr>
              <w:t>Level</w:t>
            </w:r>
          </w:p>
        </w:tc>
        <w:tc>
          <w:tcPr>
            <w:tcW w:type="dxa" w:w="7697"/>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663"/>
            <w:vAlign w:val="center"/>
          </w:tcPr>
          <w:p>
            <w:pPr>
              <w:spacing w:before="30" w:after="30"/>
            </w:pPr>
            <w:r>
              <w:rPr>
                <w:rFonts w:ascii="DM Sans" w:hAnsi="DM Sans" w:cs="DM Sans"/>
                <w:b/>
                <w:i w:val="0"/>
                <w:color w:val="050C2A"/>
                <w:sz w:val="20"/>
                <w:u w:val="none"/>
              </w:rPr>
              <w:t>Exemplary (4)</w:t>
            </w:r>
          </w:p>
        </w:tc>
        <w:tc>
          <w:tcPr>
            <w:tcW w:type="dxa" w:w="7697"/>
            <w:vAlign w:val="center"/>
          </w:tcPr>
          <w:p>
            <w:pPr>
              <w:spacing w:before="30" w:after="30"/>
            </w:pPr>
            <w:r>
              <w:rPr>
                <w:rFonts w:ascii="DM Sans" w:hAnsi="DM Sans" w:cs="DM Sans"/>
                <w:b w:val="0"/>
                <w:i w:val="0"/>
                <w:color w:val="050C2A"/>
                <w:sz w:val="20"/>
                <w:u w:val="none"/>
              </w:rPr>
              <w:t>The presentation tells a compelling, well-structured story that goes beyond reporting activities to frame what the team found and why it matters to the employer. The narrative arc is clear — problem, approach, key findings, implications — without the audience needing to read the deliverable. Synthesis is evident: complex work is distilled into the insights that matter most. The framing demonstrates sophisticated understanding of the employer's context and priorities.</w:t>
            </w:r>
          </w:p>
        </w:tc>
      </w:tr>
      <w:tr>
        <w:tc>
          <w:tcPr>
            <w:tcW w:type="dxa" w:w="1663"/>
            <w:shd w:fill="F5F5F5" w:val="clear"/>
            <w:vAlign w:val="center"/>
          </w:tcPr>
          <w:p>
            <w:pPr>
              <w:spacing w:before="30" w:after="30"/>
            </w:pPr>
            <w:r>
              <w:rPr>
                <w:rFonts w:ascii="DM Sans" w:hAnsi="DM Sans" w:cs="DM Sans"/>
                <w:b/>
                <w:i w:val="0"/>
                <w:color w:val="050C2A"/>
                <w:sz w:val="20"/>
                <w:u w:val="none"/>
              </w:rPr>
              <w:t>Proficient (3)</w:t>
            </w:r>
          </w:p>
        </w:tc>
        <w:tc>
          <w:tcPr>
            <w:tcW w:type="dxa" w:w="7697"/>
            <w:shd w:fill="F5F5F5" w:val="clear"/>
            <w:vAlign w:val="center"/>
          </w:tcPr>
          <w:p>
            <w:pPr>
              <w:spacing w:before="30" w:after="30"/>
            </w:pPr>
            <w:r>
              <w:rPr>
                <w:rFonts w:ascii="DM Sans" w:hAnsi="DM Sans" w:cs="DM Sans"/>
                <w:b w:val="0"/>
                <w:i w:val="0"/>
                <w:color w:val="050C2A"/>
                <w:sz w:val="20"/>
                <w:u w:val="none"/>
              </w:rPr>
              <w:t>The presentation has a clear narrative structure covering what the team was asked to do, how they approached it, what they found, and what they recommend. The audience can follow the story from beginning to end. Findings are presented at an appropriate level of detail — enough to be substantive, not a read-through of the deliverable. The work is framed in terms relevant to the employer.</w:t>
            </w:r>
          </w:p>
        </w:tc>
      </w:tr>
      <w:tr>
        <w:tc>
          <w:tcPr>
            <w:tcW w:type="dxa" w:w="1663"/>
            <w:vAlign w:val="center"/>
          </w:tcPr>
          <w:p>
            <w:pPr>
              <w:spacing w:before="30" w:after="30"/>
            </w:pPr>
            <w:r>
              <w:rPr>
                <w:rFonts w:ascii="DM Sans" w:hAnsi="DM Sans" w:cs="DM Sans"/>
                <w:b/>
                <w:i w:val="0"/>
                <w:color w:val="050C2A"/>
                <w:sz w:val="20"/>
                <w:u w:val="none"/>
              </w:rPr>
              <w:t>Developing (2)</w:t>
            </w:r>
          </w:p>
        </w:tc>
        <w:tc>
          <w:tcPr>
            <w:tcW w:type="dxa" w:w="7697"/>
            <w:vAlign w:val="center"/>
          </w:tcPr>
          <w:p>
            <w:pPr>
              <w:spacing w:before="30" w:after="30"/>
            </w:pPr>
            <w:r>
              <w:rPr>
                <w:rFonts w:ascii="DM Sans" w:hAnsi="DM Sans" w:cs="DM Sans"/>
                <w:b w:val="0"/>
                <w:i w:val="0"/>
                <w:color w:val="050C2A"/>
                <w:sz w:val="20"/>
                <w:u w:val="none"/>
              </w:rPr>
              <w:t>The presentation covers the project but reads more as a sequential report of activities than a synthesized narrative. The audience gets the information but has to assemble the story themselves. Key findings or recommendations may be present but are not clearly framed in terms of what matters to the employer. Some sections may be too detailed while others are underdeveloped.</w:t>
            </w:r>
          </w:p>
        </w:tc>
      </w:tr>
      <w:tr>
        <w:tc>
          <w:tcPr>
            <w:tcW w:type="dxa" w:w="1663"/>
            <w:shd w:fill="F5F5F5" w:val="clear"/>
            <w:vAlign w:val="center"/>
          </w:tcPr>
          <w:p>
            <w:pPr>
              <w:spacing w:before="30" w:after="30"/>
            </w:pPr>
            <w:r>
              <w:rPr>
                <w:rFonts w:ascii="DM Sans" w:hAnsi="DM Sans" w:cs="DM Sans"/>
                <w:b/>
                <w:i w:val="0"/>
                <w:color w:val="050C2A"/>
                <w:sz w:val="20"/>
                <w:u w:val="none"/>
              </w:rPr>
              <w:t>Emerging (1)</w:t>
            </w:r>
          </w:p>
        </w:tc>
        <w:tc>
          <w:tcPr>
            <w:tcW w:type="dxa" w:w="7697"/>
            <w:shd w:fill="F5F5F5" w:val="clear"/>
            <w:vAlign w:val="center"/>
          </w:tcPr>
          <w:p>
            <w:pPr>
              <w:spacing w:before="30" w:after="30"/>
            </w:pPr>
            <w:r>
              <w:rPr>
                <w:rFonts w:ascii="DM Sans" w:hAnsi="DM Sans" w:cs="DM Sans"/>
                <w:b w:val="0"/>
                <w:i w:val="0"/>
                <w:color w:val="050C2A"/>
                <w:sz w:val="20"/>
                <w:u w:val="none"/>
              </w:rPr>
              <w:t>The presentation lacks a coherent narrative. Content is disorganized, key elements are missing, or the presentation reads as a loosely connected series of updates. The audience would struggle to understand what the team accomplished or why it matters.</w:t>
            </w:r>
          </w:p>
        </w:tc>
      </w:tr>
      <w:tr>
        <w:tc>
          <w:tcPr>
            <w:tcW w:type="dxa" w:w="1663"/>
            <w:vAlign w:val="center"/>
          </w:tcPr>
          <w:p>
            <w:pPr>
              <w:spacing w:before="30" w:after="30"/>
            </w:pPr>
            <w:r>
              <w:rPr>
                <w:rFonts w:ascii="DM Sans" w:hAnsi="DM Sans" w:cs="DM Sans"/>
                <w:b/>
                <w:i w:val="0"/>
                <w:color w:val="050C2A"/>
                <w:sz w:val="20"/>
                <w:u w:val="none"/>
              </w:rPr>
              <w:t>Not Acceptable (0)</w:t>
            </w:r>
          </w:p>
        </w:tc>
        <w:tc>
          <w:tcPr>
            <w:tcW w:type="dxa" w:w="7697"/>
            <w:vAlign w:val="center"/>
          </w:tcPr>
          <w:p>
            <w:pPr>
              <w:spacing w:before="30" w:after="30"/>
            </w:pPr>
            <w:r>
              <w:rPr>
                <w:rFonts w:ascii="DM Sans" w:hAnsi="DM Sans" w:cs="DM Sans"/>
                <w:b w:val="0"/>
                <w:i w:val="0"/>
                <w:color w:val="050C2A"/>
                <w:sz w:val="20"/>
                <w:u w:val="none"/>
              </w:rPr>
              <w:t>No meaningful attempt to communicate the project work. The content presented does not constitute a synthesis or narrative of the team's work.</w:t>
            </w:r>
          </w:p>
        </w:tc>
      </w:tr>
    </w:tbl>
    <w:p>
      <w:pPr>
        <w:spacing w:before="0" w:after="120"/>
      </w:pPr>
    </w:p>
    <w:p>
      <w:pPr>
        <w:pStyle w:val="Heading2"/>
        <w:spacing w:before="280" w:after="100"/>
      </w:pPr>
      <w:r>
        <w:rPr>
          <w:rFonts w:ascii="DM Sans" w:hAnsi="DM Sans" w:cs="DM Sans"/>
          <w:b/>
          <w:i w:val="0"/>
          <w:color w:val="050C2A"/>
          <w:sz w:val="28"/>
          <w:u w:val="none"/>
        </w:rPr>
        <w:t>Dimension 2: Delivery &amp; Presence</w:t>
      </w:r>
    </w:p>
    <w:p>
      <w:pPr>
        <w:spacing w:before="0" w:after="120" w:line="276" w:lineRule="auto"/>
      </w:pPr>
      <w:r>
        <w:rPr>
          <w:rFonts w:ascii="DM Sans" w:hAnsi="DM Sans" w:cs="DM Sans"/>
          <w:b w:val="0"/>
          <w:i/>
          <w:color w:val="050C2A"/>
          <w:sz w:val="20"/>
          <w:u w:val="none"/>
        </w:rPr>
        <w:t>Communication → Oral Presentation</w:t>
      </w:r>
      <w:r>
        <w:rPr>
          <w:rFonts w:ascii="DM Sans" w:hAnsi="DM Sans" w:cs="DM Sans"/>
          <w:b w:val="0"/>
          <w:i w:val="0"/>
          <w:color w:val="050C2A"/>
          <w:sz w:val="20"/>
          <w:u w:val="none"/>
        </w:rPr>
        <w:t xml:space="preserve"> </w:t>
      </w:r>
      <w:r>
        <w:rPr>
          <w:rFonts w:ascii="DM Sans" w:hAnsi="DM Sans" w:cs="DM Sans"/>
          <w:b w:val="0"/>
          <w:i/>
          <w:color w:val="050C2A"/>
          <w:sz w:val="20"/>
          <w:u w:val="none"/>
        </w:rPr>
        <w:t>Evaluates speaker confidence, clarity, pacing, and team coordination</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744"/>
            <w:shd w:fill="FF7C0A" w:val="clear"/>
            <w:vAlign w:val="center"/>
          </w:tcPr>
          <w:p>
            <w:pPr>
              <w:jc w:val="left"/>
              <w:spacing w:before="40" w:after="40"/>
            </w:pPr>
            <w:r>
              <w:rPr>
                <w:rFonts w:ascii="DM Sans" w:hAnsi="DM Sans" w:cs="DM Sans"/>
                <w:b/>
                <w:i w:val="0"/>
                <w:color w:val="FFFFFF"/>
                <w:sz w:val="20"/>
                <w:u w:val="none"/>
              </w:rPr>
              <w:t>Level</w:t>
            </w:r>
          </w:p>
        </w:tc>
        <w:tc>
          <w:tcPr>
            <w:tcW w:type="dxa" w:w="7616"/>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744"/>
            <w:vAlign w:val="center"/>
          </w:tcPr>
          <w:p>
            <w:pPr>
              <w:spacing w:before="30" w:after="30"/>
            </w:pPr>
            <w:r>
              <w:rPr>
                <w:rFonts w:ascii="DM Sans" w:hAnsi="DM Sans" w:cs="DM Sans"/>
                <w:b/>
                <w:i w:val="0"/>
                <w:color w:val="050C2A"/>
                <w:sz w:val="20"/>
                <w:u w:val="none"/>
              </w:rPr>
              <w:t>Exemplary (4)</w:t>
            </w:r>
          </w:p>
        </w:tc>
        <w:tc>
          <w:tcPr>
            <w:tcW w:type="dxa" w:w="7616"/>
            <w:vAlign w:val="center"/>
          </w:tcPr>
          <w:p>
            <w:pPr>
              <w:spacing w:before="30" w:after="30"/>
            </w:pPr>
            <w:r>
              <w:rPr>
                <w:rFonts w:ascii="DM Sans" w:hAnsi="DM Sans" w:cs="DM Sans"/>
                <w:b w:val="0"/>
                <w:i w:val="0"/>
                <w:color w:val="050C2A"/>
                <w:sz w:val="20"/>
                <w:u w:val="none"/>
              </w:rPr>
              <w:t>Speakers are confident, well-paced, and engaging. They speak to the audience rather than reading from notes or slides. The team presents as a coordinated unit — handoffs are smooth, participation is balanced, and the presentation feels like one coherent delivery rather than separate segments stitched together. Speakers adjust their delivery based on audience cues. The overall impression is professional and polished.</w:t>
            </w:r>
          </w:p>
        </w:tc>
      </w:tr>
      <w:tr>
        <w:tc>
          <w:tcPr>
            <w:tcW w:type="dxa" w:w="1744"/>
            <w:shd w:fill="F5F5F5" w:val="clear"/>
            <w:vAlign w:val="center"/>
          </w:tcPr>
          <w:p>
            <w:pPr>
              <w:spacing w:before="30" w:after="30"/>
            </w:pPr>
            <w:r>
              <w:rPr>
                <w:rFonts w:ascii="DM Sans" w:hAnsi="DM Sans" w:cs="DM Sans"/>
                <w:b/>
                <w:i w:val="0"/>
                <w:color w:val="050C2A"/>
                <w:sz w:val="20"/>
                <w:u w:val="none"/>
              </w:rPr>
              <w:t>Proficient (3)</w:t>
            </w:r>
          </w:p>
        </w:tc>
        <w:tc>
          <w:tcPr>
            <w:tcW w:type="dxa" w:w="7616"/>
            <w:shd w:fill="F5F5F5" w:val="clear"/>
            <w:vAlign w:val="center"/>
          </w:tcPr>
          <w:p>
            <w:pPr>
              <w:spacing w:before="30" w:after="30"/>
            </w:pPr>
            <w:r>
              <w:rPr>
                <w:rFonts w:ascii="DM Sans" w:hAnsi="DM Sans" w:cs="DM Sans"/>
                <w:b w:val="0"/>
                <w:i w:val="0"/>
                <w:color w:val="050C2A"/>
                <w:sz w:val="20"/>
                <w:u w:val="none"/>
              </w:rPr>
              <w:t>Speakers are clear and generally confident. They rely on notes occasionally but maintain audience engagement. The team coordinates effectively — handoffs work, each member has a meaningful role, and the presentation flows as a unit. Minor delivery issues (occasional filler words, uneven pacing) do not significantly distract.</w:t>
            </w:r>
          </w:p>
        </w:tc>
      </w:tr>
      <w:tr>
        <w:tc>
          <w:tcPr>
            <w:tcW w:type="dxa" w:w="1744"/>
            <w:vAlign w:val="center"/>
          </w:tcPr>
          <w:p>
            <w:pPr>
              <w:spacing w:before="30" w:after="30"/>
            </w:pPr>
            <w:r>
              <w:rPr>
                <w:rFonts w:ascii="DM Sans" w:hAnsi="DM Sans" w:cs="DM Sans"/>
                <w:b/>
                <w:i w:val="0"/>
                <w:color w:val="050C2A"/>
                <w:sz w:val="20"/>
                <w:u w:val="none"/>
              </w:rPr>
              <w:t>Developing (2)</w:t>
            </w:r>
          </w:p>
        </w:tc>
        <w:tc>
          <w:tcPr>
            <w:tcW w:type="dxa" w:w="7616"/>
            <w:vAlign w:val="center"/>
          </w:tcPr>
          <w:p>
            <w:pPr>
              <w:spacing w:before="30" w:after="30"/>
            </w:pPr>
            <w:r>
              <w:rPr>
                <w:rFonts w:ascii="DM Sans" w:hAnsi="DM Sans" w:cs="DM Sans"/>
                <w:b w:val="0"/>
                <w:i w:val="0"/>
                <w:color w:val="050C2A"/>
                <w:sz w:val="20"/>
                <w:u w:val="none"/>
              </w:rPr>
              <w:t>Speakers are understandable but delivery issues are noticeable — heavy reliance on notes, uneven pacing, or visible discomfort. Team coordination is uneven: one speaker may dominate, handoffs may be awkward, or sections feel disconnected. The audience can follow but the delivery detracts from the content.</w:t>
            </w:r>
          </w:p>
        </w:tc>
      </w:tr>
      <w:tr>
        <w:tc>
          <w:tcPr>
            <w:tcW w:type="dxa" w:w="1744"/>
            <w:shd w:fill="F5F5F5" w:val="clear"/>
            <w:vAlign w:val="center"/>
          </w:tcPr>
          <w:p>
            <w:pPr>
              <w:spacing w:before="30" w:after="30"/>
            </w:pPr>
            <w:r>
              <w:rPr>
                <w:rFonts w:ascii="DM Sans" w:hAnsi="DM Sans" w:cs="DM Sans"/>
                <w:b/>
                <w:i w:val="0"/>
                <w:color w:val="050C2A"/>
                <w:sz w:val="20"/>
                <w:u w:val="none"/>
              </w:rPr>
              <w:t>Emerging (1)</w:t>
            </w:r>
          </w:p>
        </w:tc>
        <w:tc>
          <w:tcPr>
            <w:tcW w:type="dxa" w:w="7616"/>
            <w:shd w:fill="F5F5F5" w:val="clear"/>
            <w:vAlign w:val="center"/>
          </w:tcPr>
          <w:p>
            <w:pPr>
              <w:spacing w:before="30" w:after="30"/>
            </w:pPr>
            <w:r>
              <w:rPr>
                <w:rFonts w:ascii="DM Sans" w:hAnsi="DM Sans" w:cs="DM Sans"/>
                <w:b w:val="0"/>
                <w:i w:val="0"/>
                <w:color w:val="050C2A"/>
                <w:sz w:val="20"/>
                <w:u w:val="none"/>
              </w:rPr>
              <w:t>Speakers struggle with delivery — reading directly from slides or notes, speaking too quickly or quietly, or appearing unprepared. The team does not function as a coordinated unit: one person may present almost everything, handoffs are disjointed, or participation is clearly unbalanced. The delivery significantly impedes the audience's ability to engage with the content.</w:t>
            </w:r>
          </w:p>
        </w:tc>
      </w:tr>
      <w:tr>
        <w:tc>
          <w:tcPr>
            <w:tcW w:type="dxa" w:w="1744"/>
            <w:vAlign w:val="center"/>
          </w:tcPr>
          <w:p>
            <w:pPr>
              <w:spacing w:before="30" w:after="30"/>
            </w:pPr>
            <w:r>
              <w:rPr>
                <w:rFonts w:ascii="DM Sans" w:hAnsi="DM Sans" w:cs="DM Sans"/>
                <w:b/>
                <w:i w:val="0"/>
                <w:color w:val="050C2A"/>
                <w:sz w:val="20"/>
                <w:u w:val="none"/>
              </w:rPr>
              <w:t>Not Acceptable (0)</w:t>
            </w:r>
          </w:p>
        </w:tc>
        <w:tc>
          <w:tcPr>
            <w:tcW w:type="dxa" w:w="7616"/>
            <w:vAlign w:val="center"/>
          </w:tcPr>
          <w:p>
            <w:pPr>
              <w:spacing w:before="30" w:after="30"/>
            </w:pPr>
            <w:r>
              <w:rPr>
                <w:rFonts w:ascii="DM Sans" w:hAnsi="DM Sans" w:cs="DM Sans"/>
                <w:b w:val="0"/>
                <w:i w:val="0"/>
                <w:color w:val="050C2A"/>
                <w:sz w:val="20"/>
                <w:u w:val="none"/>
              </w:rPr>
              <w:t>No meaningful attempt at professional delivery. Speakers were unintelligible, entirely unprepared, or the presentation could not be evaluated as a spoken communication.</w:t>
            </w:r>
          </w:p>
        </w:tc>
      </w:tr>
    </w:tbl>
    <w:p>
      <w:pPr>
        <w:spacing w:before="0" w:after="120"/>
      </w:pPr>
    </w:p>
    <w:p>
      <w:pPr>
        <w:pStyle w:val="Heading2"/>
        <w:spacing w:before="280" w:after="100"/>
      </w:pPr>
      <w:r>
        <w:rPr>
          <w:rFonts w:ascii="DM Sans" w:hAnsi="DM Sans" w:cs="DM Sans"/>
          <w:b/>
          <w:i w:val="0"/>
          <w:color w:val="050C2A"/>
          <w:sz w:val="28"/>
          <w:u w:val="none"/>
        </w:rPr>
        <w:t>Dimension 3: Q&amp;A Handling</w:t>
      </w:r>
    </w:p>
    <w:p>
      <w:pPr>
        <w:spacing w:before="0" w:after="120" w:line="276" w:lineRule="auto"/>
      </w:pPr>
      <w:r>
        <w:rPr>
          <w:rFonts w:ascii="DM Sans" w:hAnsi="DM Sans" w:cs="DM Sans"/>
          <w:b w:val="0"/>
          <w:i/>
          <w:color w:val="050C2A"/>
          <w:sz w:val="20"/>
          <w:u w:val="none"/>
        </w:rPr>
        <w:t>Communication → Active Listening; Critical Thinking → Evidence-Based Reasoning</w:t>
      </w:r>
      <w:r>
        <w:rPr>
          <w:rFonts w:ascii="DM Sans" w:hAnsi="DM Sans" w:cs="DM Sans"/>
          <w:b w:val="0"/>
          <w:i w:val="0"/>
          <w:color w:val="050C2A"/>
          <w:sz w:val="20"/>
          <w:u w:val="none"/>
        </w:rPr>
        <w:t xml:space="preserve"> </w:t>
      </w:r>
      <w:r>
        <w:rPr>
          <w:rFonts w:ascii="DM Sans" w:hAnsi="DM Sans" w:cs="DM Sans"/>
          <w:b w:val="0"/>
          <w:i/>
          <w:color w:val="050C2A"/>
          <w:sz w:val="20"/>
          <w:u w:val="none"/>
        </w:rPr>
        <w:t>Evaluates responsiveness to questions and depth of understanding</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635"/>
            <w:shd w:fill="FF7C0A" w:val="clear"/>
            <w:vAlign w:val="center"/>
          </w:tcPr>
          <w:p>
            <w:pPr>
              <w:jc w:val="left"/>
              <w:spacing w:before="40" w:after="40"/>
            </w:pPr>
            <w:r>
              <w:rPr>
                <w:rFonts w:ascii="DM Sans" w:hAnsi="DM Sans" w:cs="DM Sans"/>
                <w:b/>
                <w:i w:val="0"/>
                <w:color w:val="FFFFFF"/>
                <w:sz w:val="20"/>
                <w:u w:val="none"/>
              </w:rPr>
              <w:t>Level</w:t>
            </w:r>
          </w:p>
        </w:tc>
        <w:tc>
          <w:tcPr>
            <w:tcW w:type="dxa" w:w="7725"/>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635"/>
            <w:vAlign w:val="center"/>
          </w:tcPr>
          <w:p>
            <w:pPr>
              <w:spacing w:before="30" w:after="30"/>
            </w:pPr>
            <w:r>
              <w:rPr>
                <w:rFonts w:ascii="DM Sans" w:hAnsi="DM Sans" w:cs="DM Sans"/>
                <w:b/>
                <w:i w:val="0"/>
                <w:color w:val="050C2A"/>
                <w:sz w:val="20"/>
                <w:u w:val="none"/>
              </w:rPr>
              <w:t>Exemplary (4)</w:t>
            </w:r>
          </w:p>
        </w:tc>
        <w:tc>
          <w:tcPr>
            <w:tcW w:type="dxa" w:w="7725"/>
            <w:vAlign w:val="center"/>
          </w:tcPr>
          <w:p>
            <w:pPr>
              <w:spacing w:before="30" w:after="30"/>
            </w:pPr>
            <w:r>
              <w:rPr>
                <w:rFonts w:ascii="DM Sans" w:hAnsi="DM Sans" w:cs="DM Sans"/>
                <w:b w:val="0"/>
                <w:i w:val="0"/>
                <w:color w:val="050C2A"/>
                <w:sz w:val="20"/>
                <w:u w:val="none"/>
              </w:rPr>
              <w:t>The team listens carefully to questions and responds to what was actually asked, not a rehearsed approximation. Answers demonstrate deep understanding of the research, analysis, and recommendations — speakers can explain the reasoning behind the work, not just restate conclusions. When a question goes beyond the prepared content, the team engages thoughtfully rather than deflecting. Multiple team members contribute. Limitations or uncertainty are acknowledged honestly where appropriate.</w:t>
            </w:r>
          </w:p>
        </w:tc>
      </w:tr>
      <w:tr>
        <w:tc>
          <w:tcPr>
            <w:tcW w:type="dxa" w:w="1635"/>
            <w:shd w:fill="F5F5F5" w:val="clear"/>
            <w:vAlign w:val="center"/>
          </w:tcPr>
          <w:p>
            <w:pPr>
              <w:spacing w:before="30" w:after="30"/>
            </w:pPr>
            <w:r>
              <w:rPr>
                <w:rFonts w:ascii="DM Sans" w:hAnsi="DM Sans" w:cs="DM Sans"/>
                <w:b/>
                <w:i w:val="0"/>
                <w:color w:val="050C2A"/>
                <w:sz w:val="20"/>
                <w:u w:val="none"/>
              </w:rPr>
              <w:t>Proficient (3)</w:t>
            </w:r>
          </w:p>
        </w:tc>
        <w:tc>
          <w:tcPr>
            <w:tcW w:type="dxa" w:w="7725"/>
            <w:shd w:fill="F5F5F5" w:val="clear"/>
            <w:vAlign w:val="center"/>
          </w:tcPr>
          <w:p>
            <w:pPr>
              <w:spacing w:before="30" w:after="30"/>
            </w:pPr>
            <w:r>
              <w:rPr>
                <w:rFonts w:ascii="DM Sans" w:hAnsi="DM Sans" w:cs="DM Sans"/>
                <w:b w:val="0"/>
                <w:i w:val="0"/>
                <w:color w:val="050C2A"/>
                <w:sz w:val="20"/>
                <w:u w:val="none"/>
              </w:rPr>
              <w:t>The team listens to questions and provides relevant, substantive responses. Answers reflect genuine understanding of the work — speakers can explain their reasoning when asked. Most questions are handled competently, though some responses may lack depth or specificity. Team members share Q&amp;A responsibility. Honest acknowledgment of uncertainty is present when relevant.</w:t>
            </w:r>
          </w:p>
        </w:tc>
      </w:tr>
      <w:tr>
        <w:tc>
          <w:tcPr>
            <w:tcW w:type="dxa" w:w="1635"/>
            <w:vAlign w:val="center"/>
          </w:tcPr>
          <w:p>
            <w:pPr>
              <w:spacing w:before="30" w:after="30"/>
            </w:pPr>
            <w:r>
              <w:rPr>
                <w:rFonts w:ascii="DM Sans" w:hAnsi="DM Sans" w:cs="DM Sans"/>
                <w:b/>
                <w:i w:val="0"/>
                <w:color w:val="050C2A"/>
                <w:sz w:val="20"/>
                <w:u w:val="none"/>
              </w:rPr>
              <w:t>Developing (2)</w:t>
            </w:r>
          </w:p>
        </w:tc>
        <w:tc>
          <w:tcPr>
            <w:tcW w:type="dxa" w:w="7725"/>
            <w:vAlign w:val="center"/>
          </w:tcPr>
          <w:p>
            <w:pPr>
              <w:spacing w:before="30" w:after="30"/>
            </w:pPr>
            <w:r>
              <w:rPr>
                <w:rFonts w:ascii="DM Sans" w:hAnsi="DM Sans" w:cs="DM Sans"/>
                <w:b w:val="0"/>
                <w:i w:val="0"/>
                <w:color w:val="050C2A"/>
                <w:sz w:val="20"/>
                <w:u w:val="none"/>
              </w:rPr>
              <w:t>Responses address questions but sometimes miss the point or default to rehearsed talking points rather than engaging with the specific question asked. Some answers reveal surface-level understanding — the speaker can restate findings but struggles to explain the reasoning behind them. Q&amp;A may fall disproportionately on one team member. The team may avoid acknowledging uncertainty.</w:t>
            </w:r>
          </w:p>
        </w:tc>
      </w:tr>
      <w:tr>
        <w:tc>
          <w:tcPr>
            <w:tcW w:type="dxa" w:w="1635"/>
            <w:shd w:fill="F5F5F5" w:val="clear"/>
            <w:vAlign w:val="center"/>
          </w:tcPr>
          <w:p>
            <w:pPr>
              <w:spacing w:before="30" w:after="30"/>
            </w:pPr>
            <w:r>
              <w:rPr>
                <w:rFonts w:ascii="DM Sans" w:hAnsi="DM Sans" w:cs="DM Sans"/>
                <w:b/>
                <w:i w:val="0"/>
                <w:color w:val="050C2A"/>
                <w:sz w:val="20"/>
                <w:u w:val="none"/>
              </w:rPr>
              <w:t>Emerging (1)</w:t>
            </w:r>
          </w:p>
        </w:tc>
        <w:tc>
          <w:tcPr>
            <w:tcW w:type="dxa" w:w="7725"/>
            <w:shd w:fill="F5F5F5" w:val="clear"/>
            <w:vAlign w:val="center"/>
          </w:tcPr>
          <w:p>
            <w:pPr>
              <w:spacing w:before="30" w:after="30"/>
            </w:pPr>
            <w:r>
              <w:rPr>
                <w:rFonts w:ascii="DM Sans" w:hAnsi="DM Sans" w:cs="DM Sans"/>
                <w:b w:val="0"/>
                <w:i w:val="0"/>
                <w:color w:val="050C2A"/>
                <w:sz w:val="20"/>
                <w:u w:val="none"/>
              </w:rPr>
              <w:t>Responses are frequently off-target, vague, or reveal that speakers cannot explain their own team's work. Questions are deflected, answered with rehearsed content that doesn't address what was asked, or met with visible confusion. Q&amp;A is handled by one person while others remain silent.</w:t>
            </w:r>
          </w:p>
        </w:tc>
      </w:tr>
      <w:tr>
        <w:tc>
          <w:tcPr>
            <w:tcW w:type="dxa" w:w="1635"/>
            <w:vAlign w:val="center"/>
          </w:tcPr>
          <w:p>
            <w:pPr>
              <w:spacing w:before="30" w:after="30"/>
            </w:pPr>
            <w:r>
              <w:rPr>
                <w:rFonts w:ascii="DM Sans" w:hAnsi="DM Sans" w:cs="DM Sans"/>
                <w:b/>
                <w:i w:val="0"/>
                <w:color w:val="050C2A"/>
                <w:sz w:val="20"/>
                <w:u w:val="none"/>
              </w:rPr>
              <w:t>Not Acceptable (0)</w:t>
            </w:r>
          </w:p>
        </w:tc>
        <w:tc>
          <w:tcPr>
            <w:tcW w:type="dxa" w:w="7725"/>
            <w:vAlign w:val="center"/>
          </w:tcPr>
          <w:p>
            <w:pPr>
              <w:spacing w:before="30" w:after="30"/>
            </w:pPr>
            <w:r>
              <w:rPr>
                <w:rFonts w:ascii="DM Sans" w:hAnsi="DM Sans" w:cs="DM Sans"/>
                <w:b w:val="0"/>
                <w:i w:val="0"/>
                <w:color w:val="050C2A"/>
                <w:sz w:val="20"/>
                <w:u w:val="none"/>
              </w:rPr>
              <w:t>No meaningful attempt to engage in Q&amp;A. The team was unable or unwilling to respond to questions about their work.</w:t>
            </w:r>
          </w:p>
        </w:tc>
      </w:tr>
    </w:tbl>
    <w:p>
      <w:pPr>
        <w:spacing w:before="0" w:after="120"/>
      </w:pPr>
    </w:p>
    <w:p>
      <w:pPr>
        <w:pStyle w:val="Heading2"/>
        <w:spacing w:before="280" w:after="100"/>
      </w:pPr>
      <w:r>
        <w:rPr>
          <w:rFonts w:ascii="DM Sans" w:hAnsi="DM Sans" w:cs="DM Sans"/>
          <w:b/>
          <w:i w:val="0"/>
          <w:color w:val="050C2A"/>
          <w:sz w:val="28"/>
          <w:u w:val="none"/>
        </w:rPr>
        <w:t>Dimension 4: Visual Communication</w:t>
      </w:r>
    </w:p>
    <w:p>
      <w:pPr>
        <w:spacing w:before="0" w:after="120" w:line="276" w:lineRule="auto"/>
      </w:pPr>
      <w:r>
        <w:rPr>
          <w:rFonts w:ascii="DM Sans" w:hAnsi="DM Sans" w:cs="DM Sans"/>
          <w:b w:val="0"/>
          <w:i/>
          <w:color w:val="050C2A"/>
          <w:sz w:val="20"/>
          <w:u w:val="none"/>
        </w:rPr>
        <w:t>Communication → Oral Presentation; Professionalism → Quality and Attention to Detail</w:t>
      </w:r>
      <w:r>
        <w:rPr>
          <w:rFonts w:ascii="DM Sans" w:hAnsi="DM Sans" w:cs="DM Sans"/>
          <w:b w:val="0"/>
          <w:i w:val="0"/>
          <w:color w:val="050C2A"/>
          <w:sz w:val="20"/>
          <w:u w:val="none"/>
        </w:rPr>
        <w:t xml:space="preserve"> </w:t>
      </w:r>
      <w:r>
        <w:rPr>
          <w:rFonts w:ascii="DM Sans" w:hAnsi="DM Sans" w:cs="DM Sans"/>
          <w:b w:val="0"/>
          <w:i/>
          <w:color w:val="050C2A"/>
          <w:sz w:val="20"/>
          <w:u w:val="none"/>
        </w:rPr>
        <w:t>Evaluates slide design and visual support for the narrative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828"/>
            <w:shd w:fill="FF7C0A" w:val="clear"/>
            <w:vAlign w:val="center"/>
          </w:tcPr>
          <w:p>
            <w:pPr>
              <w:jc w:val="left"/>
              <w:spacing w:before="40" w:after="40"/>
            </w:pPr>
            <w:r>
              <w:rPr>
                <w:rFonts w:ascii="DM Sans" w:hAnsi="DM Sans" w:cs="DM Sans"/>
                <w:b/>
                <w:i w:val="0"/>
                <w:color w:val="FFFFFF"/>
                <w:sz w:val="20"/>
                <w:u w:val="none"/>
              </w:rPr>
              <w:t>Level</w:t>
            </w:r>
          </w:p>
        </w:tc>
        <w:tc>
          <w:tcPr>
            <w:tcW w:type="dxa" w:w="7532"/>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828"/>
            <w:vAlign w:val="center"/>
          </w:tcPr>
          <w:p>
            <w:pPr>
              <w:spacing w:before="30" w:after="30"/>
            </w:pPr>
            <w:r>
              <w:rPr>
                <w:rFonts w:ascii="DM Sans" w:hAnsi="DM Sans" w:cs="DM Sans"/>
                <w:b/>
                <w:i w:val="0"/>
                <w:color w:val="050C2A"/>
                <w:sz w:val="20"/>
                <w:u w:val="none"/>
              </w:rPr>
              <w:t>Exemplary (4)</w:t>
            </w:r>
          </w:p>
        </w:tc>
        <w:tc>
          <w:tcPr>
            <w:tcW w:type="dxa" w:w="7532"/>
            <w:vAlign w:val="center"/>
          </w:tcPr>
          <w:p>
            <w:pPr>
              <w:spacing w:before="30" w:after="30"/>
            </w:pPr>
            <w:r>
              <w:rPr>
                <w:rFonts w:ascii="DM Sans" w:hAnsi="DM Sans" w:cs="DM Sans"/>
                <w:b w:val="0"/>
                <w:i w:val="0"/>
                <w:color w:val="050C2A"/>
                <w:sz w:val="20"/>
                <w:u w:val="none"/>
              </w:rPr>
              <w:t>Slides enhance the presentation rather than duplicating it — they visualize key data, reinforce the narrative structure, and give the audience visual anchors for complex points. Design is clean, consistent, and professional. Text is minimal and purposeful; the slides are not scripts. Visual choices (charts, diagrams, imagery) are appropriate for the content and audience.</w:t>
            </w:r>
          </w:p>
        </w:tc>
      </w:tr>
      <w:tr>
        <w:tc>
          <w:tcPr>
            <w:tcW w:type="dxa" w:w="1828"/>
            <w:shd w:fill="F5F5F5" w:val="clear"/>
            <w:vAlign w:val="center"/>
          </w:tcPr>
          <w:p>
            <w:pPr>
              <w:spacing w:before="30" w:after="30"/>
            </w:pPr>
            <w:r>
              <w:rPr>
                <w:rFonts w:ascii="DM Sans" w:hAnsi="DM Sans" w:cs="DM Sans"/>
                <w:b/>
                <w:i w:val="0"/>
                <w:color w:val="050C2A"/>
                <w:sz w:val="20"/>
                <w:u w:val="none"/>
              </w:rPr>
              <w:t>Proficient (3)</w:t>
            </w:r>
          </w:p>
        </w:tc>
        <w:tc>
          <w:tcPr>
            <w:tcW w:type="dxa" w:w="7532"/>
            <w:shd w:fill="F5F5F5" w:val="clear"/>
            <w:vAlign w:val="center"/>
          </w:tcPr>
          <w:p>
            <w:pPr>
              <w:spacing w:before="30" w:after="30"/>
            </w:pPr>
            <w:r>
              <w:rPr>
                <w:rFonts w:ascii="DM Sans" w:hAnsi="DM Sans" w:cs="DM Sans"/>
                <w:b w:val="0"/>
                <w:i w:val="0"/>
                <w:color w:val="050C2A"/>
                <w:sz w:val="20"/>
                <w:u w:val="none"/>
              </w:rPr>
              <w:t>Slides support the presentation and are clear, readable, and professionally formatted. Visual design is consistent. Most slides use visuals or concise text rather than dense paragraphs. The deck helps the audience follow the narrative and locate key information. Minor design inconsistencies do not distract.</w:t>
            </w:r>
          </w:p>
        </w:tc>
      </w:tr>
      <w:tr>
        <w:tc>
          <w:tcPr>
            <w:tcW w:type="dxa" w:w="1828"/>
            <w:vAlign w:val="center"/>
          </w:tcPr>
          <w:p>
            <w:pPr>
              <w:spacing w:before="30" w:after="30"/>
            </w:pPr>
            <w:r>
              <w:rPr>
                <w:rFonts w:ascii="DM Sans" w:hAnsi="DM Sans" w:cs="DM Sans"/>
                <w:b/>
                <w:i w:val="0"/>
                <w:color w:val="050C2A"/>
                <w:sz w:val="20"/>
                <w:u w:val="none"/>
              </w:rPr>
              <w:t>Developing (2)</w:t>
            </w:r>
          </w:p>
        </w:tc>
        <w:tc>
          <w:tcPr>
            <w:tcW w:type="dxa" w:w="7532"/>
            <w:vAlign w:val="center"/>
          </w:tcPr>
          <w:p>
            <w:pPr>
              <w:spacing w:before="30" w:after="30"/>
            </w:pPr>
            <w:r>
              <w:rPr>
                <w:rFonts w:ascii="DM Sans" w:hAnsi="DM Sans" w:cs="DM Sans"/>
                <w:b w:val="0"/>
                <w:i w:val="0"/>
                <w:color w:val="050C2A"/>
                <w:sz w:val="20"/>
                <w:u w:val="none"/>
              </w:rPr>
              <w:t>Slides are present but only partially support the presentation. Some slides may be text-heavy, visually inconsistent, or not clearly connected to what the speaker is saying. Design issues (cluttered layouts, inconsistent formatting, hard-to-read text) are noticeable.</w:t>
            </w:r>
          </w:p>
        </w:tc>
      </w:tr>
      <w:tr>
        <w:tc>
          <w:tcPr>
            <w:tcW w:type="dxa" w:w="1828"/>
            <w:shd w:fill="F5F5F5" w:val="clear"/>
            <w:vAlign w:val="center"/>
          </w:tcPr>
          <w:p>
            <w:pPr>
              <w:spacing w:before="30" w:after="30"/>
            </w:pPr>
            <w:r>
              <w:rPr>
                <w:rFonts w:ascii="DM Sans" w:hAnsi="DM Sans" w:cs="DM Sans"/>
                <w:b/>
                <w:i w:val="0"/>
                <w:color w:val="050C2A"/>
                <w:sz w:val="20"/>
                <w:u w:val="none"/>
              </w:rPr>
              <w:t>Emerging (1)</w:t>
            </w:r>
          </w:p>
        </w:tc>
        <w:tc>
          <w:tcPr>
            <w:tcW w:type="dxa" w:w="7532"/>
            <w:shd w:fill="F5F5F5" w:val="clear"/>
            <w:vAlign w:val="center"/>
          </w:tcPr>
          <w:p>
            <w:pPr>
              <w:spacing w:before="30" w:after="30"/>
            </w:pPr>
            <w:r>
              <w:rPr>
                <w:rFonts w:ascii="DM Sans" w:hAnsi="DM Sans" w:cs="DM Sans"/>
                <w:b w:val="0"/>
                <w:i w:val="0"/>
                <w:color w:val="050C2A"/>
                <w:sz w:val="20"/>
                <w:u w:val="none"/>
              </w:rPr>
              <w:t>Slides are poorly designed, difficult to read, or misaligned with the spoken content. The deck may feel like an afterthought. Design is unprofessional or inconsistent to the point of distraction.</w:t>
            </w:r>
          </w:p>
        </w:tc>
      </w:tr>
      <w:tr>
        <w:tc>
          <w:tcPr>
            <w:tcW w:type="dxa" w:w="1828"/>
            <w:vAlign w:val="center"/>
          </w:tcPr>
          <w:p>
            <w:pPr>
              <w:spacing w:before="30" w:after="30"/>
            </w:pPr>
            <w:r>
              <w:rPr>
                <w:rFonts w:ascii="DM Sans" w:hAnsi="DM Sans" w:cs="DM Sans"/>
                <w:b/>
                <w:i w:val="0"/>
                <w:color w:val="050C2A"/>
                <w:sz w:val="20"/>
                <w:u w:val="none"/>
              </w:rPr>
              <w:t>Not Acceptable (0)</w:t>
            </w:r>
          </w:p>
        </w:tc>
        <w:tc>
          <w:tcPr>
            <w:tcW w:type="dxa" w:w="7532"/>
            <w:vAlign w:val="center"/>
          </w:tcPr>
          <w:p>
            <w:pPr>
              <w:spacing w:before="30" w:after="30"/>
            </w:pPr>
            <w:r>
              <w:rPr>
                <w:rFonts w:ascii="DM Sans" w:hAnsi="DM Sans" w:cs="DM Sans"/>
                <w:b w:val="0"/>
                <w:i w:val="0"/>
                <w:color w:val="050C2A"/>
                <w:sz w:val="20"/>
                <w:u w:val="none"/>
              </w:rPr>
              <w:t>No meaningful attempt at visual communication. Slides are incomprehensible, blank, or completely unrelated to the presentation.</w:t>
            </w:r>
          </w:p>
        </w:tc>
      </w:tr>
    </w:tbl>
    <w:p>
      <w:pPr>
        <w:spacing w:before="0" w:after="120"/>
      </w:pP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