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0"/>
      </w:pPr>
      <w:r>
        <w:rPr>
          <w:rFonts w:ascii="DM Sans" w:hAnsi="DM Sans" w:cs="DM Sans"/>
          <w:b/>
          <w:i w:val="0"/>
          <w:color w:val="FF7C0A"/>
          <w:sz w:val="34"/>
          <w:u w:val="none"/>
        </w:rPr>
        <w:t>Change Log</w:t>
      </w:r>
    </w:p>
    <w:p>
      <w:pPr>
        <w:spacing w:before="0" w:after="120" w:line="276" w:lineRule="auto"/>
      </w:pPr>
      <w:r>
        <w:rPr>
          <w:rFonts w:ascii="DM Sans" w:hAnsi="DM Sans" w:cs="DM Sans"/>
          <w:b w:val="0"/>
          <w:i/>
          <w:color w:val="050C2A"/>
          <w:sz w:val="20"/>
          <w:u w:val="none"/>
        </w:rPr>
        <w:t>How to use this template: This is a running record of the substantive feedback your team has received during the project and how you addressed it. Start it after the Direction Check and keep it current through development. Submit it alongside the Final Deliverables. It's the basis for the Responsiveness to Feedback dimension of the rubric. Add one row per piece of substantive feedback. The rubric is asking whether your team engaged meaningfully with the input it received, not whether every comma change was logged. Reconstructing weeks of changes the night before submission is much harder than maintaining the log as you go. The first three rows below are examples to show what different feedback types look like; replace them with your team's own entries.</w:t>
      </w:r>
    </w:p>
    <w:p>
      <w:pPr>
        <w:pBdr>
          <w:bottom w:val="single" w:sz="6" w:space="1" w:color="ACACAC"/>
        </w:pBdr>
        <w:spacing w:before="120" w:after="120"/>
      </w:pPr>
    </w:p>
    <w:p>
      <w:pPr>
        <w:spacing w:before="0" w:after="120" w:line="276" w:lineRule="auto"/>
      </w:pPr>
      <w:r>
        <w:rPr>
          <w:rFonts w:ascii="DM Sans" w:hAnsi="DM Sans" w:cs="DM Sans"/>
          <w:b/>
          <w:i w:val="0"/>
          <w:color w:val="050C2A"/>
          <w:sz w:val="20"/>
          <w:u w:val="none"/>
        </w:rPr>
        <w:t>Team name:</w:t>
      </w:r>
      <w:r>
        <w:rPr>
          <w:rFonts w:ascii="DM Sans" w:hAnsi="DM Sans" w:cs="DM Sans"/>
          <w:b w:val="0"/>
          <w:i w:val="0"/>
          <w:color w:val="050C2A"/>
          <w:sz w:val="20"/>
          <w:u w:val="none"/>
        </w:rPr>
        <w:t xml:space="preserve"> _________________________________________</w:t>
      </w:r>
    </w:p>
    <w:p>
      <w:pPr>
        <w:spacing w:before="0" w:after="120" w:line="276" w:lineRule="auto"/>
      </w:pPr>
      <w:r>
        <w:rPr>
          <w:rFonts w:ascii="DM Sans" w:hAnsi="DM Sans" w:cs="DM Sans"/>
          <w:b/>
          <w:i w:val="0"/>
          <w:color w:val="050C2A"/>
          <w:sz w:val="20"/>
          <w:u w:val="none"/>
        </w:rPr>
        <w:t>Project name:</w:t>
      </w:r>
      <w:r>
        <w:rPr>
          <w:rFonts w:ascii="DM Sans" w:hAnsi="DM Sans" w:cs="DM Sans"/>
          <w:b w:val="0"/>
          <w:i w:val="0"/>
          <w:color w:val="050C2A"/>
          <w:sz w:val="20"/>
          <w:u w:val="none"/>
        </w:rPr>
        <w:t xml:space="preserve"> _________________________________________</w:t>
      </w:r>
    </w:p>
    <w:p>
      <w:pPr>
        <w:spacing w:before="0" w:after="120" w:line="276" w:lineRule="auto"/>
      </w:pPr>
      <w:r>
        <w:rPr>
          <w:rFonts w:ascii="DM Sans" w:hAnsi="DM Sans" w:cs="DM Sans"/>
          <w:b/>
          <w:i w:val="0"/>
          <w:color w:val="050C2A"/>
          <w:sz w:val="20"/>
          <w:u w:val="none"/>
        </w:rPr>
        <w:t>Last updated:</w:t>
      </w:r>
      <w:r>
        <w:rPr>
          <w:rFonts w:ascii="DM Sans" w:hAnsi="DM Sans" w:cs="DM Sans"/>
          <w:b w:val="0"/>
          <w:i w:val="0"/>
          <w:color w:val="050C2A"/>
          <w:sz w:val="20"/>
          <w:u w:val="none"/>
        </w:rPr>
        <w:t xml:space="preserve"> _________________________________________</w:t>
      </w:r>
    </w:p>
    <w:p>
      <w:pPr>
        <w:pStyle w:val="Heading2"/>
        <w:spacing w:before="280" w:after="100"/>
      </w:pPr>
      <w:r>
        <w:rPr>
          <w:rFonts w:ascii="DM Sans" w:hAnsi="DM Sans" w:cs="DM Sans"/>
          <w:b/>
          <w:i w:val="0"/>
          <w:color w:val="050C2A"/>
          <w:sz w:val="28"/>
          <w:u w:val="none"/>
        </w:rPr>
        <w:t>Feedback log</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3380"/>
            <w:shd w:fill="FF7C0A" w:val="clear"/>
            <w:vAlign w:val="center"/>
          </w:tcPr>
          <w:p>
            <w:pPr>
              <w:jc w:val="left"/>
              <w:spacing w:before="40" w:after="40"/>
            </w:pPr>
            <w:r>
              <w:rPr>
                <w:rFonts w:ascii="DM Sans" w:hAnsi="DM Sans" w:cs="DM Sans"/>
                <w:b/>
                <w:i w:val="0"/>
                <w:color w:val="FFFFFF"/>
                <w:sz w:val="20"/>
                <w:u w:val="none"/>
              </w:rPr>
              <w:t>Feedback item</w:t>
            </w:r>
          </w:p>
        </w:tc>
        <w:tc>
          <w:tcPr>
            <w:tcW w:type="dxa" w:w="1839"/>
            <w:shd w:fill="FF7C0A" w:val="clear"/>
            <w:vAlign w:val="center"/>
          </w:tcPr>
          <w:p>
            <w:pPr>
              <w:jc w:val="left"/>
              <w:spacing w:before="40" w:after="40"/>
            </w:pPr>
            <w:r>
              <w:rPr>
                <w:rFonts w:ascii="DM Sans" w:hAnsi="DM Sans" w:cs="DM Sans"/>
                <w:b/>
                <w:i w:val="0"/>
                <w:color w:val="FFFFFF"/>
                <w:sz w:val="20"/>
                <w:u w:val="none"/>
              </w:rPr>
              <w:t>Source</w:t>
            </w:r>
          </w:p>
        </w:tc>
        <w:tc>
          <w:tcPr>
            <w:tcW w:type="dxa" w:w="4141"/>
            <w:shd w:fill="FF7C0A" w:val="clear"/>
            <w:vAlign w:val="center"/>
          </w:tcPr>
          <w:p>
            <w:pPr>
              <w:jc w:val="left"/>
              <w:spacing w:before="40" w:after="40"/>
            </w:pPr>
            <w:r>
              <w:rPr>
                <w:rFonts w:ascii="DM Sans" w:hAnsi="DM Sans" w:cs="DM Sans"/>
                <w:b/>
                <w:i w:val="0"/>
                <w:color w:val="FFFFFF"/>
                <w:sz w:val="20"/>
                <w:u w:val="none"/>
              </w:rPr>
              <w:t>How the team addressed it (or rationale for not)</w:t>
            </w:r>
          </w:p>
        </w:tc>
      </w:tr>
      <w:tr>
        <w:tc>
          <w:tcPr>
            <w:tcW w:type="dxa" w:w="3380"/>
            <w:vAlign w:val="center"/>
          </w:tcPr>
          <w:p>
            <w:pPr>
              <w:spacing w:before="30" w:after="30"/>
            </w:pPr>
            <w:r>
              <w:rPr>
                <w:rFonts w:ascii="DM Sans" w:hAnsi="DM Sans" w:cs="DM Sans"/>
                <w:b w:val="0"/>
                <w:i/>
                <w:color w:val="050C2A"/>
                <w:sz w:val="20"/>
                <w:u w:val="none"/>
              </w:rPr>
              <w:t>Shift the recommendation from "satellite locations to address transportation" to "evening and weekend programming, with optional satellite locations."</w:t>
            </w:r>
          </w:p>
        </w:tc>
        <w:tc>
          <w:tcPr>
            <w:tcW w:type="dxa" w:w="1839"/>
            <w:vAlign w:val="center"/>
          </w:tcPr>
          <w:p>
            <w:pPr>
              <w:spacing w:before="30" w:after="30"/>
            </w:pPr>
            <w:r>
              <w:rPr>
                <w:rFonts w:ascii="DM Sans" w:hAnsi="DM Sans" w:cs="DM Sans"/>
                <w:b w:val="0"/>
                <w:i/>
                <w:color w:val="050C2A"/>
                <w:sz w:val="20"/>
                <w:u w:val="none"/>
              </w:rPr>
              <w:t>Direction Check, Week 5</w:t>
            </w:r>
          </w:p>
        </w:tc>
        <w:tc>
          <w:tcPr>
            <w:tcW w:type="dxa" w:w="4141"/>
            <w:vAlign w:val="center"/>
          </w:tcPr>
          <w:p>
            <w:pPr>
              <w:spacing w:before="30" w:after="30"/>
            </w:pPr>
            <w:r>
              <w:rPr>
                <w:rFonts w:ascii="DM Sans" w:hAnsi="DM Sans" w:cs="DM Sans"/>
                <w:b w:val="0"/>
                <w:i/>
                <w:color w:val="050C2A"/>
                <w:sz w:val="20"/>
                <w:u w:val="none"/>
              </w:rPr>
              <w:t>Section 3 rewritten to lead with scheduling-based programming. Two paragraphs added to address transportation as a secondary lever. Reasoning grounded in the employer's clarification that shift workers are the primary blocker.</w:t>
            </w:r>
          </w:p>
        </w:tc>
      </w:tr>
      <w:tr>
        <w:tc>
          <w:tcPr>
            <w:tcW w:type="dxa" w:w="3380"/>
            <w:shd w:fill="F5F5F5" w:val="clear"/>
            <w:vAlign w:val="center"/>
          </w:tcPr>
          <w:p>
            <w:pPr>
              <w:spacing w:before="30" w:after="30"/>
            </w:pPr>
            <w:r>
              <w:rPr>
                <w:rFonts w:ascii="DM Sans" w:hAnsi="DM Sans" w:cs="DM Sans"/>
                <w:b w:val="0"/>
                <w:i/>
                <w:color w:val="050C2A"/>
                <w:sz w:val="20"/>
                <w:u w:val="none"/>
              </w:rPr>
              <w:t>Audience analysis in Section 2 leads with adults 25–45; employer's primary target is older residents.</w:t>
            </w:r>
          </w:p>
        </w:tc>
        <w:tc>
          <w:tcPr>
            <w:tcW w:type="dxa" w:w="1839"/>
            <w:shd w:fill="F5F5F5" w:val="clear"/>
            <w:vAlign w:val="center"/>
          </w:tcPr>
          <w:p>
            <w:pPr>
              <w:spacing w:before="30" w:after="30"/>
            </w:pPr>
            <w:r>
              <w:rPr>
                <w:rFonts w:ascii="DM Sans" w:hAnsi="DM Sans" w:cs="DM Sans"/>
                <w:b w:val="0"/>
                <w:i/>
                <w:color w:val="050C2A"/>
                <w:sz w:val="20"/>
                <w:u w:val="none"/>
              </w:rPr>
              <w:t>Internal cross-review by [teammate], Week 7</w:t>
            </w:r>
          </w:p>
        </w:tc>
        <w:tc>
          <w:tcPr>
            <w:tcW w:type="dxa" w:w="4141"/>
            <w:shd w:fill="F5F5F5" w:val="clear"/>
            <w:vAlign w:val="center"/>
          </w:tcPr>
          <w:p>
            <w:pPr>
              <w:spacing w:before="30" w:after="30"/>
            </w:pPr>
            <w:r>
              <w:rPr>
                <w:rFonts w:ascii="DM Sans" w:hAnsi="DM Sans" w:cs="DM Sans"/>
                <w:b w:val="0"/>
                <w:i/>
                <w:color w:val="050C2A"/>
                <w:sz w:val="20"/>
                <w:u w:val="none"/>
              </w:rPr>
              <w:t>Section 2 audience analysis rewritten to lead with residents 55+. The 25–45 segment retained as secondary, reduced from three paragraphs to one.</w:t>
            </w:r>
          </w:p>
        </w:tc>
      </w:tr>
      <w:tr>
        <w:tc>
          <w:tcPr>
            <w:tcW w:type="dxa" w:w="3380"/>
            <w:vAlign w:val="center"/>
          </w:tcPr>
          <w:p>
            <w:pPr>
              <w:spacing w:before="30" w:after="30"/>
            </w:pPr>
            <w:r>
              <w:rPr>
                <w:rFonts w:ascii="DM Sans" w:hAnsi="DM Sans" w:cs="DM Sans"/>
                <w:b w:val="0"/>
                <w:i/>
                <w:color w:val="050C2A"/>
                <w:sz w:val="20"/>
                <w:u w:val="none"/>
              </w:rPr>
              <w:t>Suggestion to add a weekly newsletter to the comms strategy.</w:t>
            </w:r>
          </w:p>
        </w:tc>
        <w:tc>
          <w:tcPr>
            <w:tcW w:type="dxa" w:w="1839"/>
            <w:vAlign w:val="center"/>
          </w:tcPr>
          <w:p>
            <w:pPr>
              <w:spacing w:before="30" w:after="30"/>
            </w:pPr>
            <w:r>
              <w:rPr>
                <w:rFonts w:ascii="DM Sans" w:hAnsi="DM Sans" w:cs="DM Sans"/>
                <w:b w:val="0"/>
                <w:i/>
                <w:color w:val="050C2A"/>
                <w:sz w:val="20"/>
                <w:u w:val="none"/>
              </w:rPr>
              <w:t>Direction Check, Week 5</w:t>
            </w:r>
          </w:p>
        </w:tc>
        <w:tc>
          <w:tcPr>
            <w:tcW w:type="dxa" w:w="4141"/>
            <w:vAlign w:val="center"/>
          </w:tcPr>
          <w:p>
            <w:pPr>
              <w:spacing w:before="30" w:after="30"/>
            </w:pPr>
            <w:r>
              <w:rPr>
                <w:rFonts w:ascii="DM Sans" w:hAnsi="DM Sans" w:cs="DM Sans"/>
                <w:b w:val="0"/>
                <w:i/>
                <w:color w:val="050C2A"/>
                <w:sz w:val="20"/>
                <w:u w:val="none"/>
              </w:rPr>
              <w:t>Not incorporated. The employer noted this was a personal preference and acknowledged it was outside the project brief. Team confirmed in Week 7 sync that the existing comms strategy aligns with the agreed scope.</w:t>
            </w:r>
          </w:p>
        </w:tc>
      </w:tr>
      <w:tr>
        <w:tc>
          <w:tcPr>
            <w:tcW w:type="dxa" w:w="3380"/>
            <w:shd w:fill="F5F5F5" w:val="clear"/>
            <w:vAlign w:val="center"/>
          </w:tcPr>
          <w:p>
            <w:pPr>
              <w:spacing w:before="30" w:after="30"/>
            </w:pPr>
          </w:p>
        </w:tc>
        <w:tc>
          <w:tcPr>
            <w:tcW w:type="dxa" w:w="1839"/>
            <w:shd w:fill="F5F5F5" w:val="clear"/>
            <w:vAlign w:val="center"/>
          </w:tcPr>
          <w:p>
            <w:pPr>
              <w:spacing w:before="30" w:after="30"/>
            </w:pPr>
          </w:p>
        </w:tc>
        <w:tc>
          <w:tcPr>
            <w:tcW w:type="dxa" w:w="4141"/>
            <w:shd w:fill="F5F5F5" w:val="clear"/>
            <w:vAlign w:val="center"/>
          </w:tcPr>
          <w:p>
            <w:pPr>
              <w:spacing w:before="30" w:after="30"/>
            </w:pPr>
          </w:p>
        </w:tc>
      </w:tr>
      <w:tr>
        <w:tc>
          <w:tcPr>
            <w:tcW w:type="dxa" w:w="3380"/>
            <w:vAlign w:val="center"/>
          </w:tcPr>
          <w:p>
            <w:pPr>
              <w:spacing w:before="30" w:after="30"/>
            </w:pPr>
          </w:p>
        </w:tc>
        <w:tc>
          <w:tcPr>
            <w:tcW w:type="dxa" w:w="1839"/>
            <w:vAlign w:val="center"/>
          </w:tcPr>
          <w:p>
            <w:pPr>
              <w:spacing w:before="30" w:after="30"/>
            </w:pPr>
          </w:p>
        </w:tc>
        <w:tc>
          <w:tcPr>
            <w:tcW w:type="dxa" w:w="4141"/>
            <w:vAlign w:val="center"/>
          </w:tcPr>
          <w:p>
            <w:pPr>
              <w:spacing w:before="30" w:after="30"/>
            </w:pPr>
          </w:p>
        </w:tc>
      </w:tr>
      <w:tr>
        <w:tc>
          <w:tcPr>
            <w:tcW w:type="dxa" w:w="3380"/>
            <w:shd w:fill="F5F5F5" w:val="clear"/>
            <w:vAlign w:val="center"/>
          </w:tcPr>
          <w:p>
            <w:pPr>
              <w:spacing w:before="30" w:after="30"/>
            </w:pPr>
          </w:p>
        </w:tc>
        <w:tc>
          <w:tcPr>
            <w:tcW w:type="dxa" w:w="1839"/>
            <w:shd w:fill="F5F5F5" w:val="clear"/>
            <w:vAlign w:val="center"/>
          </w:tcPr>
          <w:p>
            <w:pPr>
              <w:spacing w:before="30" w:after="30"/>
            </w:pPr>
          </w:p>
        </w:tc>
        <w:tc>
          <w:tcPr>
            <w:tcW w:type="dxa" w:w="4141"/>
            <w:shd w:fill="F5F5F5" w:val="clear"/>
            <w:vAlign w:val="center"/>
          </w:tcPr>
          <w:p>
            <w:pPr>
              <w:spacing w:before="30" w:after="30"/>
            </w:pPr>
          </w:p>
        </w:tc>
      </w:tr>
      <w:tr>
        <w:tc>
          <w:tcPr>
            <w:tcW w:type="dxa" w:w="3380"/>
            <w:vAlign w:val="center"/>
          </w:tcPr>
          <w:p>
            <w:pPr>
              <w:spacing w:before="30" w:after="30"/>
            </w:pPr>
          </w:p>
        </w:tc>
        <w:tc>
          <w:tcPr>
            <w:tcW w:type="dxa" w:w="1839"/>
            <w:vAlign w:val="center"/>
          </w:tcPr>
          <w:p>
            <w:pPr>
              <w:spacing w:before="30" w:after="30"/>
            </w:pPr>
          </w:p>
        </w:tc>
        <w:tc>
          <w:tcPr>
            <w:tcW w:type="dxa" w:w="4141"/>
            <w:vAlign w:val="center"/>
          </w:tcPr>
          <w:p>
            <w:pPr>
              <w:spacing w:before="30" w:after="30"/>
            </w:pPr>
          </w:p>
        </w:tc>
      </w:tr>
      <w:tr>
        <w:tc>
          <w:tcPr>
            <w:tcW w:type="dxa" w:w="3380"/>
            <w:shd w:fill="F5F5F5" w:val="clear"/>
            <w:vAlign w:val="center"/>
          </w:tcPr>
          <w:p>
            <w:pPr>
              <w:spacing w:before="30" w:after="30"/>
            </w:pPr>
          </w:p>
        </w:tc>
        <w:tc>
          <w:tcPr>
            <w:tcW w:type="dxa" w:w="1839"/>
            <w:shd w:fill="F5F5F5" w:val="clear"/>
            <w:vAlign w:val="center"/>
          </w:tcPr>
          <w:p>
            <w:pPr>
              <w:spacing w:before="30" w:after="30"/>
            </w:pPr>
          </w:p>
        </w:tc>
        <w:tc>
          <w:tcPr>
            <w:tcW w:type="dxa" w:w="4141"/>
            <w:shd w:fill="F5F5F5" w:val="clear"/>
            <w:vAlign w:val="center"/>
          </w:tcPr>
          <w:p>
            <w:pPr>
              <w:spacing w:before="30" w:after="30"/>
            </w:pPr>
          </w:p>
        </w:tc>
      </w:tr>
      <w:tr>
        <w:tc>
          <w:tcPr>
            <w:tcW w:type="dxa" w:w="3380"/>
            <w:vAlign w:val="center"/>
          </w:tcPr>
          <w:p>
            <w:pPr>
              <w:spacing w:before="30" w:after="30"/>
            </w:pPr>
          </w:p>
        </w:tc>
        <w:tc>
          <w:tcPr>
            <w:tcW w:type="dxa" w:w="1839"/>
            <w:vAlign w:val="center"/>
          </w:tcPr>
          <w:p>
            <w:pPr>
              <w:spacing w:before="30" w:after="30"/>
            </w:pPr>
          </w:p>
        </w:tc>
        <w:tc>
          <w:tcPr>
            <w:tcW w:type="dxa" w:w="4141"/>
            <w:vAlign w:val="center"/>
          </w:tcPr>
          <w:p>
            <w:pPr>
              <w:spacing w:before="30" w:after="30"/>
            </w:pPr>
          </w:p>
        </w:tc>
      </w:tr>
      <w:tr>
        <w:tc>
          <w:tcPr>
            <w:tcW w:type="dxa" w:w="3380"/>
            <w:shd w:fill="F5F5F5" w:val="clear"/>
            <w:vAlign w:val="center"/>
          </w:tcPr>
          <w:p>
            <w:pPr>
              <w:spacing w:before="30" w:after="30"/>
            </w:pPr>
          </w:p>
        </w:tc>
        <w:tc>
          <w:tcPr>
            <w:tcW w:type="dxa" w:w="1839"/>
            <w:shd w:fill="F5F5F5" w:val="clear"/>
            <w:vAlign w:val="center"/>
          </w:tcPr>
          <w:p>
            <w:pPr>
              <w:spacing w:before="30" w:after="30"/>
            </w:pPr>
          </w:p>
        </w:tc>
        <w:tc>
          <w:tcPr>
            <w:tcW w:type="dxa" w:w="4141"/>
            <w:shd w:fill="F5F5F5" w:val="clear"/>
            <w:vAlign w:val="center"/>
          </w:tcPr>
          <w:p>
            <w:pPr>
              <w:spacing w:before="30" w:after="30"/>
            </w:pPr>
          </w:p>
        </w:tc>
      </w:tr>
      <w:tr>
        <w:tc>
          <w:tcPr>
            <w:tcW w:type="dxa" w:w="3380"/>
            <w:vAlign w:val="center"/>
          </w:tcPr>
          <w:p>
            <w:pPr>
              <w:spacing w:before="30" w:after="30"/>
            </w:pPr>
          </w:p>
        </w:tc>
        <w:tc>
          <w:tcPr>
            <w:tcW w:type="dxa" w:w="1839"/>
            <w:vAlign w:val="center"/>
          </w:tcPr>
          <w:p>
            <w:pPr>
              <w:spacing w:before="30" w:after="30"/>
            </w:pPr>
          </w:p>
        </w:tc>
        <w:tc>
          <w:tcPr>
            <w:tcW w:type="dxa" w:w="4141"/>
            <w:vAlign w:val="center"/>
          </w:tcPr>
          <w:p>
            <w:pPr>
              <w:spacing w:before="30" w:after="30"/>
            </w:pPr>
          </w:p>
        </w:tc>
      </w:tr>
      <w:tr>
        <w:tc>
          <w:tcPr>
            <w:tcW w:type="dxa" w:w="3380"/>
            <w:shd w:fill="F5F5F5" w:val="clear"/>
            <w:vAlign w:val="center"/>
          </w:tcPr>
          <w:p>
            <w:pPr>
              <w:spacing w:before="30" w:after="30"/>
            </w:pPr>
          </w:p>
        </w:tc>
        <w:tc>
          <w:tcPr>
            <w:tcW w:type="dxa" w:w="1839"/>
            <w:shd w:fill="F5F5F5" w:val="clear"/>
            <w:vAlign w:val="center"/>
          </w:tcPr>
          <w:p>
            <w:pPr>
              <w:spacing w:before="30" w:after="30"/>
            </w:pPr>
          </w:p>
        </w:tc>
        <w:tc>
          <w:tcPr>
            <w:tcW w:type="dxa" w:w="4141"/>
            <w:shd w:fill="F5F5F5" w:val="clear"/>
            <w:vAlign w:val="center"/>
          </w:tcPr>
          <w:p>
            <w:pPr>
              <w:spacing w:before="30" w:after="30"/>
            </w:pPr>
          </w:p>
        </w:tc>
      </w:tr>
      <w:tr>
        <w:tc>
          <w:tcPr>
            <w:tcW w:type="dxa" w:w="3380"/>
            <w:vAlign w:val="center"/>
          </w:tcPr>
          <w:p>
            <w:pPr>
              <w:spacing w:before="30" w:after="30"/>
            </w:pPr>
          </w:p>
        </w:tc>
        <w:tc>
          <w:tcPr>
            <w:tcW w:type="dxa" w:w="1839"/>
            <w:vAlign w:val="center"/>
          </w:tcPr>
          <w:p>
            <w:pPr>
              <w:spacing w:before="30" w:after="30"/>
            </w:pPr>
          </w:p>
        </w:tc>
        <w:tc>
          <w:tcPr>
            <w:tcW w:type="dxa" w:w="4141"/>
            <w:vAlign w:val="center"/>
          </w:tcPr>
          <w:p>
            <w:pPr>
              <w:spacing w:before="30" w:after="30"/>
            </w:pPr>
          </w:p>
        </w:tc>
      </w:tr>
    </w:tbl>
    <w:p>
      <w:pPr>
        <w:spacing w:before="0" w:after="120"/>
      </w:pPr>
    </w:p>
    <w:p>
      <w:pPr>
        <w:spacing w:before="0" w:after="120" w:line="276" w:lineRule="auto"/>
      </w:pPr>
      <w:r>
        <w:rPr>
          <w:rFonts w:ascii="DM Sans" w:hAnsi="DM Sans" w:cs="DM Sans"/>
          <w:b w:val="0"/>
          <w:i/>
          <w:color w:val="050C2A"/>
          <w:sz w:val="20"/>
          <w:u w:val="none"/>
        </w:rPr>
        <w:t>The Change Log is submitted as a component of the Final Deliverables package. It is one document in that package, not a section inside the main deliverable. Ensure all team members have reviewed the final log before submission.</w:t>
      </w:r>
    </w:p>
    <w:sectPr w:rsidR="00FC693F" w:rsidRPr="0006063C" w:rsidSect="00034616">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color w:val="050C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