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32" w:lineRule="auto"/>
      </w:pPr>
      <w:r>
        <w:rPr>
          <w:rFonts w:ascii="DM Sans" w:hAnsi="DM Sans" w:cs="DM Sans"/>
          <w:b/>
          <w:i w:val="0"/>
          <w:color w:val="FF7C0A"/>
          <w:sz w:val="36"/>
        </w:rPr>
        <w:t>Feedback Protocol Card</w:t>
      </w:r>
    </w:p>
    <w:p>
      <w:pPr>
        <w:spacing w:before="0" w:after="80" w:line="240" w:lineRule="auto"/>
      </w:pPr>
      <w:r>
        <w:rPr>
          <w:rFonts w:ascii="DM Sans" w:hAnsi="DM Sans" w:cs="DM Sans"/>
          <w:b w:val="0"/>
          <w:i/>
          <w:color w:val="6B7080"/>
          <w:sz w:val="19"/>
        </w:rPr>
        <w:t>A reference for receiving feedback well — in meetings, in writing, and anywhere in between.</w:t>
      </w:r>
    </w:p>
    <w:p>
      <w:pPr>
        <w:spacing w:before="0" w:after="100" w:line="264" w:lineRule="auto"/>
      </w:pPr>
      <w:r>
        <w:rPr>
          <w:rFonts w:ascii="DM Sans" w:hAnsi="DM Sans" w:cs="DM Sans"/>
          <w:b w:val="0"/>
          <w:i w:val="0"/>
          <w:color w:val="050C2A"/>
          <w:sz w:val="19"/>
        </w:rPr>
        <w:t>Receiving feedback on your work is uncomfortable, and the instinct is to defend or deflect. This protocol gives you a structure that keeps you listening when the instinct is to argue — direct, indirect, written, or live.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Spacing w:w="80" w:type="dxa"/>
      </w:tblPr>
      <w:tblGrid>
        <w:gridCol w:w="5328"/>
        <w:gridCol w:w="5328"/>
      </w:tblGrid>
      <w:tr>
        <w:tc>
          <w:tcPr>
            <w:tcW w:type="dxa" w:w="5112"/>
            <w:shd w:fill="FFF8F1" w:val="clear"/>
            <w:tcBorders>
              <w:top w:val="single" w:sz="10" w:space="0" w:color="FF7C0A"/>
              <w:left w:val="single" w:sz="10" w:space="0" w:color="FF7C0A"/>
              <w:bottom w:val="single" w:sz="10" w:space="0" w:color="FF7C0A"/>
              <w:right w:val="single" w:sz="10" w:space="0" w:color="FF7C0A"/>
            </w:tcBorders>
            <w:tcMar>
              <w:top w:w="140" w:type="dxa"/>
              <w:left w:w="180" w:type="dxa"/>
              <w:bottom w:w="140" w:type="dxa"/>
              <w:right w:w="180" w:type="dxa"/>
            </w:tcMar>
            <w:vAlign w:val="top"/>
          </w:tcPr>
          <w:p>
            <w:pPr>
              <w:spacing w:before="0" w:after="40" w:line="252" w:lineRule="auto"/>
            </w:pPr>
            <w:r>
              <w:rPr>
                <w:rFonts w:ascii="DM Sans" w:hAnsi="DM Sans" w:cs="DM Sans"/>
                <w:b/>
                <w:i w:val="0"/>
                <w:color w:val="FF7C0A"/>
                <w:sz w:val="24"/>
              </w:rPr>
              <w:t xml:space="preserve">1.  </w:t>
            </w:r>
            <w:r>
              <w:rPr>
                <w:rFonts w:ascii="DM Sans" w:hAnsi="DM Sans" w:cs="DM Sans"/>
                <w:b/>
                <w:i w:val="0"/>
                <w:color w:val="050C2A"/>
                <w:sz w:val="24"/>
              </w:rPr>
              <w:t>LISTEN</w:t>
            </w:r>
          </w:p>
          <w:p>
            <w:pPr>
              <w:spacing w:before="0" w:after="40" w:line="252" w:lineRule="auto"/>
            </w:pPr>
            <w:r>
              <w:rPr>
                <w:rFonts w:ascii="DM Sans" w:hAnsi="DM Sans" w:cs="DM Sans"/>
                <w:b w:val="0"/>
                <w:i w:val="0"/>
                <w:color w:val="050C2A"/>
                <w:sz w:val="18"/>
              </w:rPr>
              <w:t>Hear the feedback before you respond. Don't formulate your reply while the other person is still talking. Most feedback gets more specific as the person keeps explaining — the version you would have argued with after one sentence often isn't what they meant.</w:t>
            </w:r>
          </w:p>
          <w:p>
            <w:pPr>
              <w:spacing w:before="20" w:after="10" w:line="232" w:lineRule="auto"/>
            </w:pPr>
            <w:r>
              <w:rPr>
                <w:rFonts w:ascii="DM Sans" w:hAnsi="DM Sans" w:cs="DM Sans"/>
                <w:b/>
                <w:i w:val="0"/>
                <w:color w:val="B54708"/>
                <w:sz w:val="16"/>
              </w:rPr>
              <w:t>REMIND YOURSELF:</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Wait for the end before reacting.</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If you catch "but we chose that because…" — pause.</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Their first sentence is rarely their full point.</w:t>
            </w:r>
          </w:p>
        </w:tc>
        <w:tc>
          <w:tcPr>
            <w:tcW w:type="dxa" w:w="5112"/>
            <w:shd w:fill="FFF8F1" w:val="clear"/>
            <w:tcBorders>
              <w:top w:val="single" w:sz="10" w:space="0" w:color="FF7C0A"/>
              <w:left w:val="single" w:sz="10" w:space="0" w:color="FF7C0A"/>
              <w:bottom w:val="single" w:sz="10" w:space="0" w:color="FF7C0A"/>
              <w:right w:val="single" w:sz="10" w:space="0" w:color="FF7C0A"/>
            </w:tcBorders>
            <w:tcMar>
              <w:top w:w="140" w:type="dxa"/>
              <w:left w:w="180" w:type="dxa"/>
              <w:bottom w:w="140" w:type="dxa"/>
              <w:right w:w="180" w:type="dxa"/>
            </w:tcMar>
            <w:vAlign w:val="top"/>
          </w:tcPr>
          <w:p>
            <w:pPr>
              <w:spacing w:before="0" w:after="40" w:line="252" w:lineRule="auto"/>
            </w:pPr>
            <w:r>
              <w:rPr>
                <w:rFonts w:ascii="DM Sans" w:hAnsi="DM Sans" w:cs="DM Sans"/>
                <w:b/>
                <w:i w:val="0"/>
                <w:color w:val="FF7C0A"/>
                <w:sz w:val="24"/>
              </w:rPr>
              <w:t xml:space="preserve">2.  </w:t>
            </w:r>
            <w:r>
              <w:rPr>
                <w:rFonts w:ascii="DM Sans" w:hAnsi="DM Sans" w:cs="DM Sans"/>
                <w:b/>
                <w:i w:val="0"/>
                <w:color w:val="050C2A"/>
                <w:sz w:val="24"/>
              </w:rPr>
              <w:t>CLARIFY</w:t>
            </w:r>
          </w:p>
          <w:p>
            <w:pPr>
              <w:spacing w:before="0" w:after="40" w:line="252" w:lineRule="auto"/>
            </w:pPr>
            <w:r>
              <w:rPr>
                <w:rFonts w:ascii="DM Sans" w:hAnsi="DM Sans" w:cs="DM Sans"/>
                <w:b w:val="0"/>
                <w:i w:val="0"/>
                <w:color w:val="050C2A"/>
                <w:sz w:val="18"/>
              </w:rPr>
              <w:t>Before reacting, make sure you understand what's being said. A clarifying question isn't pushing back — it shows you're taking the feedback seriously and gives you something to work with.</w:t>
            </w:r>
          </w:p>
          <w:p>
            <w:pPr>
              <w:spacing w:before="20" w:after="10" w:line="232" w:lineRule="auto"/>
            </w:pPr>
            <w:r>
              <w:rPr>
                <w:rFonts w:ascii="DM Sans" w:hAnsi="DM Sans" w:cs="DM Sans"/>
                <w:b/>
                <w:i w:val="0"/>
                <w:color w:val="B54708"/>
                <w:sz w:val="16"/>
              </w:rPr>
              <w:t>TRY:</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"Can you say more about what you mean by [their term]?"</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"Is the issue with the scope, the approach, or how we've communicated it?"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"Can you point me to a specific moment you noticed that?"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"What would a stronger version look like to you?"</w:t>
            </w:r>
          </w:p>
        </w:tc>
      </w:tr>
      <w:tr>
        <w:tc>
          <w:tcPr>
            <w:tcW w:type="dxa" w:w="5112"/>
            <w:shd w:fill="FFF8F1" w:val="clear"/>
            <w:tcBorders>
              <w:top w:val="single" w:sz="10" w:space="0" w:color="FF7C0A"/>
              <w:left w:val="single" w:sz="10" w:space="0" w:color="FF7C0A"/>
              <w:bottom w:val="single" w:sz="10" w:space="0" w:color="FF7C0A"/>
              <w:right w:val="single" w:sz="10" w:space="0" w:color="FF7C0A"/>
            </w:tcBorders>
            <w:tcMar>
              <w:top w:w="140" w:type="dxa"/>
              <w:left w:w="180" w:type="dxa"/>
              <w:bottom w:w="140" w:type="dxa"/>
              <w:right w:w="180" w:type="dxa"/>
            </w:tcMar>
            <w:vAlign w:val="top"/>
          </w:tcPr>
          <w:p>
            <w:pPr>
              <w:spacing w:before="0" w:after="40" w:line="252" w:lineRule="auto"/>
            </w:pPr>
            <w:r>
              <w:rPr>
                <w:rFonts w:ascii="DM Sans" w:hAnsi="DM Sans" w:cs="DM Sans"/>
                <w:b/>
                <w:i w:val="0"/>
                <w:color w:val="FF7C0A"/>
                <w:sz w:val="24"/>
              </w:rPr>
              <w:t xml:space="preserve">3.  </w:t>
            </w:r>
            <w:r>
              <w:rPr>
                <w:rFonts w:ascii="DM Sans" w:hAnsi="DM Sans" w:cs="DM Sans"/>
                <w:b/>
                <w:i w:val="0"/>
                <w:color w:val="050C2A"/>
                <w:sz w:val="24"/>
              </w:rPr>
              <w:t>ACKNOWLEDGE</w:t>
            </w:r>
          </w:p>
          <w:p>
            <w:pPr>
              <w:spacing w:before="0" w:after="40" w:line="252" w:lineRule="auto"/>
            </w:pPr>
            <w:r>
              <w:rPr>
                <w:rFonts w:ascii="DM Sans" w:hAnsi="DM Sans" w:cs="DM Sans"/>
                <w:b w:val="0"/>
                <w:i w:val="0"/>
                <w:color w:val="050C2A"/>
                <w:sz w:val="18"/>
              </w:rPr>
              <w:t>Name what you heard. Acknowledging isn't agreeing — you're confirming the message landed, not committing to act on it. It also gives the other person a chance to correct you.</w:t>
            </w:r>
          </w:p>
          <w:p>
            <w:pPr>
              <w:spacing w:before="20" w:after="10" w:line="232" w:lineRule="auto"/>
            </w:pPr>
            <w:r>
              <w:rPr>
                <w:rFonts w:ascii="DM Sans" w:hAnsi="DM Sans" w:cs="DM Sans"/>
                <w:b/>
                <w:i w:val="0"/>
                <w:color w:val="B54708"/>
                <w:sz w:val="16"/>
              </w:rPr>
              <w:t>TRY:</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"So the concern is that [your paraphrase]."</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"What I'm hearing is [X]. Did I get that right?"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"Is this for next week, or a longer-term consideration?"</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"That makes sense. We'll take it back and figure out what to do with it."</w:t>
            </w:r>
          </w:p>
        </w:tc>
        <w:tc>
          <w:tcPr>
            <w:tcW w:type="dxa" w:w="5112"/>
            <w:shd w:fill="FFF8F1" w:val="clear"/>
            <w:tcBorders>
              <w:top w:val="single" w:sz="10" w:space="0" w:color="FF7C0A"/>
              <w:left w:val="single" w:sz="10" w:space="0" w:color="FF7C0A"/>
              <w:bottom w:val="single" w:sz="10" w:space="0" w:color="FF7C0A"/>
              <w:right w:val="single" w:sz="10" w:space="0" w:color="FF7C0A"/>
            </w:tcBorders>
            <w:tcMar>
              <w:top w:w="140" w:type="dxa"/>
              <w:left w:w="180" w:type="dxa"/>
              <w:bottom w:w="140" w:type="dxa"/>
              <w:right w:w="180" w:type="dxa"/>
            </w:tcMar>
            <w:vAlign w:val="top"/>
          </w:tcPr>
          <w:p>
            <w:pPr>
              <w:spacing w:before="0" w:after="40" w:line="252" w:lineRule="auto"/>
            </w:pPr>
            <w:r>
              <w:rPr>
                <w:rFonts w:ascii="DM Sans" w:hAnsi="DM Sans" w:cs="DM Sans"/>
                <w:b/>
                <w:i w:val="0"/>
                <w:color w:val="FF7C0A"/>
                <w:sz w:val="24"/>
              </w:rPr>
              <w:t xml:space="preserve">4.  </w:t>
            </w:r>
            <w:r>
              <w:rPr>
                <w:rFonts w:ascii="DM Sans" w:hAnsi="DM Sans" w:cs="DM Sans"/>
                <w:b/>
                <w:i w:val="0"/>
                <w:color w:val="050C2A"/>
                <w:sz w:val="24"/>
              </w:rPr>
              <w:t>DECIDE LATER</w:t>
            </w:r>
          </w:p>
          <w:p>
            <w:pPr>
              <w:spacing w:before="0" w:after="40" w:line="252" w:lineRule="auto"/>
            </w:pPr>
            <w:r>
              <w:rPr>
                <w:rFonts w:ascii="DM Sans" w:hAnsi="DM Sans" w:cs="DM Sans"/>
                <w:b w:val="0"/>
                <w:i w:val="0"/>
                <w:color w:val="050C2A"/>
                <w:sz w:val="18"/>
              </w:rPr>
              <w:t>Don't commit to a response in the moment. You don't have to agree with every piece of feedback, and you don't have to decide what to do with it on the spot. Your job in the conversation is to hear and understand. The decision happens after, with your team.</w:t>
            </w:r>
          </w:p>
          <w:p>
            <w:pPr>
              <w:spacing w:before="20" w:after="10" w:line="232" w:lineRule="auto"/>
            </w:pPr>
            <w:r>
              <w:rPr>
                <w:rFonts w:ascii="DM Sans" w:hAnsi="DM Sans" w:cs="DM Sans"/>
                <w:b/>
                <w:i w:val="0"/>
                <w:color w:val="B54708"/>
                <w:sz w:val="16"/>
              </w:rPr>
              <w:t>REMIND YOURSELF:</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Restraint now ≠ agreement later.</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Weigh feedback against the brief and your team's judgment.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color w:val="050C2A"/>
                <w:sz w:val="17"/>
              </w:rPr>
              <w:t>Vague feedback is harder to use — clarify first, decide second.</w:t>
            </w:r>
          </w:p>
        </w:tc>
      </w:tr>
    </w:tbl>
    <w:p>
      <w:pPr>
        <w:spacing w:before="0" w:after="0" w:line="16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Spacing w:w="80" w:type="dxa"/>
      </w:tblPr>
      <w:tblGrid>
        <w:gridCol w:w="5328"/>
        <w:gridCol w:w="5328"/>
      </w:tblGrid>
      <w:tr>
        <w:tc>
          <w:tcPr>
            <w:tcW w:type="dxa" w:w="5112"/>
            <w:shd w:fill="FAFBFC" w:val="clear"/>
            <w:tcBorders>
              <w:top w:val="single" w:sz="6" w:space="0" w:color="E2E4E9"/>
              <w:left w:val="single" w:sz="6" w:space="0" w:color="E2E4E9"/>
              <w:bottom w:val="single" w:sz="6" w:space="0" w:color="E2E4E9"/>
              <w:right w:val="single" w:sz="6" w:space="0" w:color="E2E4E9"/>
            </w:tcBorders>
            <w:tcMar>
              <w:top w:w="120" w:type="dxa"/>
              <w:left w:w="160" w:type="dxa"/>
              <w:bottom w:w="120" w:type="dxa"/>
              <w:right w:w="160" w:type="dxa"/>
            </w:tcMar>
            <w:vAlign w:val="top"/>
          </w:tcPr>
          <w:p>
            <w:pPr>
              <w:spacing w:before="0" w:after="40" w:line="232" w:lineRule="auto"/>
            </w:pPr>
            <w:r>
              <w:rPr>
                <w:rFonts w:ascii="DM Sans" w:hAnsi="DM Sans" w:cs="DM Sans"/>
                <w:b/>
                <w:i w:val="0"/>
                <w:color w:val="B54708"/>
                <w:sz w:val="17"/>
              </w:rPr>
              <w:t>WHEN THE FEEDBACK IS WRITTEN</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val="0"/>
                <w:color w:val="050C2A"/>
                <w:sz w:val="17"/>
              </w:rPr>
              <w:t>A short comment isn't a curt one — assume the generous reading.</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val="0"/>
                <w:color w:val="050C2A"/>
                <w:sz w:val="17"/>
              </w:rPr>
              <w:t>If a comment makes you bristle, that's information about you, not the comment.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val="0"/>
                <w:color w:val="050C2A"/>
                <w:sz w:val="17"/>
              </w:rPr>
              <w:t>You don't owe an immediate reply. Sit with it overnight.</w:t>
            </w:r>
          </w:p>
          <w:p>
            <w:pPr>
              <w:ind w:left="160" w:hanging="160"/>
              <w:spacing w:before="0" w:after="10" w:line="240" w:lineRule="auto"/>
            </w:pPr>
            <w:r>
              <w:rPr>
                <w:rFonts w:ascii="DM Sans" w:hAnsi="DM Sans" w:cs="DM Sans"/>
                <w:b/>
                <w:i w:val="0"/>
                <w:color w:val="FF7C0A"/>
                <w:sz w:val="17"/>
              </w:rPr>
              <w:t xml:space="preserve">•  </w:t>
            </w:r>
            <w:r>
              <w:rPr>
                <w:rFonts w:ascii="DM Sans" w:hAnsi="DM Sans" w:cs="DM Sans"/>
                <w:b w:val="0"/>
                <w:i w:val="0"/>
                <w:color w:val="050C2A"/>
                <w:sz w:val="17"/>
              </w:rPr>
              <w:t>Clarify and acknowledge still apply — in writing, on your timeline.</w:t>
            </w:r>
          </w:p>
        </w:tc>
        <w:tc>
          <w:tcPr>
            <w:tcW w:type="dxa" w:w="5112"/>
            <w:shd w:fill="FAFBFC" w:val="clear"/>
            <w:tcBorders>
              <w:top w:val="single" w:sz="6" w:space="0" w:color="E2E4E9"/>
              <w:left w:val="single" w:sz="6" w:space="0" w:color="E2E4E9"/>
              <w:bottom w:val="single" w:sz="6" w:space="0" w:color="E2E4E9"/>
              <w:right w:val="single" w:sz="6" w:space="0" w:color="E2E4E9"/>
            </w:tcBorders>
            <w:tcMar>
              <w:top w:w="120" w:type="dxa"/>
              <w:left w:w="160" w:type="dxa"/>
              <w:bottom w:w="120" w:type="dxa"/>
              <w:right w:w="160" w:type="dxa"/>
            </w:tcMar>
            <w:vAlign w:val="top"/>
          </w:tcPr>
          <w:p>
            <w:pPr>
              <w:spacing w:before="0" w:after="40" w:line="232" w:lineRule="auto"/>
            </w:pPr>
            <w:r>
              <w:rPr>
                <w:rFonts w:ascii="DM Sans" w:hAnsi="DM Sans" w:cs="DM Sans"/>
                <w:b/>
                <w:i w:val="0"/>
                <w:color w:val="B54708"/>
                <w:sz w:val="17"/>
              </w:rPr>
              <w:t>WHEN FEEDBACK ISN'T USEFUL</w:t>
            </w:r>
          </w:p>
          <w:p>
            <w:pPr>
              <w:spacing w:before="0" w:after="40" w:line="252" w:lineRule="auto"/>
            </w:pPr>
            <w:r>
              <w:rPr>
                <w:rFonts w:ascii="DM Sans" w:hAnsi="DM Sans" w:cs="DM Sans"/>
                <w:b w:val="0"/>
                <w:i w:val="0"/>
                <w:color w:val="050C2A"/>
                <w:sz w:val="17"/>
              </w:rPr>
              <w:t>Receiving feedback well doesn't mean accepting every piece. Use CLARIFY to turn vague feedback ("your tone needs work") into something concrete, or to surface that there isn't anything concrete behind it.</w:t>
            </w:r>
          </w:p>
          <w:p>
            <w:pPr>
              <w:spacing w:before="0" w:after="40" w:line="252" w:lineRule="auto"/>
            </w:pPr>
            <w:r>
              <w:rPr>
                <w:rFonts w:ascii="DM Sans" w:hAnsi="DM Sans" w:cs="DM Sans"/>
                <w:b w:val="0"/>
                <w:i w:val="0"/>
                <w:color w:val="050C2A"/>
                <w:sz w:val="17"/>
              </w:rPr>
              <w:t>Use DECIDE LATER to weigh feedback against the brief and your team's judgment. The cost of waiting is small; the cost of arguing in the moment is the information the other person was trying to give you.</w:t>
            </w:r>
          </w:p>
        </w:tc>
      </w:tr>
    </w:tbl>
    <w:p>
      <w:pPr>
        <w:jc w:val="center"/>
        <w:spacing w:before="100" w:after="0" w:line="200" w:lineRule="auto"/>
      </w:pPr>
      <w:r>
        <w:rPr>
          <w:rFonts w:ascii="DM Sans" w:hAnsi="DM Sans" w:cs="DM Sans"/>
          <w:b w:val="0"/>
          <w:i w:val="0"/>
          <w:color w:val="6B7080"/>
          <w:sz w:val="15"/>
        </w:rPr>
        <w:t>Riipen Career Catalyst  ·  Feedback Protocol Card</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