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0"/>
      </w:pPr>
      <w:r>
        <w:rPr>
          <w:rFonts w:ascii="DM Sans" w:hAnsi="DM Sans" w:cs="DM Sans"/>
          <w:b/>
          <w:i w:val="0"/>
          <w:color w:val="FF7C0A"/>
          <w:sz w:val="34"/>
          <w:u w:val="none"/>
        </w:rPr>
        <w:t>Revision Plan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/>
          <w:color w:val="050C2A"/>
          <w:sz w:val="20"/>
          <w:u w:val="none"/>
        </w:rPr>
        <w:t>How to use this template: Use this template after any check-in or review that produces substantive feedback (employer meetings, internal team reviews, peer reviews). It's a working document, not a formal submission. Its purpose is to convert act-on feedback into concrete commitments with named owners before anyone starts revising. The team may build several Revision Plans across the project as feedback arrives in batches. Each act-on row eventually becomes a Change Log entry once the revision is complete. The first three rows below are examples showing different feedback types; replace them with your team's own entries.</w:t>
      </w:r>
    </w:p>
    <w:p>
      <w:pPr>
        <w:pBdr>
          <w:bottom w:val="single" w:sz="6" w:space="1" w:color="ACACAC"/>
        </w:pBdr>
        <w:spacing w:before="120" w:after="120"/>
      </w:pPr>
    </w:p>
    <w:p>
      <w:pPr>
        <w:spacing w:before="0" w:after="120" w:line="276" w:lineRule="auto"/>
      </w:pPr>
      <w:r>
        <w:rPr>
          <w:rFonts w:ascii="DM Sans" w:hAnsi="DM Sans" w:cs="DM Sans"/>
          <w:b/>
          <w:i w:val="0"/>
          <w:color w:val="050C2A"/>
          <w:sz w:val="20"/>
          <w:u w:val="none"/>
        </w:rPr>
        <w:t>Team name: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_________________________________________</w:t>
      </w:r>
    </w:p>
    <w:p>
      <w:pPr>
        <w:spacing w:before="0" w:after="120" w:line="276" w:lineRule="auto"/>
      </w:pPr>
      <w:r>
        <w:rPr>
          <w:rFonts w:ascii="DM Sans" w:hAnsi="DM Sans" w:cs="DM Sans"/>
          <w:b/>
          <w:i w:val="0"/>
          <w:color w:val="050C2A"/>
          <w:sz w:val="20"/>
          <w:u w:val="none"/>
        </w:rPr>
        <w:t>Project name: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_________________________________________</w:t>
      </w:r>
    </w:p>
    <w:p>
      <w:pPr>
        <w:spacing w:before="0" w:after="120" w:line="276" w:lineRule="auto"/>
      </w:pPr>
      <w:r>
        <w:rPr>
          <w:rFonts w:ascii="DM Sans" w:hAnsi="DM Sans" w:cs="DM Sans"/>
          <w:b/>
          <w:i w:val="0"/>
          <w:color w:val="050C2A"/>
          <w:sz w:val="20"/>
          <w:u w:val="none"/>
        </w:rPr>
        <w:t>Feedback batch source: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_________________________________________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/>
          <w:color w:val="050C2A"/>
          <w:sz w:val="20"/>
          <w:u w:val="none"/>
        </w:rPr>
        <w:t>(e.g., "Development Check-In #1, Week 7", "Internal cross-review of Section 2 draft, Week 8", "Peer review feedback, Week 8")</w:t>
      </w:r>
    </w:p>
    <w:p>
      <w:pPr>
        <w:spacing w:before="0" w:after="120" w:line="276" w:lineRule="auto"/>
      </w:pPr>
      <w:r>
        <w:rPr>
          <w:rFonts w:ascii="DM Sans" w:hAnsi="DM Sans" w:cs="DM Sans"/>
          <w:b/>
          <w:i w:val="0"/>
          <w:color w:val="050C2A"/>
          <w:sz w:val="20"/>
          <w:u w:val="none"/>
        </w:rPr>
        <w:t>Date this plan was created: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_________________________________________</w:t>
      </w:r>
    </w:p>
    <w:p>
      <w:pPr>
        <w:pStyle w:val="Heading2"/>
        <w:spacing w:before="280" w:after="100"/>
      </w:pPr>
      <w:r>
        <w:rPr>
          <w:rFonts w:ascii="DM Sans" w:hAnsi="DM Sans" w:cs="DM Sans"/>
          <w:b/>
          <w:i w:val="0"/>
          <w:color w:val="050C2A"/>
          <w:sz w:val="28"/>
          <w:u w:val="none"/>
        </w:rPr>
        <w:t>A reminder on triage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Before adding feedback to the plan, sort each item into one of three buckets:</w:t>
      </w:r>
    </w:p>
    <w:p>
      <w:pPr>
        <w:ind w:left="720" w:hanging="360"/>
        <w:spacing w:before="0" w:after="60" w:line="276" w:lineRule="auto"/>
      </w:pPr>
      <w:r>
        <w:rPr>
          <w:rFonts w:ascii="DM Sans" w:hAnsi="DM Sans" w:cs="DM Sans"/>
          <w:b/>
          <w:i w:val="0"/>
          <w:color w:val="FF7C0A"/>
          <w:sz w:val="20"/>
          <w:u w:val="none"/>
        </w:rPr>
        <w:t xml:space="preserve">•  </w:t>
      </w:r>
      <w:r>
        <w:rPr>
          <w:rFonts w:ascii="DM Sans" w:hAnsi="DM Sans" w:cs="DM Sans"/>
          <w:b/>
          <w:i w:val="0"/>
          <w:color w:val="050C2A"/>
          <w:sz w:val="20"/>
          <w:u w:val="none"/>
        </w:rPr>
        <w:t>Act on.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Feedback that changes what you produce: scope corrections, missing analysis, clear direction changes. </w:t>
      </w:r>
      <w:r>
        <w:rPr>
          <w:rFonts w:ascii="DM Sans" w:hAnsi="DM Sans" w:cs="DM Sans"/>
          <w:b w:val="0"/>
          <w:i/>
          <w:color w:val="050C2A"/>
          <w:sz w:val="20"/>
          <w:u w:val="none"/>
        </w:rPr>
        <w:t>Add to this plan with an owner and target date.</w:t>
      </w:r>
    </w:p>
    <w:p>
      <w:pPr>
        <w:ind w:left="720" w:hanging="360"/>
        <w:spacing w:before="0" w:after="60" w:line="276" w:lineRule="auto"/>
      </w:pPr>
      <w:r>
        <w:rPr>
          <w:rFonts w:ascii="DM Sans" w:hAnsi="DM Sans" w:cs="DM Sans"/>
          <w:b/>
          <w:i w:val="0"/>
          <w:color w:val="FF7C0A"/>
          <w:sz w:val="20"/>
          <w:u w:val="none"/>
        </w:rPr>
        <w:t xml:space="preserve">•  </w:t>
      </w:r>
      <w:r>
        <w:rPr>
          <w:rFonts w:ascii="DM Sans" w:hAnsi="DM Sans" w:cs="DM Sans"/>
          <w:b/>
          <w:i w:val="0"/>
          <w:color w:val="050C2A"/>
          <w:sz w:val="20"/>
          <w:u w:val="none"/>
        </w:rPr>
        <w:t>Note.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Context that informs but doesn't change the current work. </w:t>
      </w:r>
      <w:r>
        <w:rPr>
          <w:rFonts w:ascii="DM Sans" w:hAnsi="DM Sans" w:cs="DM Sans"/>
          <w:b w:val="0"/>
          <w:i/>
          <w:color w:val="050C2A"/>
          <w:sz w:val="20"/>
          <w:u w:val="none"/>
        </w:rPr>
        <w:t>Log it in the team's project record so it's available when relevant. It does not belong in this plan.</w:t>
      </w:r>
    </w:p>
    <w:p>
      <w:pPr>
        <w:ind w:left="720" w:hanging="360"/>
        <w:spacing w:before="0" w:after="60" w:line="276" w:lineRule="auto"/>
      </w:pPr>
      <w:r>
        <w:rPr>
          <w:rFonts w:ascii="DM Sans" w:hAnsi="DM Sans" w:cs="DM Sans"/>
          <w:b/>
          <w:i w:val="0"/>
          <w:color w:val="FF7C0A"/>
          <w:sz w:val="20"/>
          <w:u w:val="none"/>
        </w:rPr>
        <w:t xml:space="preserve">•  </w:t>
      </w:r>
      <w:r>
        <w:rPr>
          <w:rFonts w:ascii="DM Sans" w:hAnsi="DM Sans" w:cs="DM Sans"/>
          <w:b/>
          <w:i w:val="0"/>
          <w:color w:val="050C2A"/>
          <w:sz w:val="20"/>
          <w:u w:val="none"/>
        </w:rPr>
        <w:t>Set aside.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Scope-adjacent preferences, tentative suggestions, or comments that conflict with the brief. </w:t>
      </w:r>
      <w:r>
        <w:rPr>
          <w:rFonts w:ascii="DM Sans" w:hAnsi="DM Sans" w:cs="DM Sans"/>
          <w:b w:val="0"/>
          <w:i/>
          <w:color w:val="050C2A"/>
          <w:sz w:val="20"/>
          <w:u w:val="none"/>
        </w:rPr>
        <w:t>Document the decision in the team's project record so it's visible as a deliberate choice. It does not belong in this plan.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A quick test for whether a revision is targeted or structural: if you made the change and didn't tell any of your teammates, would they notice a problem in their own sections? If yes, it's structural and needs to be flagged before work begins.</w:t>
      </w:r>
    </w:p>
    <w:p>
      <w:pPr>
        <w:pStyle w:val="Heading2"/>
        <w:spacing w:before="280" w:after="100"/>
      </w:pPr>
      <w:r>
        <w:rPr>
          <w:rFonts w:ascii="DM Sans" w:hAnsi="DM Sans" w:cs="DM Sans"/>
          <w:b/>
          <w:i w:val="0"/>
          <w:color w:val="050C2A"/>
          <w:sz w:val="28"/>
          <w:u w:val="none"/>
        </w:rPr>
        <w:t>Revisions</w:t>
      </w:r>
    </w:p>
    <w:tbl>
      <w:tblPr>
        <w:jc w:val="center"/>
        <w:tblLook w:firstColumn="1" w:firstRow="1" w:lastColumn="0" w:lastRow="0" w:noHBand="0" w:noVBand="1" w:val="04A0"/>
        <w:tblW w:type="dxa" w:w="9360"/>
        <w:tblLayout w:type="fixed"/>
        <w:tblBorders>
          <w:top w:val="single" w:sz="4" w:space="0" w:color="ACACAC"/>
          <w:left w:val="single" w:sz="4" w:space="0" w:color="ACACAC"/>
          <w:bottom w:val="single" w:sz="4" w:space="0" w:color="ACACAC"/>
          <w:right w:val="single" w:sz="4" w:space="0" w:color="ACACAC"/>
          <w:insideH w:val="single" w:sz="4" w:space="0" w:color="ACACAC"/>
          <w:insideV w:val="single" w:sz="4" w:space="0" w:color="ACACAC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20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Feedback item</w:t>
            </w:r>
          </w:p>
        </w:tc>
        <w:tc>
          <w:tcPr>
            <w:tcW w:type="dxa" w:w="1143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Source</w:t>
            </w:r>
          </w:p>
        </w:tc>
        <w:tc>
          <w:tcPr>
            <w:tcW w:type="dxa" w:w="3225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Revision required</w:t>
            </w:r>
          </w:p>
        </w:tc>
        <w:tc>
          <w:tcPr>
            <w:tcW w:type="dxa" w:w="1785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Owner</w:t>
            </w:r>
          </w:p>
        </w:tc>
        <w:tc>
          <w:tcPr>
            <w:tcW w:type="dxa" w:w="887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Target date</w:t>
            </w:r>
          </w:p>
        </w:tc>
      </w:tr>
      <w:tr>
        <w:tc>
          <w:tcPr>
            <w:tcW w:type="dxa" w:w="2320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Target population in Section 2 focuses on adults 25–45; employer's primary target is older residents.</w:t>
            </w:r>
          </w:p>
        </w:tc>
        <w:tc>
          <w:tcPr>
            <w:tcW w:type="dxa" w:w="1143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Development Check-In #1</w:t>
            </w:r>
          </w:p>
        </w:tc>
        <w:tc>
          <w:tcPr>
            <w:tcW w:type="dxa" w:w="3225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Rewrite Section 2 audience analysis to lead with residents 55+; retain 25–45 as a secondary segment with reduced emphasis. Targeted, single-section change.</w:t>
            </w:r>
          </w:p>
        </w:tc>
        <w:tc>
          <w:tcPr>
            <w:tcW w:type="dxa" w:w="1785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[Section 2 owner]</w:t>
            </w:r>
          </w:p>
        </w:tc>
        <w:tc>
          <w:tcPr>
            <w:tcW w:type="dxa" w:w="887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End of Week 7</w:t>
            </w:r>
          </w:p>
        </w:tc>
      </w:tr>
      <w:tr>
        <w:tc>
          <w:tcPr>
            <w:tcW w:type="dxa" w:w="2320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Workflow described in Section 1 doesn't match how the team operates in Q1, per the employer.</w:t>
            </w:r>
          </w:p>
        </w:tc>
        <w:tc>
          <w:tcPr>
            <w:tcW w:type="dxa" w:w="1143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Development Check-In #1</w:t>
            </w:r>
          </w:p>
        </w:tc>
        <w:tc>
          <w:tcPr>
            <w:tcW w:type="dxa" w:w="3225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Structural. Revise workflow description in Section 1 and trace forward to update Methodology (Section 3) and Recommendations (Section 4). Team coordination required before any section owner begins.</w:t>
            </w:r>
          </w:p>
        </w:tc>
        <w:tc>
          <w:tcPr>
            <w:tcW w:type="dxa" w:w="1785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[Section 1 owner], with structural coordination led by [PM]</w:t>
            </w:r>
          </w:p>
        </w:tc>
        <w:tc>
          <w:tcPr>
            <w:tcW w:type="dxa" w:w="887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Mid Week 8</w:t>
            </w:r>
          </w:p>
        </w:tc>
      </w:tr>
      <w:tr>
        <w:tc>
          <w:tcPr>
            <w:tcW w:type="dxa" w:w="2320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Cited error rate statistic is from 2021; employer has more recent 2024 data.</w:t>
            </w:r>
          </w:p>
        </w:tc>
        <w:tc>
          <w:tcPr>
            <w:tcW w:type="dxa" w:w="1143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Development Check-In #1</w:t>
            </w:r>
          </w:p>
        </w:tc>
        <w:tc>
          <w:tcPr>
            <w:tcW w:type="dxa" w:w="3225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Update one figure and one citation in Section 3.</w:t>
            </w:r>
          </w:p>
        </w:tc>
        <w:tc>
          <w:tcPr>
            <w:tcW w:type="dxa" w:w="1785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[Section 3 owner]</w:t>
            </w:r>
          </w:p>
        </w:tc>
        <w:tc>
          <w:tcPr>
            <w:tcW w:type="dxa" w:w="887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/>
                <w:color w:val="050C2A"/>
                <w:sz w:val="20"/>
                <w:u w:val="none"/>
              </w:rPr>
              <w:t>End of Week 7</w:t>
            </w:r>
          </w:p>
        </w:tc>
      </w:tr>
      <w:tr>
        <w:tc>
          <w:tcPr>
            <w:tcW w:type="dxa" w:w="2320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143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3225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785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887"/>
            <w:shd w:fill="F5F5F5" w:val="clear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2320"/>
            <w:vAlign w:val="center"/>
          </w:tcPr>
          <w:p>
            <w:pPr>
              <w:spacing w:before="30" w:after="30"/>
            </w:pPr>
          </w:p>
        </w:tc>
        <w:tc>
          <w:tcPr>
            <w:tcW w:type="dxa" w:w="1143"/>
            <w:vAlign w:val="center"/>
          </w:tcPr>
          <w:p>
            <w:pPr>
              <w:spacing w:before="30" w:after="30"/>
            </w:pPr>
          </w:p>
        </w:tc>
        <w:tc>
          <w:tcPr>
            <w:tcW w:type="dxa" w:w="3225"/>
            <w:vAlign w:val="center"/>
          </w:tcPr>
          <w:p>
            <w:pPr>
              <w:spacing w:before="30" w:after="30"/>
            </w:pPr>
          </w:p>
        </w:tc>
        <w:tc>
          <w:tcPr>
            <w:tcW w:type="dxa" w:w="1785"/>
            <w:vAlign w:val="center"/>
          </w:tcPr>
          <w:p>
            <w:pPr>
              <w:spacing w:before="30" w:after="30"/>
            </w:pPr>
          </w:p>
        </w:tc>
        <w:tc>
          <w:tcPr>
            <w:tcW w:type="dxa" w:w="887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2320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143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3225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785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887"/>
            <w:shd w:fill="F5F5F5" w:val="clear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2320"/>
            <w:vAlign w:val="center"/>
          </w:tcPr>
          <w:p>
            <w:pPr>
              <w:spacing w:before="30" w:after="30"/>
            </w:pPr>
          </w:p>
        </w:tc>
        <w:tc>
          <w:tcPr>
            <w:tcW w:type="dxa" w:w="1143"/>
            <w:vAlign w:val="center"/>
          </w:tcPr>
          <w:p>
            <w:pPr>
              <w:spacing w:before="30" w:after="30"/>
            </w:pPr>
          </w:p>
        </w:tc>
        <w:tc>
          <w:tcPr>
            <w:tcW w:type="dxa" w:w="3225"/>
            <w:vAlign w:val="center"/>
          </w:tcPr>
          <w:p>
            <w:pPr>
              <w:spacing w:before="30" w:after="30"/>
            </w:pPr>
          </w:p>
        </w:tc>
        <w:tc>
          <w:tcPr>
            <w:tcW w:type="dxa" w:w="1785"/>
            <w:vAlign w:val="center"/>
          </w:tcPr>
          <w:p>
            <w:pPr>
              <w:spacing w:before="30" w:after="30"/>
            </w:pPr>
          </w:p>
        </w:tc>
        <w:tc>
          <w:tcPr>
            <w:tcW w:type="dxa" w:w="887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2320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143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3225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785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887"/>
            <w:shd w:fill="F5F5F5" w:val="clear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2320"/>
            <w:vAlign w:val="center"/>
          </w:tcPr>
          <w:p>
            <w:pPr>
              <w:spacing w:before="30" w:after="30"/>
            </w:pPr>
          </w:p>
        </w:tc>
        <w:tc>
          <w:tcPr>
            <w:tcW w:type="dxa" w:w="1143"/>
            <w:vAlign w:val="center"/>
          </w:tcPr>
          <w:p>
            <w:pPr>
              <w:spacing w:before="30" w:after="30"/>
            </w:pPr>
          </w:p>
        </w:tc>
        <w:tc>
          <w:tcPr>
            <w:tcW w:type="dxa" w:w="3225"/>
            <w:vAlign w:val="center"/>
          </w:tcPr>
          <w:p>
            <w:pPr>
              <w:spacing w:before="30" w:after="30"/>
            </w:pPr>
          </w:p>
        </w:tc>
        <w:tc>
          <w:tcPr>
            <w:tcW w:type="dxa" w:w="1785"/>
            <w:vAlign w:val="center"/>
          </w:tcPr>
          <w:p>
            <w:pPr>
              <w:spacing w:before="30" w:after="30"/>
            </w:pPr>
          </w:p>
        </w:tc>
        <w:tc>
          <w:tcPr>
            <w:tcW w:type="dxa" w:w="887"/>
            <w:vAlign w:val="center"/>
          </w:tcPr>
          <w:p>
            <w:pPr>
              <w:spacing w:before="30" w:after="30"/>
            </w:pPr>
          </w:p>
        </w:tc>
      </w:tr>
      <w:tr>
        <w:tc>
          <w:tcPr>
            <w:tcW w:type="dxa" w:w="2320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143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3225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1785"/>
            <w:shd w:fill="F5F5F5" w:val="clear"/>
            <w:vAlign w:val="center"/>
          </w:tcPr>
          <w:p>
            <w:pPr>
              <w:spacing w:before="30" w:after="30"/>
            </w:pPr>
          </w:p>
        </w:tc>
        <w:tc>
          <w:tcPr>
            <w:tcW w:type="dxa" w:w="887"/>
            <w:shd w:fill="F5F5F5" w:val="clear"/>
            <w:vAlign w:val="center"/>
          </w:tcPr>
          <w:p>
            <w:pPr>
              <w:spacing w:before="30" w:after="30"/>
            </w:pP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DM Sans" w:hAnsi="DM Sans" w:cs="DM Sans"/>
          <w:b w:val="0"/>
          <w:i/>
          <w:color w:val="050C2A"/>
          <w:sz w:val="20"/>
          <w:u w:val="none"/>
        </w:rPr>
        <w:t>Once each revision is complete, copy the item across to the Change Log as a record for the Final Deliverables submission.</w:t>
      </w:r>
    </w:p>
    <w:sectPr w:rsidR="00FC693F" w:rsidRPr="0006063C" w:rsidSect="00034616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 w:cs="DM Sans"/>
      <w:color w:val="050C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