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Professional Engagement — Grading Guide</w:t>
      </w:r>
    </w:p>
    <w:p>
      <w:pPr>
        <w:spacing w:before="0" w:after="120" w:line="276" w:lineRule="auto"/>
      </w:pPr>
      <w:r>
        <w:rPr>
          <w:rFonts w:ascii="DM Sans" w:hAnsi="DM Sans" w:cs="DM Sans"/>
          <w:b w:val="0"/>
          <w:i/>
          <w:color w:val="050C2A"/>
          <w:sz w:val="20"/>
          <w:u w:val="none"/>
        </w:rPr>
        <w:t>Riipen Career Catalyst | Facilitator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Peer Evaluation Framework, Employer Evaluation Framework, and Assessment Strategy</w:t>
      </w:r>
    </w:p>
    <w:p>
      <w:pPr>
        <w:pBdr>
          <w:bottom w:val="single" w:sz="6" w:space="1" w:color="ACACAC"/>
        </w:pBdr>
        <w:spacing w:before="120" w:after="120"/>
      </w:pPr>
    </w:p>
    <w:p>
      <w:pPr>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Professional Engagement (20% of the final course grade) is a composite score drawn from three evidence sources: peer evaluation, employer feedback, and instructor observation. Unlike the Final Deliverables or Final Presentation rubrics — which assess a single artifact against a set of dimensions — Professional Engagement synthesizes multiple data streams collected at different points across the semester into one score.</w:t>
      </w:r>
    </w:p>
    <w:p>
      <w:pPr>
        <w:spacing w:before="0" w:after="120" w:line="276" w:lineRule="auto"/>
      </w:pPr>
      <w:r>
        <w:rPr>
          <w:rFonts w:ascii="DM Sans" w:hAnsi="DM Sans" w:cs="DM Sans"/>
          <w:b w:val="0"/>
          <w:i w:val="0"/>
          <w:color w:val="050C2A"/>
          <w:sz w:val="20"/>
          <w:u w:val="none"/>
        </w:rPr>
        <w:t>This guide serves three functions: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Scoring the instructor observation component.</w:t>
      </w:r>
      <w:r>
        <w:rPr>
          <w:rFonts w:ascii="DM Sans" w:hAnsi="DM Sans" w:cs="DM Sans"/>
          <w:b w:val="0"/>
          <w:i w:val="0"/>
          <w:color w:val="050C2A"/>
          <w:sz w:val="20"/>
          <w:u w:val="none"/>
        </w:rPr>
        <w:t xml:space="preserve"> Peer evaluation and employer feedback have their own instruments with BARS anchors. Instructor observation does not have a standalone instrument — this guide provides the holistic descriptors and evidence prompts that support a fair, consistent score.</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Walking through the combination workflow.</w:t>
      </w:r>
      <w:r>
        <w:rPr>
          <w:rFonts w:ascii="DM Sans" w:hAnsi="DM Sans" w:cs="DM Sans"/>
          <w:b w:val="0"/>
          <w:i w:val="0"/>
          <w:color w:val="050C2A"/>
          <w:sz w:val="20"/>
          <w:u w:val="none"/>
        </w:rPr>
        <w:t xml:space="preserve"> The math is straightforward, but the judgment calls around it are not. This guide provides the step-by-step process for pulling data, checking for flags, applying adjustments, and arriving at a final score.</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Calibrating edge cases.</w:t>
      </w:r>
      <w:r>
        <w:rPr>
          <w:rFonts w:ascii="DM Sans" w:hAnsi="DM Sans" w:cs="DM Sans"/>
          <w:b w:val="0"/>
          <w:i w:val="0"/>
          <w:color w:val="050C2A"/>
          <w:sz w:val="20"/>
          <w:u w:val="none"/>
        </w:rPr>
        <w:t xml:space="preserve"> Professional Engagement generates more instructor judgment calls than any other grade component. This guide addresses the most common scenarios.</w:t>
      </w:r>
    </w:p>
    <w:p>
      <w:pPr>
        <w:spacing w:before="0" w:after="120" w:line="276" w:lineRule="auto"/>
      </w:pPr>
      <w:r>
        <w:rPr>
          <w:rFonts w:ascii="DM Sans" w:hAnsi="DM Sans" w:cs="DM Sans"/>
          <w:b/>
          <w:i w:val="0"/>
          <w:color w:val="050C2A"/>
          <w:sz w:val="20"/>
          <w:u w:val="none"/>
        </w:rPr>
        <w:t>The governing principle:</w:t>
      </w:r>
      <w:r>
        <w:rPr>
          <w:rFonts w:ascii="DM Sans" w:hAnsi="DM Sans" w:cs="DM Sans"/>
          <w:b w:val="0"/>
          <w:i w:val="0"/>
          <w:color w:val="050C2A"/>
          <w:sz w:val="20"/>
          <w:u w:val="none"/>
        </w:rPr>
        <w:t xml:space="preserve"> Professional Engagement assesses </w:t>
      </w:r>
      <w:r>
        <w:rPr>
          <w:rFonts w:ascii="DM Sans" w:hAnsi="DM Sans" w:cs="DM Sans"/>
          <w:b w:val="0"/>
          <w:i/>
          <w:color w:val="050C2A"/>
          <w:sz w:val="20"/>
          <w:u w:val="none"/>
        </w:rPr>
        <w:t>how students work</w:t>
      </w:r>
      <w:r>
        <w:rPr>
          <w:rFonts w:ascii="DM Sans" w:hAnsi="DM Sans" w:cs="DM Sans"/>
          <w:b w:val="0"/>
          <w:i w:val="0"/>
          <w:color w:val="050C2A"/>
          <w:sz w:val="20"/>
          <w:u w:val="none"/>
        </w:rPr>
        <w:t xml:space="preserve">, not </w:t>
      </w:r>
      <w:r>
        <w:rPr>
          <w:rFonts w:ascii="DM Sans" w:hAnsi="DM Sans" w:cs="DM Sans"/>
          <w:b w:val="0"/>
          <w:i/>
          <w:color w:val="050C2A"/>
          <w:sz w:val="20"/>
          <w:u w:val="none"/>
        </w:rPr>
        <w:t>what they produce</w:t>
      </w:r>
      <w:r>
        <w:rPr>
          <w:rFonts w:ascii="DM Sans" w:hAnsi="DM Sans" w:cs="DM Sans"/>
          <w:b w:val="0"/>
          <w:i w:val="0"/>
          <w:color w:val="050C2A"/>
          <w:sz w:val="20"/>
          <w:u w:val="none"/>
        </w:rPr>
        <w:t>. Reliability, communication, collaboration, and responsiveness are the behaviors being evaluated. A student can produce excellent deliverables and still score poorly on Professional Engagement if they were unreliable, unresponsive, or carried by teammates. Conversely, a student whose deliverables are average but who was consistently dependable, communicative, and collaborative should score well here.</w:t>
      </w:r>
    </w:p>
    <w:p>
      <w:pPr>
        <w:spacing w:before="280" w:after="100"/>
      </w:pPr>
      <w:r>
        <w:rPr>
          <w:rFonts w:ascii="DM Sans" w:hAnsi="DM Sans" w:cs="DM Sans"/>
          <w:b/>
          <w:i w:val="0"/>
          <w:color w:val="050C2A"/>
          <w:sz w:val="28"/>
          <w:u w:val="none"/>
        </w:rPr>
        <w:t>The Three Evidence Sources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880"/>
            <w:shd w:fill="FF7C0A" w:val="clear"/>
            <w:vAlign w:val="center"/>
          </w:tcPr>
          <w:p>
            <w:pPr>
              <w:jc w:val="left"/>
              <w:spacing w:before="40" w:after="40"/>
            </w:pPr>
            <w:r>
              <w:rPr>
                <w:rFonts w:ascii="DM Sans" w:hAnsi="DM Sans" w:cs="DM Sans"/>
                <w:b/>
                <w:i w:val="0"/>
                <w:color w:val="FFFFFF"/>
                <w:sz w:val="20"/>
                <w:u w:val="none"/>
              </w:rPr>
              <w:t>Source</w:t>
            </w:r>
          </w:p>
        </w:tc>
        <w:tc>
          <w:tcPr>
            <w:tcW w:type="dxa" w:w="3867"/>
            <w:shd w:fill="FF7C0A" w:val="clear"/>
            <w:vAlign w:val="center"/>
          </w:tcPr>
          <w:p>
            <w:pPr>
              <w:jc w:val="left"/>
              <w:spacing w:before="40" w:after="40"/>
            </w:pPr>
            <w:r>
              <w:rPr>
                <w:rFonts w:ascii="DM Sans" w:hAnsi="DM Sans" w:cs="DM Sans"/>
                <w:b/>
                <w:i w:val="0"/>
                <w:color w:val="FFFFFF"/>
                <w:sz w:val="20"/>
                <w:u w:val="none"/>
              </w:rPr>
              <w:t>What It Captures</w:t>
            </w:r>
          </w:p>
        </w:tc>
        <w:tc>
          <w:tcPr>
            <w:tcW w:type="dxa" w:w="903"/>
            <w:shd w:fill="FF7C0A" w:val="clear"/>
            <w:vAlign w:val="center"/>
          </w:tcPr>
          <w:p>
            <w:pPr>
              <w:jc w:val="left"/>
              <w:spacing w:before="40" w:after="40"/>
            </w:pPr>
            <w:r>
              <w:rPr>
                <w:rFonts w:ascii="DM Sans" w:hAnsi="DM Sans" w:cs="DM Sans"/>
                <w:b/>
                <w:i w:val="0"/>
                <w:color w:val="FFFFFF"/>
                <w:sz w:val="20"/>
                <w:u w:val="none"/>
              </w:rPr>
              <w:t>Weight</w:t>
            </w:r>
          </w:p>
        </w:tc>
        <w:tc>
          <w:tcPr>
            <w:tcW w:type="dxa" w:w="2710"/>
            <w:shd w:fill="FF7C0A" w:val="clear"/>
            <w:vAlign w:val="center"/>
          </w:tcPr>
          <w:p>
            <w:pPr>
              <w:jc w:val="left"/>
              <w:spacing w:before="40" w:after="40"/>
            </w:pPr>
            <w:r>
              <w:rPr>
                <w:rFonts w:ascii="DM Sans" w:hAnsi="DM Sans" w:cs="DM Sans"/>
                <w:b/>
                <w:i w:val="0"/>
                <w:color w:val="FFFFFF"/>
                <w:sz w:val="20"/>
                <w:u w:val="none"/>
              </w:rPr>
              <w:t>Timing</w:t>
            </w:r>
          </w:p>
        </w:tc>
      </w:tr>
      <w:tr>
        <w:tc>
          <w:tcPr>
            <w:tcW w:type="dxa" w:w="1880"/>
            <w:vAlign w:val="center"/>
          </w:tcPr>
          <w:p>
            <w:pPr>
              <w:spacing w:before="30" w:after="30"/>
            </w:pPr>
            <w:r>
              <w:rPr>
                <w:rFonts w:ascii="DM Sans" w:hAnsi="DM Sans" w:cs="DM Sans"/>
                <w:b/>
                <w:i w:val="0"/>
                <w:color w:val="050C2A"/>
                <w:sz w:val="20"/>
                <w:u w:val="none"/>
              </w:rPr>
              <w:t>Peer Evaluation</w:t>
            </w:r>
          </w:p>
        </w:tc>
        <w:tc>
          <w:tcPr>
            <w:tcW w:type="dxa" w:w="3867"/>
            <w:vAlign w:val="center"/>
          </w:tcPr>
          <w:p>
            <w:pPr>
              <w:spacing w:before="30" w:after="30"/>
            </w:pPr>
            <w:r>
              <w:rPr>
                <w:rFonts w:ascii="DM Sans" w:hAnsi="DM Sans" w:cs="DM Sans"/>
                <w:b w:val="0"/>
                <w:i w:val="0"/>
                <w:color w:val="050C2A"/>
                <w:sz w:val="20"/>
                <w:u w:val="none"/>
              </w:rPr>
              <w:t>Individual contribution, reliability, collaboration behaviors — what teammates observe that instructors cannot</w:t>
            </w:r>
          </w:p>
        </w:tc>
        <w:tc>
          <w:tcPr>
            <w:tcW w:type="dxa" w:w="903"/>
            <w:vAlign w:val="center"/>
          </w:tcPr>
          <w:p>
            <w:pPr>
              <w:spacing w:before="30" w:after="30"/>
            </w:pPr>
            <w:r>
              <w:rPr>
                <w:rFonts w:ascii="DM Sans" w:hAnsi="DM Sans" w:cs="DM Sans"/>
                <w:b w:val="0"/>
                <w:i w:val="0"/>
                <w:color w:val="050C2A"/>
                <w:sz w:val="20"/>
                <w:u w:val="none"/>
              </w:rPr>
              <w:t>50%</w:t>
            </w:r>
          </w:p>
        </w:tc>
        <w:tc>
          <w:tcPr>
            <w:tcW w:type="dxa" w:w="2710"/>
            <w:vAlign w:val="center"/>
          </w:tcPr>
          <w:p>
            <w:pPr>
              <w:spacing w:before="30" w:after="30"/>
            </w:pPr>
            <w:r>
              <w:rPr>
                <w:rFonts w:ascii="DM Sans" w:hAnsi="DM Sans" w:cs="DM Sans"/>
                <w:b w:val="0"/>
                <w:i w:val="0"/>
                <w:color w:val="050C2A"/>
                <w:sz w:val="20"/>
                <w:u w:val="none"/>
              </w:rPr>
              <w:t>Week 8 (formative, 30%) + Week 15 (summative, 70%)</w:t>
            </w:r>
          </w:p>
        </w:tc>
      </w:tr>
      <w:tr>
        <w:tc>
          <w:tcPr>
            <w:tcW w:type="dxa" w:w="1880"/>
            <w:shd w:fill="F5F5F5" w:val="clear"/>
            <w:vAlign w:val="center"/>
          </w:tcPr>
          <w:p>
            <w:pPr>
              <w:spacing w:before="30" w:after="30"/>
            </w:pPr>
            <w:r>
              <w:rPr>
                <w:rFonts w:ascii="DM Sans" w:hAnsi="DM Sans" w:cs="DM Sans"/>
                <w:b/>
                <w:i w:val="0"/>
                <w:color w:val="050C2A"/>
                <w:sz w:val="20"/>
                <w:u w:val="none"/>
              </w:rPr>
              <w:t>Employer Feedback</w:t>
            </w:r>
          </w:p>
        </w:tc>
        <w:tc>
          <w:tcPr>
            <w:tcW w:type="dxa" w:w="3867"/>
            <w:shd w:fill="F5F5F5" w:val="clear"/>
            <w:vAlign w:val="center"/>
          </w:tcPr>
          <w:p>
            <w:pPr>
              <w:spacing w:before="30" w:after="30"/>
            </w:pPr>
            <w:r>
              <w:rPr>
                <w:rFonts w:ascii="DM Sans" w:hAnsi="DM Sans" w:cs="DM Sans"/>
                <w:b w:val="0"/>
                <w:i w:val="0"/>
                <w:color w:val="050C2A"/>
                <w:sz w:val="20"/>
                <w:u w:val="none"/>
              </w:rPr>
              <w:t>Team-level professionalism, responsiveness, communication quality in client interactions</w:t>
            </w:r>
          </w:p>
        </w:tc>
        <w:tc>
          <w:tcPr>
            <w:tcW w:type="dxa" w:w="903"/>
            <w:shd w:fill="F5F5F5" w:val="clear"/>
            <w:vAlign w:val="center"/>
          </w:tcPr>
          <w:p>
            <w:pPr>
              <w:spacing w:before="30" w:after="30"/>
            </w:pPr>
            <w:r>
              <w:rPr>
                <w:rFonts w:ascii="DM Sans" w:hAnsi="DM Sans" w:cs="DM Sans"/>
                <w:b w:val="0"/>
                <w:i w:val="0"/>
                <w:color w:val="050C2A"/>
                <w:sz w:val="20"/>
                <w:u w:val="none"/>
              </w:rPr>
              <w:t>25%</w:t>
            </w:r>
          </w:p>
        </w:tc>
        <w:tc>
          <w:tcPr>
            <w:tcW w:type="dxa" w:w="2710"/>
            <w:shd w:fill="F5F5F5" w:val="clear"/>
            <w:vAlign w:val="center"/>
          </w:tcPr>
          <w:p>
            <w:pPr>
              <w:spacing w:before="30" w:after="30"/>
            </w:pPr>
            <w:r>
              <w:rPr>
                <w:rFonts w:ascii="DM Sans" w:hAnsi="DM Sans" w:cs="DM Sans"/>
                <w:b w:val="0"/>
                <w:i w:val="0"/>
                <w:color w:val="050C2A"/>
                <w:sz w:val="20"/>
                <w:u w:val="none"/>
              </w:rPr>
              <w:t>Mid-project survey (30%) + End-of-project survey (70%)</w:t>
            </w:r>
          </w:p>
        </w:tc>
      </w:tr>
      <w:tr>
        <w:tc>
          <w:tcPr>
            <w:tcW w:type="dxa" w:w="1880"/>
            <w:vAlign w:val="center"/>
          </w:tcPr>
          <w:p>
            <w:pPr>
              <w:spacing w:before="30" w:after="30"/>
            </w:pPr>
            <w:r>
              <w:rPr>
                <w:rFonts w:ascii="DM Sans" w:hAnsi="DM Sans" w:cs="DM Sans"/>
                <w:b/>
                <w:i w:val="0"/>
                <w:color w:val="050C2A"/>
                <w:sz w:val="20"/>
                <w:u w:val="none"/>
              </w:rPr>
              <w:t>Instructor Observation</w:t>
            </w:r>
          </w:p>
        </w:tc>
        <w:tc>
          <w:tcPr>
            <w:tcW w:type="dxa" w:w="3867"/>
            <w:vAlign w:val="center"/>
          </w:tcPr>
          <w:p>
            <w:pPr>
              <w:spacing w:before="30" w:after="30"/>
            </w:pPr>
            <w:r>
              <w:rPr>
                <w:rFonts w:ascii="DM Sans" w:hAnsi="DM Sans" w:cs="DM Sans"/>
                <w:b w:val="0"/>
                <w:i w:val="0"/>
                <w:color w:val="050C2A"/>
                <w:sz w:val="20"/>
                <w:u w:val="none"/>
              </w:rPr>
              <w:t>Checkpoint patterns, communication quality, feedback responsiveness, overall professional judgment</w:t>
            </w:r>
          </w:p>
        </w:tc>
        <w:tc>
          <w:tcPr>
            <w:tcW w:type="dxa" w:w="903"/>
            <w:vAlign w:val="center"/>
          </w:tcPr>
          <w:p>
            <w:pPr>
              <w:spacing w:before="30" w:after="30"/>
            </w:pPr>
            <w:r>
              <w:rPr>
                <w:rFonts w:ascii="DM Sans" w:hAnsi="DM Sans" w:cs="DM Sans"/>
                <w:b w:val="0"/>
                <w:i w:val="0"/>
                <w:color w:val="050C2A"/>
                <w:sz w:val="20"/>
                <w:u w:val="none"/>
              </w:rPr>
              <w:t>25%</w:t>
            </w:r>
          </w:p>
        </w:tc>
        <w:tc>
          <w:tcPr>
            <w:tcW w:type="dxa" w:w="2710"/>
            <w:vAlign w:val="center"/>
          </w:tcPr>
          <w:p>
            <w:pPr>
              <w:spacing w:before="30" w:after="30"/>
            </w:pPr>
            <w:r>
              <w:rPr>
                <w:rFonts w:ascii="DM Sans" w:hAnsi="DM Sans" w:cs="DM Sans"/>
                <w:b w:val="0"/>
                <w:i w:val="0"/>
                <w:color w:val="050C2A"/>
                <w:sz w:val="20"/>
                <w:u w:val="none"/>
              </w:rPr>
              <w:t>Cumulative across the full course</w:t>
            </w:r>
          </w:p>
        </w:tc>
      </w:tr>
    </w:tbl>
    <w:p>
      <w:pPr>
        <w:spacing w:before="0" w:after="120"/>
      </w:pPr>
    </w:p>
    <w:p>
      <w:pPr>
        <w:spacing w:before="240" w:after="80"/>
      </w:pPr>
      <w:r>
        <w:rPr>
          <w:rFonts w:ascii="DM Sans" w:hAnsi="DM Sans" w:cs="DM Sans"/>
          <w:b/>
          <w:i w:val="0"/>
          <w:color w:val="050C2A"/>
          <w:sz w:val="24"/>
          <w:u w:val="none"/>
        </w:rPr>
        <w:t>Why These Weights</w:t>
      </w:r>
    </w:p>
    <w:p>
      <w:pPr>
        <w:spacing w:before="0" w:after="120" w:line="276" w:lineRule="auto"/>
      </w:pPr>
      <w:r>
        <w:rPr>
          <w:rFonts w:ascii="DM Sans" w:hAnsi="DM Sans" w:cs="DM Sans"/>
          <w:b w:val="0"/>
          <w:i w:val="0"/>
          <w:color w:val="050C2A"/>
          <w:sz w:val="20"/>
          <w:u w:val="none"/>
        </w:rPr>
        <w:t>Peer evaluation carries the highest weight (50%) because teammates have direct visibility into individual contribution patterns that neither instructors nor employers can observe. They know who did the work, who was reliable, and who collaborated effectively. Employer feedback (25%) validates team-level professionalism in authentic client interactions but cannot distinguish individual contributions. Instructor observation (25%) provides a check-and-balance on both — instructors see checkpoint patterns, feedback responsiveness, and communication quality, and can correct for inflated peer evaluations or inconsistent employer feedback.</w:t>
      </w:r>
    </w:p>
    <w:p>
      <w:pPr>
        <w:spacing w:before="280" w:after="100"/>
      </w:pPr>
      <w:r>
        <w:rPr>
          <w:rFonts w:ascii="DM Sans" w:hAnsi="DM Sans" w:cs="DM Sans"/>
          <w:b/>
          <w:i w:val="0"/>
          <w:color w:val="050C2A"/>
          <w:sz w:val="28"/>
          <w:u w:val="none"/>
        </w:rPr>
        <w:t>Scoring Scale Reference</w:t>
      </w:r>
    </w:p>
    <w:p>
      <w:pPr>
        <w:spacing w:before="0" w:after="120" w:line="276" w:lineRule="auto"/>
      </w:pPr>
      <w:r>
        <w:rPr>
          <w:rFonts w:ascii="DM Sans" w:hAnsi="DM Sans" w:cs="DM Sans"/>
          <w:b w:val="0"/>
          <w:i w:val="0"/>
          <w:color w:val="050C2A"/>
          <w:sz w:val="20"/>
          <w:u w:val="none"/>
        </w:rPr>
        <w:t>All three sources use the same 1–4 scale and percentage conversion: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666"/>
            <w:shd w:fill="FF7C0A" w:val="clear"/>
            <w:vAlign w:val="center"/>
          </w:tcPr>
          <w:p>
            <w:pPr>
              <w:jc w:val="left"/>
              <w:spacing w:before="40" w:after="40"/>
            </w:pPr>
            <w:r>
              <w:rPr>
                <w:rFonts w:ascii="DM Sans" w:hAnsi="DM Sans" w:cs="DM Sans"/>
                <w:b/>
                <w:i w:val="0"/>
                <w:color w:val="FFFFFF"/>
                <w:sz w:val="20"/>
                <w:u w:val="none"/>
              </w:rPr>
              <w:t>Score</w:t>
            </w:r>
          </w:p>
        </w:tc>
        <w:tc>
          <w:tcPr>
            <w:tcW w:type="dxa" w:w="2356"/>
            <w:shd w:fill="FF7C0A" w:val="clear"/>
            <w:vAlign w:val="center"/>
          </w:tcPr>
          <w:p>
            <w:pPr>
              <w:jc w:val="left"/>
              <w:spacing w:before="40" w:after="40"/>
            </w:pPr>
            <w:r>
              <w:rPr>
                <w:rFonts w:ascii="DM Sans" w:hAnsi="DM Sans" w:cs="DM Sans"/>
                <w:b/>
                <w:i w:val="0"/>
                <w:color w:val="FFFFFF"/>
                <w:sz w:val="20"/>
                <w:u w:val="none"/>
              </w:rPr>
              <w:t>Label</w:t>
            </w:r>
          </w:p>
        </w:tc>
        <w:tc>
          <w:tcPr>
            <w:tcW w:type="dxa" w:w="2356"/>
            <w:shd w:fill="FF7C0A" w:val="clear"/>
            <w:vAlign w:val="center"/>
          </w:tcPr>
          <w:p>
            <w:pPr>
              <w:jc w:val="left"/>
              <w:spacing w:before="40" w:after="40"/>
            </w:pPr>
            <w:r>
              <w:rPr>
                <w:rFonts w:ascii="DM Sans" w:hAnsi="DM Sans" w:cs="DM Sans"/>
                <w:b/>
                <w:i w:val="0"/>
                <w:color w:val="FFFFFF"/>
                <w:sz w:val="20"/>
                <w:u w:val="none"/>
              </w:rPr>
              <w:t>Percentage</w:t>
            </w:r>
          </w:p>
        </w:tc>
        <w:tc>
          <w:tcPr>
            <w:tcW w:type="dxa" w:w="2982"/>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666"/>
            <w:vAlign w:val="center"/>
          </w:tcPr>
          <w:p>
            <w:pPr>
              <w:spacing w:before="30" w:after="30"/>
            </w:pPr>
            <w:r>
              <w:rPr>
                <w:rFonts w:ascii="DM Sans" w:hAnsi="DM Sans" w:cs="DM Sans"/>
                <w:b w:val="0"/>
                <w:i w:val="0"/>
                <w:color w:val="050C2A"/>
                <w:sz w:val="20"/>
                <w:u w:val="none"/>
              </w:rPr>
              <w:t>4</w:t>
            </w:r>
          </w:p>
        </w:tc>
        <w:tc>
          <w:tcPr>
            <w:tcW w:type="dxa" w:w="2356"/>
            <w:vAlign w:val="center"/>
          </w:tcPr>
          <w:p>
            <w:pPr>
              <w:spacing w:before="30" w:after="30"/>
            </w:pPr>
            <w:r>
              <w:rPr>
                <w:rFonts w:ascii="DM Sans" w:hAnsi="DM Sans" w:cs="DM Sans"/>
                <w:b w:val="0"/>
                <w:i w:val="0"/>
                <w:color w:val="050C2A"/>
                <w:sz w:val="20"/>
                <w:u w:val="none"/>
              </w:rPr>
              <w:t>Exemplary</w:t>
            </w:r>
          </w:p>
        </w:tc>
        <w:tc>
          <w:tcPr>
            <w:tcW w:type="dxa" w:w="2356"/>
            <w:vAlign w:val="center"/>
          </w:tcPr>
          <w:p>
            <w:pPr>
              <w:spacing w:before="30" w:after="30"/>
            </w:pPr>
            <w:r>
              <w:rPr>
                <w:rFonts w:ascii="DM Sans" w:hAnsi="DM Sans" w:cs="DM Sans"/>
                <w:b w:val="0"/>
                <w:i w:val="0"/>
                <w:color w:val="050C2A"/>
                <w:sz w:val="20"/>
                <w:u w:val="none"/>
              </w:rPr>
              <w:t>95%</w:t>
            </w:r>
          </w:p>
        </w:tc>
        <w:tc>
          <w:tcPr>
            <w:tcW w:type="dxa" w:w="2982"/>
            <w:vAlign w:val="center"/>
          </w:tcPr>
          <w:p>
            <w:pPr>
              <w:spacing w:before="30" w:after="30"/>
            </w:pPr>
            <w:r>
              <w:rPr>
                <w:rFonts w:ascii="DM Sans" w:hAnsi="DM Sans" w:cs="DM Sans"/>
                <w:b w:val="0"/>
                <w:i w:val="0"/>
                <w:color w:val="050C2A"/>
                <w:sz w:val="20"/>
                <w:u w:val="none"/>
              </w:rPr>
              <w:t>A</w:t>
            </w:r>
          </w:p>
        </w:tc>
      </w:tr>
      <w:tr>
        <w:tc>
          <w:tcPr>
            <w:tcW w:type="dxa" w:w="1666"/>
            <w:shd w:fill="F5F5F5" w:val="clear"/>
            <w:vAlign w:val="center"/>
          </w:tcPr>
          <w:p>
            <w:pPr>
              <w:spacing w:before="30" w:after="30"/>
            </w:pPr>
            <w:r>
              <w:rPr>
                <w:rFonts w:ascii="DM Sans" w:hAnsi="DM Sans" w:cs="DM Sans"/>
                <w:b w:val="0"/>
                <w:i w:val="0"/>
                <w:color w:val="050C2A"/>
                <w:sz w:val="20"/>
                <w:u w:val="none"/>
              </w:rPr>
              <w:t>3</w:t>
            </w:r>
          </w:p>
        </w:tc>
        <w:tc>
          <w:tcPr>
            <w:tcW w:type="dxa" w:w="2356"/>
            <w:shd w:fill="F5F5F5" w:val="clear"/>
            <w:vAlign w:val="center"/>
          </w:tcPr>
          <w:p>
            <w:pPr>
              <w:spacing w:before="30" w:after="30"/>
            </w:pPr>
            <w:r>
              <w:rPr>
                <w:rFonts w:ascii="DM Sans" w:hAnsi="DM Sans" w:cs="DM Sans"/>
                <w:b w:val="0"/>
                <w:i w:val="0"/>
                <w:color w:val="050C2A"/>
                <w:sz w:val="20"/>
                <w:u w:val="none"/>
              </w:rPr>
              <w:t>Proficient</w:t>
            </w:r>
          </w:p>
        </w:tc>
        <w:tc>
          <w:tcPr>
            <w:tcW w:type="dxa" w:w="2356"/>
            <w:shd w:fill="F5F5F5" w:val="clear"/>
            <w:vAlign w:val="center"/>
          </w:tcPr>
          <w:p>
            <w:pPr>
              <w:spacing w:before="30" w:after="30"/>
            </w:pPr>
            <w:r>
              <w:rPr>
                <w:rFonts w:ascii="DM Sans" w:hAnsi="DM Sans" w:cs="DM Sans"/>
                <w:b w:val="0"/>
                <w:i w:val="0"/>
                <w:color w:val="050C2A"/>
                <w:sz w:val="20"/>
                <w:u w:val="none"/>
              </w:rPr>
              <w:t>85%</w:t>
            </w:r>
          </w:p>
        </w:tc>
        <w:tc>
          <w:tcPr>
            <w:tcW w:type="dxa" w:w="2982"/>
            <w:shd w:fill="F5F5F5" w:val="clear"/>
            <w:vAlign w:val="center"/>
          </w:tcPr>
          <w:p>
            <w:pPr>
              <w:spacing w:before="30" w:after="30"/>
            </w:pPr>
            <w:r>
              <w:rPr>
                <w:rFonts w:ascii="DM Sans" w:hAnsi="DM Sans" w:cs="DM Sans"/>
                <w:b w:val="0"/>
                <w:i w:val="0"/>
                <w:color w:val="050C2A"/>
                <w:sz w:val="20"/>
                <w:u w:val="none"/>
              </w:rPr>
              <w:t>B</w:t>
            </w:r>
          </w:p>
        </w:tc>
      </w:tr>
      <w:tr>
        <w:tc>
          <w:tcPr>
            <w:tcW w:type="dxa" w:w="1666"/>
            <w:vAlign w:val="center"/>
          </w:tcPr>
          <w:p>
            <w:pPr>
              <w:spacing w:before="30" w:after="30"/>
            </w:pPr>
            <w:r>
              <w:rPr>
                <w:rFonts w:ascii="DM Sans" w:hAnsi="DM Sans" w:cs="DM Sans"/>
                <w:b w:val="0"/>
                <w:i w:val="0"/>
                <w:color w:val="050C2A"/>
                <w:sz w:val="20"/>
                <w:u w:val="none"/>
              </w:rPr>
              <w:t>2</w:t>
            </w:r>
          </w:p>
        </w:tc>
        <w:tc>
          <w:tcPr>
            <w:tcW w:type="dxa" w:w="2356"/>
            <w:vAlign w:val="center"/>
          </w:tcPr>
          <w:p>
            <w:pPr>
              <w:spacing w:before="30" w:after="30"/>
            </w:pPr>
            <w:r>
              <w:rPr>
                <w:rFonts w:ascii="DM Sans" w:hAnsi="DM Sans" w:cs="DM Sans"/>
                <w:b w:val="0"/>
                <w:i w:val="0"/>
                <w:color w:val="050C2A"/>
                <w:sz w:val="20"/>
                <w:u w:val="none"/>
              </w:rPr>
              <w:t>Developing</w:t>
            </w:r>
          </w:p>
        </w:tc>
        <w:tc>
          <w:tcPr>
            <w:tcW w:type="dxa" w:w="2356"/>
            <w:vAlign w:val="center"/>
          </w:tcPr>
          <w:p>
            <w:pPr>
              <w:spacing w:before="30" w:after="30"/>
            </w:pPr>
            <w:r>
              <w:rPr>
                <w:rFonts w:ascii="DM Sans" w:hAnsi="DM Sans" w:cs="DM Sans"/>
                <w:b w:val="0"/>
                <w:i w:val="0"/>
                <w:color w:val="050C2A"/>
                <w:sz w:val="20"/>
                <w:u w:val="none"/>
              </w:rPr>
              <w:t>75%</w:t>
            </w:r>
          </w:p>
        </w:tc>
        <w:tc>
          <w:tcPr>
            <w:tcW w:type="dxa" w:w="2982"/>
            <w:vAlign w:val="center"/>
          </w:tcPr>
          <w:p>
            <w:pPr>
              <w:spacing w:before="30" w:after="30"/>
            </w:pPr>
            <w:r>
              <w:rPr>
                <w:rFonts w:ascii="DM Sans" w:hAnsi="DM Sans" w:cs="DM Sans"/>
                <w:b w:val="0"/>
                <w:i w:val="0"/>
                <w:color w:val="050C2A"/>
                <w:sz w:val="20"/>
                <w:u w:val="none"/>
              </w:rPr>
              <w:t>C</w:t>
            </w:r>
          </w:p>
        </w:tc>
      </w:tr>
      <w:tr>
        <w:tc>
          <w:tcPr>
            <w:tcW w:type="dxa" w:w="1666"/>
            <w:shd w:fill="F5F5F5" w:val="clear"/>
            <w:vAlign w:val="center"/>
          </w:tcPr>
          <w:p>
            <w:pPr>
              <w:spacing w:before="30" w:after="30"/>
            </w:pPr>
            <w:r>
              <w:rPr>
                <w:rFonts w:ascii="DM Sans" w:hAnsi="DM Sans" w:cs="DM Sans"/>
                <w:b w:val="0"/>
                <w:i w:val="0"/>
                <w:color w:val="050C2A"/>
                <w:sz w:val="20"/>
                <w:u w:val="none"/>
              </w:rPr>
              <w:t>1</w:t>
            </w:r>
          </w:p>
        </w:tc>
        <w:tc>
          <w:tcPr>
            <w:tcW w:type="dxa" w:w="2356"/>
            <w:shd w:fill="F5F5F5" w:val="clear"/>
            <w:vAlign w:val="center"/>
          </w:tcPr>
          <w:p>
            <w:pPr>
              <w:spacing w:before="30" w:after="30"/>
            </w:pPr>
            <w:r>
              <w:rPr>
                <w:rFonts w:ascii="DM Sans" w:hAnsi="DM Sans" w:cs="DM Sans"/>
                <w:b w:val="0"/>
                <w:i w:val="0"/>
                <w:color w:val="050C2A"/>
                <w:sz w:val="20"/>
                <w:u w:val="none"/>
              </w:rPr>
              <w:t>Emerging</w:t>
            </w:r>
          </w:p>
        </w:tc>
        <w:tc>
          <w:tcPr>
            <w:tcW w:type="dxa" w:w="2356"/>
            <w:shd w:fill="F5F5F5" w:val="clear"/>
            <w:vAlign w:val="center"/>
          </w:tcPr>
          <w:p>
            <w:pPr>
              <w:spacing w:before="30" w:after="30"/>
            </w:pPr>
            <w:r>
              <w:rPr>
                <w:rFonts w:ascii="DM Sans" w:hAnsi="DM Sans" w:cs="DM Sans"/>
                <w:b w:val="0"/>
                <w:i w:val="0"/>
                <w:color w:val="050C2A"/>
                <w:sz w:val="20"/>
                <w:u w:val="none"/>
              </w:rPr>
              <w:t>65%</w:t>
            </w:r>
          </w:p>
        </w:tc>
        <w:tc>
          <w:tcPr>
            <w:tcW w:type="dxa" w:w="2982"/>
            <w:shd w:fill="F5F5F5" w:val="clear"/>
            <w:vAlign w:val="center"/>
          </w:tcPr>
          <w:p>
            <w:pPr>
              <w:spacing w:before="30" w:after="30"/>
            </w:pPr>
            <w:r>
              <w:rPr>
                <w:rFonts w:ascii="DM Sans" w:hAnsi="DM Sans" w:cs="DM Sans"/>
                <w:b w:val="0"/>
                <w:i w:val="0"/>
                <w:color w:val="050C2A"/>
                <w:sz w:val="20"/>
                <w:u w:val="none"/>
              </w:rPr>
              <w:t>D</w:t>
            </w:r>
          </w:p>
        </w:tc>
      </w:tr>
    </w:tbl>
    <w:p>
      <w:pPr>
        <w:spacing w:before="0" w:after="120"/>
      </w:pPr>
    </w:p>
    <w:p>
      <w:pPr>
        <w:spacing w:before="0" w:after="120" w:line="276" w:lineRule="auto"/>
      </w:pPr>
      <w:r>
        <w:rPr>
          <w:rFonts w:ascii="DM Sans" w:hAnsi="DM Sans" w:cs="DM Sans"/>
          <w:b w:val="0"/>
          <w:i w:val="0"/>
          <w:color w:val="050C2A"/>
          <w:sz w:val="20"/>
          <w:u w:val="none"/>
        </w:rPr>
        <w:t>The consistent scale across all three sources means the combination formula produces a meaningful weighted average without cross-scale translation.</w:t>
      </w:r>
    </w:p>
    <w:p>
      <w:pPr>
        <w:spacing w:before="280" w:after="100"/>
      </w:pPr>
      <w:r>
        <w:rPr>
          <w:rFonts w:ascii="DM Sans" w:hAnsi="DM Sans" w:cs="DM Sans"/>
          <w:b/>
          <w:i w:val="0"/>
          <w:color w:val="050C2A"/>
          <w:sz w:val="28"/>
          <w:u w:val="none"/>
        </w:rPr>
        <w:t>Source 1: Peer Evaluation (50%)</w:t>
      </w:r>
    </w:p>
    <w:p>
      <w:pPr>
        <w:spacing w:before="0" w:after="120" w:line="276" w:lineRule="auto"/>
      </w:pPr>
      <w:r>
        <w:rPr>
          <w:rFonts w:ascii="DM Sans" w:hAnsi="DM Sans" w:cs="DM Sans"/>
          <w:b w:val="0"/>
          <w:i w:val="0"/>
          <w:color w:val="050C2A"/>
          <w:sz w:val="20"/>
          <w:u w:val="none"/>
        </w:rPr>
        <w:t>Peer evaluation data comes from the instruments specified in the Peer Evaluation Framework. The scoring mechanics are fully defined there; this section summarizes what the instructor needs at grading time.</w:t>
      </w:r>
    </w:p>
    <w:p>
      <w:pPr>
        <w:spacing w:before="240" w:after="80"/>
      </w:pPr>
      <w:r>
        <w:rPr>
          <w:rFonts w:ascii="DM Sans" w:hAnsi="DM Sans" w:cs="DM Sans"/>
          <w:b/>
          <w:i w:val="0"/>
          <w:color w:val="050C2A"/>
          <w:sz w:val="24"/>
          <w:u w:val="none"/>
        </w:rPr>
        <w:t>What You Receive</w:t>
      </w:r>
    </w:p>
    <w:p>
      <w:pPr>
        <w:spacing w:before="0" w:after="120" w:line="276" w:lineRule="auto"/>
      </w:pPr>
      <w:r>
        <w:rPr>
          <w:rFonts w:ascii="DM Sans" w:hAnsi="DM Sans" w:cs="DM Sans"/>
          <w:b w:val="0"/>
          <w:i w:val="0"/>
          <w:color w:val="050C2A"/>
          <w:sz w:val="20"/>
          <w:u w:val="none"/>
        </w:rPr>
        <w:t>For each student, you have: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Week 8 (formative):</w:t>
      </w:r>
      <w:r>
        <w:rPr>
          <w:rFonts w:ascii="DM Sans" w:hAnsi="DM Sans" w:cs="DM Sans"/>
          <w:b w:val="0"/>
          <w:i w:val="0"/>
          <w:color w:val="050C2A"/>
          <w:sz w:val="20"/>
          <w:u w:val="none"/>
        </w:rPr>
        <w:t xml:space="preserve"> Average peer rating on each of four BARS dimensions (Reliability, Contribution, Constructive Engagement, Accountability), plus qualitative Continue/Start/Adjust feedback and self-evaluation scores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Week 15 (summative):</w:t>
      </w:r>
      <w:r>
        <w:rPr>
          <w:rFonts w:ascii="DM Sans" w:hAnsi="DM Sans" w:cs="DM Sans"/>
          <w:b w:val="0"/>
          <w:i w:val="0"/>
          <w:color w:val="050C2A"/>
          <w:sz w:val="20"/>
          <w:u w:val="none"/>
        </w:rPr>
        <w:t xml:space="preserve"> Average peer rating on the same four dimensions, plus contribution allocation data and self-evaluation scores</w:t>
      </w:r>
    </w:p>
    <w:p>
      <w:pPr>
        <w:spacing w:before="240" w:after="80"/>
      </w:pPr>
      <w:r>
        <w:rPr>
          <w:rFonts w:ascii="DM Sans" w:hAnsi="DM Sans" w:cs="DM Sans"/>
          <w:b/>
          <w:i w:val="0"/>
          <w:color w:val="050C2A"/>
          <w:sz w:val="24"/>
          <w:u w:val="none"/>
        </w:rPr>
        <w:t>How the Score Is Calculated</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val="0"/>
          <w:i w:val="0"/>
          <w:color w:val="050C2A"/>
          <w:sz w:val="20"/>
          <w:u w:val="none"/>
        </w:rPr>
        <w:t>Average across the four dimension scores to get a single peer evaluation score (1–4) for each evaluation point</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val="0"/>
          <w:i w:val="0"/>
          <w:color w:val="050C2A"/>
          <w:sz w:val="20"/>
          <w:u w:val="none"/>
        </w:rPr>
        <w:t>Weight the two evaluations: Week 8 × 0.30 + Week 15 × 0.70</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val="0"/>
          <w:i w:val="0"/>
          <w:color w:val="050C2A"/>
          <w:sz w:val="20"/>
          <w:u w:val="none"/>
        </w:rPr>
        <w:t>Convert to percentage using the scale above</w:t>
      </w:r>
    </w:p>
    <w:p>
      <w:pPr>
        <w:spacing w:before="240" w:after="80"/>
      </w:pPr>
      <w:r>
        <w:rPr>
          <w:rFonts w:ascii="DM Sans" w:hAnsi="DM Sans" w:cs="DM Sans"/>
          <w:b/>
          <w:i w:val="0"/>
          <w:color w:val="050C2A"/>
          <w:sz w:val="24"/>
          <w:u w:val="none"/>
        </w:rPr>
        <w:t>What to Review Before Accepting the Score</w:t>
      </w:r>
    </w:p>
    <w:p>
      <w:pPr>
        <w:spacing w:before="0" w:after="120" w:line="276" w:lineRule="auto"/>
      </w:pPr>
      <w:r>
        <w:rPr>
          <w:rFonts w:ascii="DM Sans" w:hAnsi="DM Sans" w:cs="DM Sans"/>
          <w:b w:val="0"/>
          <w:i w:val="0"/>
          <w:color w:val="050C2A"/>
          <w:sz w:val="20"/>
          <w:u w:val="none"/>
        </w:rPr>
        <w:t>Before using the calculated peer evaluation score, check for these flags: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Uniform high ratings across all students in a team</w:t>
      </w:r>
      <w:r>
        <w:rPr>
          <w:rFonts w:ascii="DM Sans" w:hAnsi="DM Sans" w:cs="DM Sans"/>
          <w:b w:val="0"/>
          <w:i w:val="0"/>
          <w:color w:val="050C2A"/>
          <w:sz w:val="20"/>
          <w:u w:val="none"/>
        </w:rPr>
        <w:t xml:space="preserve"> (everyone rates everyone 4 on everything): Likely inflation. Review qualitative evidence — if the written feedback is vague or perfunctory alongside high ratings, the data is unreliable. Consider shifting weight to instructor observation.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Dramatic divergence between raters</w:t>
      </w:r>
      <w:r>
        <w:rPr>
          <w:rFonts w:ascii="DM Sans" w:hAnsi="DM Sans" w:cs="DM Sans"/>
          <w:b w:val="0"/>
          <w:i w:val="0"/>
          <w:color w:val="050C2A"/>
          <w:sz w:val="20"/>
          <w:u w:val="none"/>
        </w:rPr>
        <w:t xml:space="preserve"> (one teammate gives a 4, another gives a 1 on the same dimension): Review the written evidence from both. Determine whether the divergence reflects genuine disagreement about behavior or interpersonal conflict unrelated to performance.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Self-rating exceeds peer average by ≥ 1.5 points on any dimension:</w:t>
      </w:r>
      <w:r>
        <w:rPr>
          <w:rFonts w:ascii="DM Sans" w:hAnsi="DM Sans" w:cs="DM Sans"/>
          <w:b w:val="0"/>
          <w:i w:val="0"/>
          <w:color w:val="050C2A"/>
          <w:sz w:val="20"/>
          <w:u w:val="none"/>
        </w:rPr>
        <w:t xml:space="preserve"> Potential self-perception gap. Not a scoring issue per se, but context for interpreting the student's overall professional development.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Contribution allocation contradicts BARS ratings</w:t>
      </w:r>
      <w:r>
        <w:rPr>
          <w:rFonts w:ascii="DM Sans" w:hAnsi="DM Sans" w:cs="DM Sans"/>
          <w:b w:val="0"/>
          <w:i w:val="0"/>
          <w:color w:val="050C2A"/>
          <w:sz w:val="20"/>
          <w:u w:val="none"/>
        </w:rPr>
        <w:t xml:space="preserve"> (e.g., a student receives high BARS scores but a low point allocation, or vice versa): The allocation is a calibration check, not a direct grade input, but a disconnect warrants a closer look at the qualitative evidence.</w:t>
      </w:r>
    </w:p>
    <w:p>
      <w:pPr>
        <w:spacing w:before="280" w:after="100"/>
      </w:pPr>
      <w:r>
        <w:rPr>
          <w:rFonts w:ascii="DM Sans" w:hAnsi="DM Sans" w:cs="DM Sans"/>
          <w:b/>
          <w:i w:val="0"/>
          <w:color w:val="050C2A"/>
          <w:sz w:val="28"/>
          <w:u w:val="none"/>
        </w:rPr>
        <w:t>Source 2: Employer Feedback (25%)</w:t>
      </w:r>
    </w:p>
    <w:p>
      <w:pPr>
        <w:spacing w:before="0" w:after="120" w:line="276" w:lineRule="auto"/>
      </w:pPr>
      <w:r>
        <w:rPr>
          <w:rFonts w:ascii="DM Sans" w:hAnsi="DM Sans" w:cs="DM Sans"/>
          <w:b w:val="0"/>
          <w:i w:val="0"/>
          <w:color w:val="050C2A"/>
          <w:sz w:val="20"/>
          <w:u w:val="none"/>
        </w:rPr>
        <w:t>Employer feedback data comes from the instruments specified in the Employer Evaluation Framework. The scoring mechanics are fully defined there; this section summarizes what the instructor needs at grading time.</w:t>
      </w:r>
    </w:p>
    <w:p>
      <w:pPr>
        <w:spacing w:before="240" w:after="80"/>
      </w:pPr>
      <w:r>
        <w:rPr>
          <w:rFonts w:ascii="DM Sans" w:hAnsi="DM Sans" w:cs="DM Sans"/>
          <w:b/>
          <w:i w:val="0"/>
          <w:color w:val="050C2A"/>
          <w:sz w:val="24"/>
          <w:u w:val="none"/>
        </w:rPr>
        <w:t>What You Receive</w:t>
      </w:r>
    </w:p>
    <w:p>
      <w:pPr>
        <w:spacing w:before="0" w:after="120" w:line="276" w:lineRule="auto"/>
      </w:pPr>
      <w:r>
        <w:rPr>
          <w:rFonts w:ascii="DM Sans" w:hAnsi="DM Sans" w:cs="DM Sans"/>
          <w:b w:val="0"/>
          <w:i w:val="0"/>
          <w:color w:val="050C2A"/>
          <w:sz w:val="20"/>
          <w:u w:val="none"/>
        </w:rPr>
        <w:t>For each team, you have: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Mid-project survey (Week 8):</w:t>
      </w:r>
      <w:r>
        <w:rPr>
          <w:rFonts w:ascii="DM Sans" w:hAnsi="DM Sans" w:cs="DM Sans"/>
          <w:b w:val="0"/>
          <w:i w:val="0"/>
          <w:color w:val="050C2A"/>
          <w:sz w:val="20"/>
          <w:u w:val="none"/>
        </w:rPr>
        <w:t xml:space="preserve"> Three BARS ratings (Communication, Preparedness, Responsiveness) plus qualitative feedback and a confidence signal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End-of-project survey (Week 15):</w:t>
      </w:r>
      <w:r>
        <w:rPr>
          <w:rFonts w:ascii="DM Sans" w:hAnsi="DM Sans" w:cs="DM Sans"/>
          <w:b w:val="0"/>
          <w:i w:val="0"/>
          <w:color w:val="050C2A"/>
          <w:sz w:val="20"/>
          <w:u w:val="none"/>
        </w:rPr>
        <w:t xml:space="preserve"> Same three BARS ratings plus Deliverable Quality rating (instructor context only, not averaged into score), qualitative feedback, partnership quality signal, and satisfaction signal</w:t>
      </w:r>
    </w:p>
    <w:p>
      <w:pPr>
        <w:spacing w:before="240" w:after="80"/>
      </w:pPr>
      <w:r>
        <w:rPr>
          <w:rFonts w:ascii="DM Sans" w:hAnsi="DM Sans" w:cs="DM Sans"/>
          <w:b/>
          <w:i w:val="0"/>
          <w:color w:val="050C2A"/>
          <w:sz w:val="24"/>
          <w:u w:val="none"/>
        </w:rPr>
        <w:t>How the Score Is Calculated</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val="0"/>
          <w:i w:val="0"/>
          <w:color w:val="050C2A"/>
          <w:sz w:val="20"/>
          <w:u w:val="none"/>
        </w:rPr>
        <w:t>Average the three BARS dimension scores (Communication, Preparedness, Responsiveness) for each survey point</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val="0"/>
          <w:i w:val="0"/>
          <w:color w:val="050C2A"/>
          <w:sz w:val="20"/>
          <w:u w:val="none"/>
        </w:rPr>
        <w:t>Weight the two surveys: Mid-project × 0.30 + End-of-project × 0.70</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val="0"/>
          <w:i w:val="0"/>
          <w:color w:val="050C2A"/>
          <w:sz w:val="20"/>
          <w:u w:val="none"/>
        </w:rPr>
        <w:t>Convert to percentage using the scale above</w:t>
      </w:r>
    </w:p>
    <w:p>
      <w:pPr>
        <w:spacing w:before="0" w:after="120" w:line="276" w:lineRule="auto"/>
      </w:pPr>
      <w:r>
        <w:rPr>
          <w:rFonts w:ascii="DM Sans" w:hAnsi="DM Sans" w:cs="DM Sans"/>
          <w:b w:val="0"/>
          <w:i w:val="0"/>
          <w:color w:val="050C2A"/>
          <w:sz w:val="20"/>
          <w:u w:val="none"/>
        </w:rPr>
        <w:t>All team members receive the same base employer score.</w:t>
      </w:r>
    </w:p>
    <w:p>
      <w:pPr>
        <w:spacing w:before="240" w:after="80"/>
      </w:pPr>
      <w:r>
        <w:rPr>
          <w:rFonts w:ascii="DM Sans" w:hAnsi="DM Sans" w:cs="DM Sans"/>
          <w:b/>
          <w:i w:val="0"/>
          <w:color w:val="050C2A"/>
          <w:sz w:val="24"/>
          <w:u w:val="none"/>
        </w:rPr>
        <w:t>Modulating Team Score to Individual Score</w:t>
      </w:r>
    </w:p>
    <w:p>
      <w:pPr>
        <w:spacing w:before="0" w:after="120" w:line="276" w:lineRule="auto"/>
      </w:pPr>
      <w:r>
        <w:rPr>
          <w:rFonts w:ascii="DM Sans" w:hAnsi="DM Sans" w:cs="DM Sans"/>
          <w:b w:val="0"/>
          <w:i w:val="0"/>
          <w:color w:val="050C2A"/>
          <w:sz w:val="20"/>
          <w:u w:val="none"/>
        </w:rPr>
        <w:t>When peer evaluation data shows consistent contribution across team members, all receive the team's employer score unchanged.</w:t>
      </w:r>
    </w:p>
    <w:p>
      <w:pPr>
        <w:spacing w:before="0" w:after="120" w:line="276" w:lineRule="auto"/>
      </w:pPr>
      <w:r>
        <w:rPr>
          <w:rFonts w:ascii="DM Sans" w:hAnsi="DM Sans" w:cs="DM Sans"/>
          <w:b w:val="0"/>
          <w:i w:val="0"/>
          <w:color w:val="050C2A"/>
          <w:sz w:val="20"/>
          <w:u w:val="none"/>
        </w:rPr>
        <w:t>When peer evaluations reveal significant disparities — for example, one teammate rated 1 on Reliability by both peers while others are rated 3–4 — you may adjust individual employer scores. This is a judgment call, not an automatic formula. The logic: if a student was unreliable to their teammates, they likely weren't contributing proportionally to the employer-facing professionalism either, even though the employer saw the team as a unit.</w:t>
      </w:r>
    </w:p>
    <w:p>
      <w:pPr>
        <w:spacing w:before="0" w:after="120" w:line="276" w:lineRule="auto"/>
      </w:pPr>
      <w:r>
        <w:rPr>
          <w:rFonts w:ascii="DM Sans" w:hAnsi="DM Sans" w:cs="DM Sans"/>
          <w:b w:val="0"/>
          <w:i w:val="0"/>
          <w:color w:val="050C2A"/>
          <w:sz w:val="20"/>
          <w:u w:val="none"/>
        </w:rPr>
        <w:t>Adjustments should be modest — up or down by no more than one level on the 1–4 scale — and documented with the reasoning.</w:t>
      </w:r>
    </w:p>
    <w:p>
      <w:pPr>
        <w:spacing w:before="240" w:after="80"/>
      </w:pPr>
      <w:r>
        <w:rPr>
          <w:rFonts w:ascii="DM Sans" w:hAnsi="DM Sans" w:cs="DM Sans"/>
          <w:b/>
          <w:i w:val="0"/>
          <w:color w:val="050C2A"/>
          <w:sz w:val="24"/>
          <w:u w:val="none"/>
        </w:rPr>
        <w:t>What to Review Before Accepting the Score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Missing survey:</w:t>
      </w:r>
      <w:r>
        <w:rPr>
          <w:rFonts w:ascii="DM Sans" w:hAnsi="DM Sans" w:cs="DM Sans"/>
          <w:b w:val="0"/>
          <w:i w:val="0"/>
          <w:color w:val="050C2A"/>
          <w:sz w:val="20"/>
          <w:u w:val="none"/>
        </w:rPr>
        <w:t xml:space="preserve"> If the employer didn't complete one of the surveys, see the "When Employer Feedback Is Missing" section under Edge Cases.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All dimensions rated identically</w:t>
      </w:r>
      <w:r>
        <w:rPr>
          <w:rFonts w:ascii="DM Sans" w:hAnsi="DM Sans" w:cs="DM Sans"/>
          <w:b w:val="0"/>
          <w:i w:val="0"/>
          <w:color w:val="050C2A"/>
          <w:sz w:val="20"/>
          <w:u w:val="none"/>
        </w:rPr>
        <w:t xml:space="preserve"> (e.g., 3/3/3 at both survey points): Not necessarily a flag, but may indicate the employer didn't differentiate between dimensions. Check whether the qualitative feedback provides more texture.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Significant decline from mid-project to end-of-project</w:t>
      </w:r>
      <w:r>
        <w:rPr>
          <w:rFonts w:ascii="DM Sans" w:hAnsi="DM Sans" w:cs="DM Sans"/>
          <w:b w:val="0"/>
          <w:i w:val="0"/>
          <w:color w:val="050C2A"/>
          <w:sz w:val="20"/>
          <w:u w:val="none"/>
        </w:rPr>
        <w:t xml:space="preserve"> (drop of ≥ 2 points on any dimension): Something went wrong in the second half. Cross-reference with peer evaluation data to determine whether this was a team-wide issue or driven by specific individuals.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Disconnect between BARS ratings and the satisfaction/partnership quality signal</w:t>
      </w:r>
      <w:r>
        <w:rPr>
          <w:rFonts w:ascii="DM Sans" w:hAnsi="DM Sans" w:cs="DM Sans"/>
          <w:b w:val="0"/>
          <w:i w:val="0"/>
          <w:color w:val="050C2A"/>
          <w:sz w:val="20"/>
          <w:u w:val="none"/>
        </w:rPr>
        <w:t xml:space="preserve"> (e.g., high BARS scores but a low satisfaction rating, or vice versa): The structured questions may not have captured the full picture. Review the qualitative feedback for context.</w:t>
      </w:r>
    </w:p>
    <w:p>
      <w:pPr>
        <w:spacing w:before="280" w:after="100"/>
      </w:pPr>
      <w:r>
        <w:rPr>
          <w:rFonts w:ascii="DM Sans" w:hAnsi="DM Sans" w:cs="DM Sans"/>
          <w:b/>
          <w:i w:val="0"/>
          <w:color w:val="050C2A"/>
          <w:sz w:val="28"/>
          <w:u w:val="none"/>
        </w:rPr>
        <w:t>Source 3: Instructor Observation (25%)</w:t>
      </w:r>
    </w:p>
    <w:p>
      <w:pPr>
        <w:spacing w:before="0" w:after="120" w:line="276" w:lineRule="auto"/>
      </w:pPr>
      <w:r>
        <w:rPr>
          <w:rFonts w:ascii="DM Sans" w:hAnsi="DM Sans" w:cs="DM Sans"/>
          <w:b w:val="0"/>
          <w:i w:val="0"/>
          <w:color w:val="050C2A"/>
          <w:sz w:val="20"/>
          <w:u w:val="none"/>
        </w:rPr>
        <w:t>This is the one source where you are both the data collector and the scorer. Unlike peer evaluation and employer feedback — which produce calculated scores from structured instruments — the instructor observation score is a holistic judgment based on your cumulative observations across the full course.</w:t>
      </w:r>
    </w:p>
    <w:p>
      <w:pPr>
        <w:spacing w:before="240" w:after="80"/>
      </w:pPr>
      <w:r>
        <w:rPr>
          <w:rFonts w:ascii="DM Sans" w:hAnsi="DM Sans" w:cs="DM Sans"/>
          <w:b/>
          <w:i w:val="0"/>
          <w:color w:val="050C2A"/>
          <w:sz w:val="24"/>
          <w:u w:val="none"/>
        </w:rPr>
        <w:t>What You Are Assessing</w:t>
      </w:r>
    </w:p>
    <w:p>
      <w:pPr>
        <w:spacing w:before="0" w:after="120" w:line="276" w:lineRule="auto"/>
      </w:pPr>
      <w:r>
        <w:rPr>
          <w:rFonts w:ascii="DM Sans" w:hAnsi="DM Sans" w:cs="DM Sans"/>
          <w:b w:val="0"/>
          <w:i w:val="0"/>
          <w:color w:val="050C2A"/>
          <w:sz w:val="20"/>
          <w:u w:val="none"/>
        </w:rPr>
        <w:t>Four dimensions inform your holistic score. You do not score each dimension separately — they combine into a single 1–4 rating. The dimensions are:</w:t>
      </w:r>
    </w:p>
    <w:p>
      <w:pPr>
        <w:spacing w:before="0" w:after="120" w:line="276" w:lineRule="auto"/>
      </w:pPr>
      <w:r>
        <w:rPr>
          <w:rFonts w:ascii="DM Sans" w:hAnsi="DM Sans" w:cs="DM Sans"/>
          <w:b/>
          <w:i w:val="0"/>
          <w:color w:val="050C2A"/>
          <w:sz w:val="20"/>
          <w:u w:val="none"/>
        </w:rPr>
        <w:t>Checkpoint Completion Patterns:</w:t>
      </w:r>
      <w:r>
        <w:rPr>
          <w:rFonts w:ascii="DM Sans" w:hAnsi="DM Sans" w:cs="DM Sans"/>
          <w:b w:val="0"/>
          <w:i w:val="0"/>
          <w:color w:val="050C2A"/>
          <w:sz w:val="20"/>
          <w:u w:val="none"/>
        </w:rPr>
        <w:t xml:space="preserve"> Did the student submit checkpoints on time and with genuine effort? A student who submits every checkpoint on time with substantive work demonstrates different professional behavior than one who submits late, submits perfunctory work, or accumulates incomplete checkpoints. The pattern matters more than any individual checkpoint.</w:t>
      </w:r>
    </w:p>
    <w:p>
      <w:pPr>
        <w:spacing w:before="0" w:after="120" w:line="276" w:lineRule="auto"/>
      </w:pPr>
      <w:r>
        <w:rPr>
          <w:rFonts w:ascii="DM Sans" w:hAnsi="DM Sans" w:cs="DM Sans"/>
          <w:b/>
          <w:i w:val="0"/>
          <w:color w:val="050C2A"/>
          <w:sz w:val="20"/>
          <w:u w:val="none"/>
        </w:rPr>
        <w:t>Communication Quality:</w:t>
      </w:r>
      <w:r>
        <w:rPr>
          <w:rFonts w:ascii="DM Sans" w:hAnsi="DM Sans" w:cs="DM Sans"/>
          <w:b w:val="0"/>
          <w:i w:val="0"/>
          <w:color w:val="050C2A"/>
          <w:sz w:val="20"/>
          <w:u w:val="none"/>
        </w:rPr>
        <w:t xml:space="preserve"> How did the student communicate with you, with their team (when visible), and in course-related interactions? This includes email professionalism, clarity in questions, and the quality of communication in submitted work (beyond the content itself — are emails coherent, are questions specific rather than vague, do they follow up appropriately?).</w:t>
      </w:r>
    </w:p>
    <w:p>
      <w:pPr>
        <w:spacing w:before="0" w:after="120" w:line="276" w:lineRule="auto"/>
      </w:pPr>
      <w:r>
        <w:rPr>
          <w:rFonts w:ascii="DM Sans" w:hAnsi="DM Sans" w:cs="DM Sans"/>
          <w:b/>
          <w:i w:val="0"/>
          <w:color w:val="050C2A"/>
          <w:sz w:val="20"/>
          <w:u w:val="none"/>
        </w:rPr>
        <w:t>Feedback Responsiveness:</w:t>
      </w:r>
      <w:r>
        <w:rPr>
          <w:rFonts w:ascii="DM Sans" w:hAnsi="DM Sans" w:cs="DM Sans"/>
          <w:b w:val="0"/>
          <w:i w:val="0"/>
          <w:color w:val="050C2A"/>
          <w:sz w:val="20"/>
          <w:u w:val="none"/>
        </w:rPr>
        <w:t xml:space="preserve"> When you provided feedback on checkpoints or other formative work, did the student engage with it? This is visible in the trajectory from checkpoint to graded deliverable — did the work evolve in response to feedback, or did the same issues persist? A student who incorporates feedback demonstrates professional responsiveness; one who ignores it demonstrates a gap.</w:t>
      </w:r>
    </w:p>
    <w:p>
      <w:pPr>
        <w:spacing w:before="0" w:after="120" w:line="276" w:lineRule="auto"/>
      </w:pPr>
      <w:r>
        <w:rPr>
          <w:rFonts w:ascii="DM Sans" w:hAnsi="DM Sans" w:cs="DM Sans"/>
          <w:b/>
          <w:i w:val="0"/>
          <w:color w:val="050C2A"/>
          <w:sz w:val="20"/>
          <w:u w:val="none"/>
        </w:rPr>
        <w:t>Professional Judgment:</w:t>
      </w:r>
      <w:r>
        <w:rPr>
          <w:rFonts w:ascii="DM Sans" w:hAnsi="DM Sans" w:cs="DM Sans"/>
          <w:b w:val="0"/>
          <w:i w:val="0"/>
          <w:color w:val="050C2A"/>
          <w:sz w:val="20"/>
          <w:u w:val="none"/>
        </w:rPr>
        <w:t xml:space="preserve"> This is the catch-all for professional behavior that doesn't fit neatly into the other three dimensions. How did the student handle conflict within their team? Did they communicate proactively when problems arose? Did they take responsibility for mistakes? Did they treat the employer relationship with appropriate seriousness? This dimension gives you space to capture what you observed that the structured instruments missed.</w:t>
      </w:r>
    </w:p>
    <w:p>
      <w:pPr>
        <w:spacing w:before="240" w:after="80"/>
      </w:pPr>
      <w:r>
        <w:rPr>
          <w:rFonts w:ascii="DM Sans" w:hAnsi="DM Sans" w:cs="DM Sans"/>
          <w:b/>
          <w:i w:val="0"/>
          <w:color w:val="050C2A"/>
          <w:sz w:val="24"/>
          <w:u w:val="none"/>
        </w:rPr>
        <w:t>Holistic Scoring Descriptors</w:t>
      </w:r>
    </w:p>
    <w:p>
      <w:pPr>
        <w:spacing w:before="0" w:after="120" w:line="276" w:lineRule="auto"/>
      </w:pPr>
      <w:r>
        <w:rPr>
          <w:rFonts w:ascii="DM Sans" w:hAnsi="DM Sans" w:cs="DM Sans"/>
          <w:b w:val="0"/>
          <w:i w:val="0"/>
          <w:color w:val="050C2A"/>
          <w:sz w:val="20"/>
          <w:u w:val="none"/>
        </w:rPr>
        <w:t>Score the student holistically — read through the four descriptors and select the one that best characterizes the student's overall professional behavior across the semester.</w:t>
      </w:r>
    </w:p>
    <w:p>
      <w:pPr>
        <w:spacing w:before="0" w:after="120" w:line="276" w:lineRule="auto"/>
      </w:pPr>
      <w:r>
        <w:rPr>
          <w:rFonts w:ascii="DM Sans" w:hAnsi="DM Sans" w:cs="DM Sans"/>
          <w:b/>
          <w:i w:val="0"/>
          <w:color w:val="050C2A"/>
          <w:sz w:val="20"/>
          <w:u w:val="none"/>
        </w:rPr>
        <w:t>Exemplary (4) — Consistently Professional</w:t>
      </w:r>
    </w:p>
    <w:p>
      <w:pPr>
        <w:spacing w:before="0" w:after="120" w:line="276" w:lineRule="auto"/>
      </w:pPr>
      <w:r>
        <w:rPr>
          <w:rFonts w:ascii="DM Sans" w:hAnsi="DM Sans" w:cs="DM Sans"/>
          <w:b w:val="0"/>
          <w:i w:val="0"/>
          <w:color w:val="050C2A"/>
          <w:sz w:val="20"/>
          <w:u w:val="none"/>
        </w:rPr>
        <w:t>This student was a model of professional behavior throughout the course. Checkpoints were submitted on time with visible effort and engagement — not just completion, but genuine quality. Communication was consistently clear, professional, and proactive; the student didn't wait to be asked for updates or clarification. When feedback was provided, the trajectory from formative to graded work showed clear evidence of incorporation — not just surface edits, but substantive engagement with the feedback. When challenges arose (team conflict, scope changes, timeline pressure), the student handled them with maturity — communicating early, taking responsibility, focusing on solutions. You would describe this student as someone who treated the course like a professional engagement, not just an academic exercise.</w:t>
      </w:r>
    </w:p>
    <w:p>
      <w:pPr>
        <w:spacing w:before="0" w:after="120" w:line="276" w:lineRule="auto"/>
      </w:pPr>
      <w:r>
        <w:rPr>
          <w:rFonts w:ascii="DM Sans" w:hAnsi="DM Sans" w:cs="DM Sans"/>
          <w:b w:val="0"/>
          <w:i/>
          <w:color w:val="050C2A"/>
          <w:sz w:val="20"/>
          <w:u w:val="none"/>
        </w:rPr>
        <w:t>Evidence markers: Zero or one late checkpoint. Proactive communication (emailed with questions or updates without being prompted). Clear feedback incorporation visible in graded work. Handled at least one challenge or ambiguity with maturity. No instructor intervention needed for professional behavior.</w:t>
      </w:r>
    </w:p>
    <w:p>
      <w:pPr>
        <w:spacing w:before="0" w:after="120" w:line="276" w:lineRule="auto"/>
      </w:pPr>
      <w:r>
        <w:rPr>
          <w:rFonts w:ascii="DM Sans" w:hAnsi="DM Sans" w:cs="DM Sans"/>
          <w:b/>
          <w:i w:val="0"/>
          <w:color w:val="050C2A"/>
          <w:sz w:val="20"/>
          <w:u w:val="none"/>
        </w:rPr>
        <w:t>Proficient (3) — Generally Professional</w:t>
      </w:r>
    </w:p>
    <w:p>
      <w:pPr>
        <w:spacing w:before="0" w:after="120" w:line="276" w:lineRule="auto"/>
      </w:pPr>
      <w:r>
        <w:rPr>
          <w:rFonts w:ascii="DM Sans" w:hAnsi="DM Sans" w:cs="DM Sans"/>
          <w:b w:val="0"/>
          <w:i w:val="0"/>
          <w:color w:val="050C2A"/>
          <w:sz w:val="20"/>
          <w:u w:val="none"/>
        </w:rPr>
        <w:t>This student met professional expectations consistently, with minor gaps that didn't create problems. Checkpoints were mostly on time and showed adequate effort — occasional late submissions or thin work, but no pattern of disengagement. Communication was appropriate and clear when it happened, though the student may not have been proactive — they responded when contacted but didn't always initiate. Feedback was generally incorporated, though some suggestions may have been missed or addressed only superficially. No significant professional behavior concerns arose, or if minor issues occurred, the student corrected course when prompted.</w:t>
      </w:r>
    </w:p>
    <w:p>
      <w:pPr>
        <w:spacing w:before="0" w:after="120" w:line="276" w:lineRule="auto"/>
      </w:pPr>
      <w:r>
        <w:rPr>
          <w:rFonts w:ascii="DM Sans" w:hAnsi="DM Sans" w:cs="DM Sans"/>
          <w:b w:val="0"/>
          <w:i/>
          <w:color w:val="050C2A"/>
          <w:sz w:val="20"/>
          <w:u w:val="none"/>
        </w:rPr>
        <w:t>Evidence markers: No more than two late or thin checkpoints. Communication responsive but not always proactive. Most feedback incorporated, some gaps. No professional behavior concerns that required more than a light touch. The student did what was expected without standing out in either direction.</w:t>
      </w:r>
    </w:p>
    <w:p>
      <w:pPr>
        <w:spacing w:before="0" w:after="120" w:line="276" w:lineRule="auto"/>
      </w:pPr>
      <w:r>
        <w:rPr>
          <w:rFonts w:ascii="DM Sans" w:hAnsi="DM Sans" w:cs="DM Sans"/>
          <w:b/>
          <w:i w:val="0"/>
          <w:color w:val="050C2A"/>
          <w:sz w:val="20"/>
          <w:u w:val="none"/>
        </w:rPr>
        <w:t>Developing (2) — Inconsistently Professional</w:t>
      </w:r>
    </w:p>
    <w:p>
      <w:pPr>
        <w:spacing w:before="0" w:after="120" w:line="276" w:lineRule="auto"/>
      </w:pPr>
      <w:r>
        <w:rPr>
          <w:rFonts w:ascii="DM Sans" w:hAnsi="DM Sans" w:cs="DM Sans"/>
          <w:b w:val="0"/>
          <w:i w:val="0"/>
          <w:color w:val="050C2A"/>
          <w:sz w:val="20"/>
          <w:u w:val="none"/>
        </w:rPr>
        <w:t>This student showed uneven professional behavior that required instructor attention. Checkpoint patterns were inconsistent — multiple late submissions, several thin or perfunctory efforts, or a visible decline in engagement over the semester. Communication had noticeable gaps — the student may have been hard to reach, slow to respond, or unclear in their communications. Feedback was inconsistently incorporated — some suggestions were addressed, but a pattern of repeated issues suggests the student didn't fully engage with formative input. There may have been a specific professional behavior concern (missed a team commitment without communication, required instructor intervention for a team dynamics issue, showed poor judgment in employer communication) that was addressed but indicated a gap in professional development.</w:t>
      </w:r>
    </w:p>
    <w:p>
      <w:pPr>
        <w:spacing w:before="0" w:after="120" w:line="276" w:lineRule="auto"/>
      </w:pPr>
      <w:r>
        <w:rPr>
          <w:rFonts w:ascii="DM Sans" w:hAnsi="DM Sans" w:cs="DM Sans"/>
          <w:b w:val="0"/>
          <w:i/>
          <w:color w:val="050C2A"/>
          <w:sz w:val="20"/>
          <w:u w:val="none"/>
        </w:rPr>
        <w:t>Evidence markers: Three or more late or thin checkpoints. At least one period of communication difficulty. Feedback incorporation inconsistent — some of the same issues recurred from checkpoint to graded work. At least one instance requiring instructor conversation about professional behavior. The student needed prompting to meet professional expectations.</w:t>
      </w:r>
    </w:p>
    <w:p>
      <w:pPr>
        <w:spacing w:before="0" w:after="120" w:line="276" w:lineRule="auto"/>
      </w:pPr>
      <w:r>
        <w:rPr>
          <w:rFonts w:ascii="DM Sans" w:hAnsi="DM Sans" w:cs="DM Sans"/>
          <w:b/>
          <w:i w:val="0"/>
          <w:color w:val="050C2A"/>
          <w:sz w:val="20"/>
          <w:u w:val="none"/>
        </w:rPr>
        <w:t>Emerging (1) — Below Professional Expectations</w:t>
      </w:r>
    </w:p>
    <w:p>
      <w:pPr>
        <w:spacing w:before="0" w:after="120" w:line="276" w:lineRule="auto"/>
      </w:pPr>
      <w:r>
        <w:rPr>
          <w:rFonts w:ascii="DM Sans" w:hAnsi="DM Sans" w:cs="DM Sans"/>
          <w:b w:val="0"/>
          <w:i w:val="0"/>
          <w:color w:val="050C2A"/>
          <w:sz w:val="20"/>
          <w:u w:val="none"/>
        </w:rPr>
        <w:t>This student demonstrated significant gaps in professional behavior that persisted despite intervention. Checkpoint completion was poor — frequent missed or late submissions, minimal effort when submitted, or a pattern suggesting disengagement. Communication was problematic — unresponsive to instructor outreach, unclear or unprofessional in tone, or absent from team communication in ways that were visible to the instructor. Feedback was largely ignored — the same issues persisted from formative to graded work with little evidence of engagement. Significant professional behavior concerns arose (repeated missed commitments, team dysfunction attributable in part to this student, unprofessional behavior in employer interactions, or academic integrity concerns) that required multiple instructor interventions without adequate correction.</w:t>
      </w:r>
    </w:p>
    <w:p>
      <w:pPr>
        <w:spacing w:before="0" w:after="120" w:line="276" w:lineRule="auto"/>
      </w:pPr>
      <w:r>
        <w:rPr>
          <w:rFonts w:ascii="DM Sans" w:hAnsi="DM Sans" w:cs="DM Sans"/>
          <w:b w:val="0"/>
          <w:i/>
          <w:color w:val="050C2A"/>
          <w:sz w:val="20"/>
          <w:u w:val="none"/>
        </w:rPr>
        <w:t>Evidence markers: Frequent checkpoint issues. Communication problems documented across multiple interactions. Little evidence of feedback incorporation. Multiple instances requiring instructor intervention for professional behavior. The student did not meet baseline professional expectations despite support and redirection.</w:t>
      </w:r>
    </w:p>
    <w:p>
      <w:pPr>
        <w:spacing w:before="240" w:after="80"/>
      </w:pPr>
      <w:r>
        <w:rPr>
          <w:rFonts w:ascii="DM Sans" w:hAnsi="DM Sans" w:cs="DM Sans"/>
          <w:b/>
          <w:i w:val="0"/>
          <w:color w:val="050C2A"/>
          <w:sz w:val="24"/>
          <w:u w:val="none"/>
        </w:rPr>
        <w:t>Building Your Evidence Base Throughout the Semester</w:t>
      </w:r>
    </w:p>
    <w:p>
      <w:pPr>
        <w:spacing w:before="0" w:after="120" w:line="276" w:lineRule="auto"/>
      </w:pPr>
      <w:r>
        <w:rPr>
          <w:rFonts w:ascii="DM Sans" w:hAnsi="DM Sans" w:cs="DM Sans"/>
          <w:b w:val="0"/>
          <w:i w:val="0"/>
          <w:color w:val="050C2A"/>
          <w:sz w:val="20"/>
          <w:u w:val="none"/>
        </w:rPr>
        <w:t>The instructor observation score is assigned at the end of the course, but the evidence must be collected as you go. You cannot reliably score a student's professional behavior from memory across 15 weeks. Keep a running record — even brief notes — for each student: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Checkpoint submission patterns (on time? quality of effort?)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Notable communication interactions (proactive outreach, slow responses, unclear messages)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Feedback uptake (did checkpoint feedback show up in graded work?)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Any professional behavior incidents (positive or negative)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 dynamics observations that are relevant to individual behavior</w:t>
      </w:r>
    </w:p>
    <w:p>
      <w:pPr>
        <w:spacing w:before="0" w:after="120" w:line="276" w:lineRule="auto"/>
      </w:pPr>
      <w:r>
        <w:rPr>
          <w:rFonts w:ascii="DM Sans" w:hAnsi="DM Sans" w:cs="DM Sans"/>
          <w:b w:val="0"/>
          <w:i w:val="0"/>
          <w:color w:val="050C2A"/>
          <w:sz w:val="20"/>
          <w:u w:val="none"/>
        </w:rPr>
        <w:t>A simple spreadsheet or running notes document works. The goal is not comprehensive documentation — it's having enough anchoring data that your end-of-course score reflects the full arc, not just the most recent or most memorable interactions.</w:t>
      </w:r>
    </w:p>
    <w:p>
      <w:pPr>
        <w:spacing w:before="280" w:after="100"/>
      </w:pPr>
      <w:r>
        <w:rPr>
          <w:rFonts w:ascii="DM Sans" w:hAnsi="DM Sans" w:cs="DM Sans"/>
          <w:b/>
          <w:i w:val="0"/>
          <w:color w:val="050C2A"/>
          <w:sz w:val="28"/>
          <w:u w:val="none"/>
        </w:rPr>
        <w:t>Combining the Three Sources</w:t>
      </w:r>
    </w:p>
    <w:p>
      <w:pPr>
        <w:spacing w:before="240" w:after="80"/>
      </w:pPr>
      <w:r>
        <w:rPr>
          <w:rFonts w:ascii="DM Sans" w:hAnsi="DM Sans" w:cs="DM Sans"/>
          <w:b/>
          <w:i w:val="0"/>
          <w:color w:val="050C2A"/>
          <w:sz w:val="24"/>
          <w:u w:val="none"/>
        </w:rPr>
        <w:t>The Formula</w:t>
      </w:r>
    </w:p>
    <w:p>
      <w:pPr>
        <w:spacing w:before="0" w:after="120" w:line="276" w:lineRule="auto"/>
      </w:pPr>
      <w:r>
        <w:rPr>
          <w:rFonts w:ascii="DM Sans" w:hAnsi="DM Sans" w:cs="DM Sans"/>
          <w:b w:val="0"/>
          <w:i w:val="0"/>
          <w:color w:val="050C2A"/>
          <w:sz w:val="20"/>
          <w:u w:val="none"/>
        </w:rPr>
        <w:t>Professional Engagement % = (Peer Evaluation % × 0.50) + (Employer Feedback % × 0.25) + (Instructor Observation % × 0.25)</w:t>
      </w:r>
    </w:p>
    <w:p>
      <w:pPr>
        <w:spacing w:before="240" w:after="80"/>
      </w:pPr>
      <w:r>
        <w:rPr>
          <w:rFonts w:ascii="DM Sans" w:hAnsi="DM Sans" w:cs="DM Sans"/>
          <w:b/>
          <w:i w:val="0"/>
          <w:color w:val="050C2A"/>
          <w:sz w:val="24"/>
          <w:u w:val="none"/>
        </w:rPr>
        <w:t>Worked Example</w:t>
      </w:r>
    </w:p>
    <w:p>
      <w:pPr>
        <w:spacing w:before="0" w:after="120" w:line="276" w:lineRule="auto"/>
      </w:pPr>
      <w:r>
        <w:rPr>
          <w:rFonts w:ascii="DM Sans" w:hAnsi="DM Sans" w:cs="DM Sans"/>
          <w:b/>
          <w:i w:val="0"/>
          <w:color w:val="050C2A"/>
          <w:sz w:val="20"/>
          <w:u w:val="none"/>
        </w:rPr>
        <w:t>Student: Maya (Maple &amp; Main Credit Union team)</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3943"/>
            <w:shd w:fill="FF7C0A" w:val="clear"/>
            <w:vAlign w:val="center"/>
          </w:tcPr>
          <w:p>
            <w:pPr>
              <w:jc w:val="left"/>
              <w:spacing w:before="40" w:after="40"/>
            </w:pPr>
            <w:r>
              <w:rPr>
                <w:rFonts w:ascii="DM Sans" w:hAnsi="DM Sans" w:cs="DM Sans"/>
                <w:b/>
                <w:i w:val="0"/>
                <w:color w:val="FFFFFF"/>
                <w:sz w:val="20"/>
                <w:u w:val="none"/>
              </w:rPr>
              <w:t>Source</w:t>
            </w:r>
          </w:p>
        </w:tc>
        <w:tc>
          <w:tcPr>
            <w:tcW w:type="dxa" w:w="2046"/>
            <w:shd w:fill="FF7C0A" w:val="clear"/>
            <w:vAlign w:val="center"/>
          </w:tcPr>
          <w:p>
            <w:pPr>
              <w:jc w:val="left"/>
              <w:spacing w:before="40" w:after="40"/>
            </w:pPr>
            <w:r>
              <w:rPr>
                <w:rFonts w:ascii="DM Sans" w:hAnsi="DM Sans" w:cs="DM Sans"/>
                <w:b/>
                <w:i w:val="0"/>
                <w:color w:val="FFFFFF"/>
                <w:sz w:val="20"/>
                <w:u w:val="none"/>
              </w:rPr>
              <w:t>Raw Score</w:t>
            </w:r>
          </w:p>
        </w:tc>
        <w:tc>
          <w:tcPr>
            <w:tcW w:type="dxa" w:w="1729"/>
            <w:shd w:fill="FF7C0A" w:val="clear"/>
            <w:vAlign w:val="center"/>
          </w:tcPr>
          <w:p>
            <w:pPr>
              <w:jc w:val="left"/>
              <w:spacing w:before="40" w:after="40"/>
            </w:pPr>
            <w:r>
              <w:rPr>
                <w:rFonts w:ascii="DM Sans" w:hAnsi="DM Sans" w:cs="DM Sans"/>
                <w:b/>
                <w:i w:val="0"/>
                <w:color w:val="FFFFFF"/>
                <w:sz w:val="20"/>
                <w:u w:val="none"/>
              </w:rPr>
              <w:t>Percentage</w:t>
            </w:r>
          </w:p>
        </w:tc>
        <w:tc>
          <w:tcPr>
            <w:tcW w:type="dxa" w:w="1642"/>
            <w:shd w:fill="FF7C0A" w:val="clear"/>
            <w:vAlign w:val="center"/>
          </w:tcPr>
          <w:p>
            <w:pPr>
              <w:jc w:val="left"/>
              <w:spacing w:before="40" w:after="40"/>
            </w:pPr>
            <w:r>
              <w:rPr>
                <w:rFonts w:ascii="DM Sans" w:hAnsi="DM Sans" w:cs="DM Sans"/>
                <w:b/>
                <w:i w:val="0"/>
                <w:color w:val="FFFFFF"/>
                <w:sz w:val="20"/>
                <w:u w:val="none"/>
              </w:rPr>
              <w:t>Weighted</w:t>
            </w:r>
          </w:p>
        </w:tc>
      </w:tr>
      <w:tr>
        <w:tc>
          <w:tcPr>
            <w:tcW w:type="dxa" w:w="3943"/>
            <w:vAlign w:val="center"/>
          </w:tcPr>
          <w:p>
            <w:pPr>
              <w:spacing w:before="30" w:after="30"/>
            </w:pPr>
            <w:r>
              <w:rPr>
                <w:rFonts w:ascii="DM Sans" w:hAnsi="DM Sans" w:cs="DM Sans"/>
                <w:b w:val="0"/>
                <w:i w:val="0"/>
                <w:color w:val="050C2A"/>
                <w:sz w:val="20"/>
                <w:u w:val="none"/>
              </w:rPr>
              <w:t>Peer Evaluation (combined: 3.5 Week 8, 3.75 Week 15)</w:t>
            </w:r>
          </w:p>
        </w:tc>
        <w:tc>
          <w:tcPr>
            <w:tcW w:type="dxa" w:w="2046"/>
            <w:vAlign w:val="center"/>
          </w:tcPr>
          <w:p>
            <w:pPr>
              <w:spacing w:before="30" w:after="30"/>
            </w:pPr>
            <w:r>
              <w:rPr>
                <w:rFonts w:ascii="DM Sans" w:hAnsi="DM Sans" w:cs="DM Sans"/>
                <w:b w:val="0"/>
                <w:i w:val="0"/>
                <w:color w:val="050C2A"/>
                <w:sz w:val="20"/>
                <w:u w:val="none"/>
              </w:rPr>
              <w:t>3.675</w:t>
            </w:r>
          </w:p>
        </w:tc>
        <w:tc>
          <w:tcPr>
            <w:tcW w:type="dxa" w:w="1729"/>
            <w:vAlign w:val="center"/>
          </w:tcPr>
          <w:p>
            <w:pPr>
              <w:spacing w:before="30" w:after="30"/>
            </w:pPr>
            <w:r>
              <w:rPr>
                <w:rFonts w:ascii="DM Sans" w:hAnsi="DM Sans" w:cs="DM Sans"/>
                <w:b w:val="0"/>
                <w:i w:val="0"/>
                <w:color w:val="050C2A"/>
                <w:sz w:val="20"/>
                <w:u w:val="none"/>
              </w:rPr>
              <w:t>91.8%</w:t>
            </w:r>
          </w:p>
        </w:tc>
        <w:tc>
          <w:tcPr>
            <w:tcW w:type="dxa" w:w="1642"/>
            <w:vAlign w:val="center"/>
          </w:tcPr>
          <w:p>
            <w:pPr>
              <w:spacing w:before="30" w:after="30"/>
            </w:pPr>
            <w:r>
              <w:rPr>
                <w:rFonts w:ascii="DM Sans" w:hAnsi="DM Sans" w:cs="DM Sans"/>
                <w:b w:val="0"/>
                <w:i w:val="0"/>
                <w:color w:val="050C2A"/>
                <w:sz w:val="20"/>
                <w:u w:val="none"/>
              </w:rPr>
              <w:t>45.9%</w:t>
            </w:r>
          </w:p>
        </w:tc>
      </w:tr>
      <w:tr>
        <w:tc>
          <w:tcPr>
            <w:tcW w:type="dxa" w:w="3943"/>
            <w:shd w:fill="F5F5F5" w:val="clear"/>
            <w:vAlign w:val="center"/>
          </w:tcPr>
          <w:p>
            <w:pPr>
              <w:spacing w:before="30" w:after="30"/>
            </w:pPr>
            <w:r>
              <w:rPr>
                <w:rFonts w:ascii="DM Sans" w:hAnsi="DM Sans" w:cs="DM Sans"/>
                <w:b w:val="0"/>
                <w:i w:val="0"/>
                <w:color w:val="050C2A"/>
                <w:sz w:val="20"/>
                <w:u w:val="none"/>
              </w:rPr>
              <w:t>Employer Feedback (team score, no modulation)</w:t>
            </w:r>
          </w:p>
        </w:tc>
        <w:tc>
          <w:tcPr>
            <w:tcW w:type="dxa" w:w="2046"/>
            <w:shd w:fill="F5F5F5" w:val="clear"/>
            <w:vAlign w:val="center"/>
          </w:tcPr>
          <w:p>
            <w:pPr>
              <w:spacing w:before="30" w:after="30"/>
            </w:pPr>
            <w:r>
              <w:rPr>
                <w:rFonts w:ascii="DM Sans" w:hAnsi="DM Sans" w:cs="DM Sans"/>
                <w:b w:val="0"/>
                <w:i w:val="0"/>
                <w:color w:val="050C2A"/>
                <w:sz w:val="20"/>
                <w:u w:val="none"/>
              </w:rPr>
              <w:t>3.57</w:t>
            </w:r>
          </w:p>
        </w:tc>
        <w:tc>
          <w:tcPr>
            <w:tcW w:type="dxa" w:w="1729"/>
            <w:shd w:fill="F5F5F5" w:val="clear"/>
            <w:vAlign w:val="center"/>
          </w:tcPr>
          <w:p>
            <w:pPr>
              <w:spacing w:before="30" w:after="30"/>
            </w:pPr>
            <w:r>
              <w:rPr>
                <w:rFonts w:ascii="DM Sans" w:hAnsi="DM Sans" w:cs="DM Sans"/>
                <w:b w:val="0"/>
                <w:i w:val="0"/>
                <w:color w:val="050C2A"/>
                <w:sz w:val="20"/>
                <w:u w:val="none"/>
              </w:rPr>
              <w:t>89.3%</w:t>
            </w:r>
          </w:p>
        </w:tc>
        <w:tc>
          <w:tcPr>
            <w:tcW w:type="dxa" w:w="1642"/>
            <w:shd w:fill="F5F5F5" w:val="clear"/>
            <w:vAlign w:val="center"/>
          </w:tcPr>
          <w:p>
            <w:pPr>
              <w:spacing w:before="30" w:after="30"/>
            </w:pPr>
            <w:r>
              <w:rPr>
                <w:rFonts w:ascii="DM Sans" w:hAnsi="DM Sans" w:cs="DM Sans"/>
                <w:b w:val="0"/>
                <w:i w:val="0"/>
                <w:color w:val="050C2A"/>
                <w:sz w:val="20"/>
                <w:u w:val="none"/>
              </w:rPr>
              <w:t>22.3%</w:t>
            </w:r>
          </w:p>
        </w:tc>
      </w:tr>
      <w:tr>
        <w:tc>
          <w:tcPr>
            <w:tcW w:type="dxa" w:w="3943"/>
            <w:vAlign w:val="center"/>
          </w:tcPr>
          <w:p>
            <w:pPr>
              <w:spacing w:before="30" w:after="30"/>
            </w:pPr>
            <w:r>
              <w:rPr>
                <w:rFonts w:ascii="DM Sans" w:hAnsi="DM Sans" w:cs="DM Sans"/>
                <w:b w:val="0"/>
                <w:i w:val="0"/>
                <w:color w:val="050C2A"/>
                <w:sz w:val="20"/>
                <w:u w:val="none"/>
              </w:rPr>
              <w:t>Instructor Observation</w:t>
            </w:r>
          </w:p>
        </w:tc>
        <w:tc>
          <w:tcPr>
            <w:tcW w:type="dxa" w:w="2046"/>
            <w:vAlign w:val="center"/>
          </w:tcPr>
          <w:p>
            <w:pPr>
              <w:spacing w:before="30" w:after="30"/>
            </w:pPr>
            <w:r>
              <w:rPr>
                <w:rFonts w:ascii="DM Sans" w:hAnsi="DM Sans" w:cs="DM Sans"/>
                <w:b w:val="0"/>
                <w:i w:val="0"/>
                <w:color w:val="050C2A"/>
                <w:sz w:val="20"/>
                <w:u w:val="none"/>
              </w:rPr>
              <w:t>3 (Proficient)</w:t>
            </w:r>
          </w:p>
        </w:tc>
        <w:tc>
          <w:tcPr>
            <w:tcW w:type="dxa" w:w="1729"/>
            <w:vAlign w:val="center"/>
          </w:tcPr>
          <w:p>
            <w:pPr>
              <w:spacing w:before="30" w:after="30"/>
            </w:pPr>
            <w:r>
              <w:rPr>
                <w:rFonts w:ascii="DM Sans" w:hAnsi="DM Sans" w:cs="DM Sans"/>
                <w:b w:val="0"/>
                <w:i w:val="0"/>
                <w:color w:val="050C2A"/>
                <w:sz w:val="20"/>
                <w:u w:val="none"/>
              </w:rPr>
              <w:t>85%</w:t>
            </w:r>
          </w:p>
        </w:tc>
        <w:tc>
          <w:tcPr>
            <w:tcW w:type="dxa" w:w="1642"/>
            <w:vAlign w:val="center"/>
          </w:tcPr>
          <w:p>
            <w:pPr>
              <w:spacing w:before="30" w:after="30"/>
            </w:pPr>
            <w:r>
              <w:rPr>
                <w:rFonts w:ascii="DM Sans" w:hAnsi="DM Sans" w:cs="DM Sans"/>
                <w:b w:val="0"/>
                <w:i w:val="0"/>
                <w:color w:val="050C2A"/>
                <w:sz w:val="20"/>
                <w:u w:val="none"/>
              </w:rPr>
              <w:t>21.25%</w:t>
            </w:r>
          </w:p>
        </w:tc>
      </w:tr>
      <w:tr>
        <w:tc>
          <w:tcPr>
            <w:tcW w:type="dxa" w:w="3943"/>
            <w:shd w:fill="F5F5F5" w:val="clear"/>
            <w:vAlign w:val="center"/>
          </w:tcPr>
          <w:p>
            <w:pPr>
              <w:spacing w:before="30" w:after="30"/>
            </w:pPr>
            <w:r>
              <w:rPr>
                <w:rFonts w:ascii="DM Sans" w:hAnsi="DM Sans" w:cs="DM Sans"/>
                <w:b/>
                <w:i w:val="0"/>
                <w:color w:val="050C2A"/>
                <w:sz w:val="20"/>
                <w:u w:val="none"/>
              </w:rPr>
              <w:t>Professional Engagement Score</w:t>
            </w:r>
          </w:p>
        </w:tc>
        <w:tc>
          <w:tcPr>
            <w:tcW w:type="dxa" w:w="2046"/>
            <w:shd w:fill="F5F5F5" w:val="clear"/>
            <w:vAlign w:val="center"/>
          </w:tcPr>
          <w:p>
            <w:pPr>
              <w:spacing w:before="30" w:after="30"/>
            </w:pPr>
          </w:p>
        </w:tc>
        <w:tc>
          <w:tcPr>
            <w:tcW w:type="dxa" w:w="1729"/>
            <w:shd w:fill="F5F5F5" w:val="clear"/>
            <w:vAlign w:val="center"/>
          </w:tcPr>
          <w:p>
            <w:pPr>
              <w:spacing w:before="30" w:after="30"/>
            </w:pPr>
          </w:p>
        </w:tc>
        <w:tc>
          <w:tcPr>
            <w:tcW w:type="dxa" w:w="1642"/>
            <w:shd w:fill="F5F5F5" w:val="clear"/>
            <w:vAlign w:val="center"/>
          </w:tcPr>
          <w:p>
            <w:pPr>
              <w:spacing w:before="30" w:after="30"/>
            </w:pPr>
            <w:r>
              <w:rPr>
                <w:rFonts w:ascii="DM Sans" w:hAnsi="DM Sans" w:cs="DM Sans"/>
                <w:b/>
                <w:i w:val="0"/>
                <w:color w:val="050C2A"/>
                <w:sz w:val="20"/>
                <w:u w:val="none"/>
              </w:rPr>
              <w:t>89.5%</w:t>
            </w:r>
          </w:p>
        </w:tc>
      </w:tr>
    </w:tbl>
    <w:p>
      <w:pPr>
        <w:spacing w:before="0" w:after="120"/>
      </w:pPr>
    </w:p>
    <w:p>
      <w:pPr>
        <w:spacing w:before="0" w:after="120" w:line="276" w:lineRule="auto"/>
      </w:pPr>
      <w:r>
        <w:rPr>
          <w:rFonts w:ascii="DM Sans" w:hAnsi="DM Sans" w:cs="DM Sans"/>
          <w:b w:val="0"/>
          <w:i w:val="0"/>
          <w:color w:val="050C2A"/>
          <w:sz w:val="20"/>
          <w:u w:val="none"/>
        </w:rPr>
        <w:t xml:space="preserve">Maya's Professional Engagement contributes 89.5% × 20% = </w:t>
      </w:r>
      <w:r>
        <w:rPr>
          <w:rFonts w:ascii="DM Sans" w:hAnsi="DM Sans" w:cs="DM Sans"/>
          <w:b/>
          <w:i w:val="0"/>
          <w:color w:val="050C2A"/>
          <w:sz w:val="20"/>
          <w:u w:val="none"/>
        </w:rPr>
        <w:t>17.9 points</w:t>
      </w:r>
      <w:r>
        <w:rPr>
          <w:rFonts w:ascii="DM Sans" w:hAnsi="DM Sans" w:cs="DM Sans"/>
          <w:b w:val="0"/>
          <w:i w:val="0"/>
          <w:color w:val="050C2A"/>
          <w:sz w:val="20"/>
          <w:u w:val="none"/>
        </w:rPr>
        <w:t xml:space="preserve"> to the final course grade (out of 100).</w:t>
      </w:r>
    </w:p>
    <w:p>
      <w:pPr>
        <w:spacing w:before="240" w:after="80"/>
      </w:pPr>
      <w:r>
        <w:rPr>
          <w:rFonts w:ascii="DM Sans" w:hAnsi="DM Sans" w:cs="DM Sans"/>
          <w:b/>
          <w:i w:val="0"/>
          <w:color w:val="050C2A"/>
          <w:sz w:val="24"/>
          <w:u w:val="none"/>
        </w:rPr>
        <w:t>Sanity Check Before Finalizing</w:t>
      </w:r>
    </w:p>
    <w:p>
      <w:pPr>
        <w:spacing w:before="0" w:after="120" w:line="276" w:lineRule="auto"/>
      </w:pPr>
      <w:r>
        <w:rPr>
          <w:rFonts w:ascii="DM Sans" w:hAnsi="DM Sans" w:cs="DM Sans"/>
          <w:b w:val="0"/>
          <w:i w:val="0"/>
          <w:color w:val="050C2A"/>
          <w:sz w:val="20"/>
          <w:u w:val="none"/>
        </w:rPr>
        <w:t xml:space="preserve">After calculating the score, ask yourself: </w:t>
      </w:r>
      <w:r>
        <w:rPr>
          <w:rFonts w:ascii="DM Sans" w:hAnsi="DM Sans" w:cs="DM Sans"/>
          <w:b w:val="0"/>
          <w:i/>
          <w:color w:val="050C2A"/>
          <w:sz w:val="20"/>
          <w:u w:val="none"/>
        </w:rPr>
        <w:t>Does this number feel right given what I know about this student's professional behavior?</w:t>
      </w:r>
      <w:r>
        <w:rPr>
          <w:rFonts w:ascii="DM Sans" w:hAnsi="DM Sans" w:cs="DM Sans"/>
          <w:b w:val="0"/>
          <w:i w:val="0"/>
          <w:color w:val="050C2A"/>
          <w:sz w:val="20"/>
          <w:u w:val="none"/>
        </w:rPr>
        <w:t xml:space="preserve"> The formula should confirm your professional judgment, not override it. If the calculated score surprises you, investigate: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Is the peer evaluation data reliable, or might it be inflated/deflated?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Is the employer score reflecting this student's contribution, or is a team-level score masking individual gaps?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Does your instructor observation score accurately capture what you observed?</w:t>
      </w:r>
    </w:p>
    <w:p>
      <w:pPr>
        <w:spacing w:before="0" w:after="120" w:line="276" w:lineRule="auto"/>
      </w:pPr>
      <w:r>
        <w:rPr>
          <w:rFonts w:ascii="DM Sans" w:hAnsi="DM Sans" w:cs="DM Sans"/>
          <w:b w:val="0"/>
          <w:i w:val="0"/>
          <w:color w:val="050C2A"/>
          <w:sz w:val="20"/>
          <w:u w:val="none"/>
        </w:rPr>
        <w:t>If investigation confirms the data, accept the calculated score. The formula exists to prevent bias, and your surprise may reflect an assumption that the evidence doesn't support. But if investigation reveals a data quality issue (inflated peer evals, missing employer data, an incident not captured in the structured instruments), you have override authority.</w:t>
      </w:r>
    </w:p>
    <w:p>
      <w:pPr>
        <w:spacing w:before="280" w:after="100"/>
      </w:pPr>
      <w:r>
        <w:rPr>
          <w:rFonts w:ascii="DM Sans" w:hAnsi="DM Sans" w:cs="DM Sans"/>
          <w:b/>
          <w:i w:val="0"/>
          <w:color w:val="050C2A"/>
          <w:sz w:val="28"/>
          <w:u w:val="none"/>
        </w:rPr>
        <w:t>Edge Cases</w:t>
      </w:r>
    </w:p>
    <w:p>
      <w:pPr>
        <w:spacing w:before="240" w:after="80"/>
      </w:pPr>
      <w:r>
        <w:rPr>
          <w:rFonts w:ascii="DM Sans" w:hAnsi="DM Sans" w:cs="DM Sans"/>
          <w:b/>
          <w:i w:val="0"/>
          <w:color w:val="050C2A"/>
          <w:sz w:val="24"/>
          <w:u w:val="none"/>
        </w:rPr>
        <w:t>When Peer Evaluations Are All High</w:t>
      </w:r>
    </w:p>
    <w:p>
      <w:pPr>
        <w:spacing w:before="0" w:after="120" w:line="276" w:lineRule="auto"/>
      </w:pPr>
      <w:r>
        <w:rPr>
          <w:rFonts w:ascii="DM Sans" w:hAnsi="DM Sans" w:cs="DM Sans"/>
          <w:b w:val="0"/>
          <w:i w:val="0"/>
          <w:color w:val="050C2A"/>
          <w:sz w:val="20"/>
          <w:u w:val="none"/>
        </w:rPr>
        <w:t>If every student on a team rates every teammate 3.5+ on all dimensions, the peer evaluation data may not be differentiating performance. Check the qualitative evidence: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the written feedback is specific and substantive, the team may genuinely have collaborated well. Accept the scores.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the written feedback is vague or generic ("great teammate," "always did their part" without specific examples), the ratings are likely inflated. In this case, increase your reliance on the instructor observation component. You may shift the effective weighting — for example, treating peer evaluation as 35% and instructor observation as 40% — but document the rationale.</w:t>
      </w:r>
    </w:p>
    <w:p>
      <w:pPr>
        <w:spacing w:before="240" w:after="80"/>
      </w:pPr>
      <w:r>
        <w:rPr>
          <w:rFonts w:ascii="DM Sans" w:hAnsi="DM Sans" w:cs="DM Sans"/>
          <w:b/>
          <w:i w:val="0"/>
          <w:color w:val="050C2A"/>
          <w:sz w:val="24"/>
          <w:u w:val="none"/>
        </w:rPr>
        <w:t>When Peer Evaluations Conflict</w:t>
      </w:r>
    </w:p>
    <w:p>
      <w:pPr>
        <w:spacing w:before="0" w:after="120" w:line="276" w:lineRule="auto"/>
      </w:pPr>
      <w:r>
        <w:rPr>
          <w:rFonts w:ascii="DM Sans" w:hAnsi="DM Sans" w:cs="DM Sans"/>
          <w:b w:val="0"/>
          <w:i w:val="0"/>
          <w:color w:val="050C2A"/>
          <w:sz w:val="20"/>
          <w:u w:val="none"/>
        </w:rPr>
        <w:t>If one teammate rates a student a 4 while another rates them a 1 on the same dimension: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Review the written evidence from both evaluations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both perspectives have supporting evidence, use the average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evidence clearly supports one perspective, weight that evaluation more heavily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the pattern suggests interpersonal conflict rather than performance differences, conduct a follow-up conversation with the team before scoring</w:t>
      </w:r>
    </w:p>
    <w:p>
      <w:pPr>
        <w:spacing w:before="240" w:after="80"/>
      </w:pPr>
      <w:r>
        <w:rPr>
          <w:rFonts w:ascii="DM Sans" w:hAnsi="DM Sans" w:cs="DM Sans"/>
          <w:b/>
          <w:i w:val="0"/>
          <w:color w:val="050C2A"/>
          <w:sz w:val="24"/>
          <w:u w:val="none"/>
        </w:rPr>
        <w:t>When Employer Feedback Is Missing</w:t>
      </w:r>
    </w:p>
    <w:p>
      <w:pPr>
        <w:spacing w:before="0" w:after="120" w:line="276" w:lineRule="auto"/>
      </w:pPr>
      <w:r>
        <w:rPr>
          <w:rFonts w:ascii="DM Sans" w:hAnsi="DM Sans" w:cs="DM Sans"/>
          <w:b w:val="0"/>
          <w:i w:val="0"/>
          <w:color w:val="050C2A"/>
          <w:sz w:val="20"/>
          <w:u w:val="none"/>
        </w:rPr>
        <w:t>If the employer fails to complete one or both surveys: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One survey missing:</w:t>
      </w:r>
      <w:r>
        <w:rPr>
          <w:rFonts w:ascii="DM Sans" w:hAnsi="DM Sans" w:cs="DM Sans"/>
          <w:b w:val="0"/>
          <w:i w:val="0"/>
          <w:color w:val="050C2A"/>
          <w:sz w:val="20"/>
          <w:u w:val="none"/>
        </w:rPr>
        <w:t xml:space="preserve"> Use the available survey as 100% of the employer feedback score (rather than weighting a single survey against zero).</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Both surveys missing:</w:t>
      </w:r>
      <w:r>
        <w:rPr>
          <w:rFonts w:ascii="DM Sans" w:hAnsi="DM Sans" w:cs="DM Sans"/>
          <w:b w:val="0"/>
          <w:i w:val="0"/>
          <w:color w:val="050C2A"/>
          <w:sz w:val="20"/>
          <w:u w:val="none"/>
        </w:rPr>
        <w:t xml:space="preserve"> Redistribute employer weight to instructor observation. The effective weighting becomes: Peer Evaluation 50%, Instructor Observation 50%. Incorporate any available employer touchpoint observations (from kickoff, check-ins, email interactions, presentation) into your instructor observation score.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Survey completed but unusably brief:</w:t>
      </w:r>
      <w:r>
        <w:rPr>
          <w:rFonts w:ascii="DM Sans" w:hAnsi="DM Sans" w:cs="DM Sans"/>
          <w:b w:val="0"/>
          <w:i w:val="0"/>
          <w:color w:val="050C2A"/>
          <w:sz w:val="20"/>
          <w:u w:val="none"/>
        </w:rPr>
        <w:t xml:space="preserve"> Treat the same as missing. A survey where the employer selected ratings without any qualitative context and rated all dimensions identically is not providing usable data.</w:t>
      </w:r>
    </w:p>
    <w:p>
      <w:pPr>
        <w:spacing w:before="240" w:after="80"/>
      </w:pPr>
      <w:r>
        <w:rPr>
          <w:rFonts w:ascii="DM Sans" w:hAnsi="DM Sans" w:cs="DM Sans"/>
          <w:b/>
          <w:i w:val="0"/>
          <w:color w:val="050C2A"/>
          <w:sz w:val="24"/>
          <w:u w:val="none"/>
        </w:rPr>
        <w:t>When a Student Has Documented Accommodations</w:t>
      </w:r>
    </w:p>
    <w:p>
      <w:pPr>
        <w:spacing w:before="0" w:after="120" w:line="276" w:lineRule="auto"/>
      </w:pPr>
      <w:r>
        <w:rPr>
          <w:rFonts w:ascii="DM Sans" w:hAnsi="DM Sans" w:cs="DM Sans"/>
          <w:b w:val="0"/>
          <w:i w:val="0"/>
          <w:color w:val="050C2A"/>
          <w:sz w:val="20"/>
          <w:u w:val="none"/>
        </w:rPr>
        <w:t>A student with an approved accommodation that affected participation (e.g., extended deadlines, reduced meeting attendance, modified communication expectations) may need peer evaluation dimensions reweighted or excluded. Work with your institution's accessibility office to determine which dimensions are affected, then: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Exclude affected dimensions from the peer evaluation average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Adjust your instructor observation score to account for the accommodation (a student who was reliably engaged within their accommodation parameters is Proficient or Exemplary, not Developing because their patterns looked different from peers)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Document the accommodation and adjustment in your grading records</w:t>
      </w:r>
    </w:p>
    <w:p>
      <w:pPr>
        <w:spacing w:before="240" w:after="80"/>
      </w:pPr>
      <w:r>
        <w:rPr>
          <w:rFonts w:ascii="DM Sans" w:hAnsi="DM Sans" w:cs="DM Sans"/>
          <w:b/>
          <w:i w:val="0"/>
          <w:color w:val="050C2A"/>
          <w:sz w:val="24"/>
          <w:u w:val="none"/>
        </w:rPr>
        <w:t>Peer Evaluation Manipulation</w:t>
      </w:r>
    </w:p>
    <w:p>
      <w:pPr>
        <w:spacing w:before="0" w:after="120" w:line="276" w:lineRule="auto"/>
      </w:pPr>
      <w:r>
        <w:rPr>
          <w:rFonts w:ascii="DM Sans" w:hAnsi="DM Sans" w:cs="DM Sans"/>
          <w:b w:val="0"/>
          <w:i w:val="0"/>
          <w:color w:val="050C2A"/>
          <w:sz w:val="20"/>
          <w:u w:val="none"/>
        </w:rPr>
        <w:t>If you have evidence of coordinated rating behavior ("let's all rate each other 4s"), the peer evaluation data is compromised. Shift the peer evaluation weight entirely to instructor observation. The effective weighting becomes: Instructor Observation 75%, Employer Feedback 25%. This is a serious situation — document the evidence and the adjustment thoroughly.</w:t>
      </w:r>
    </w:p>
    <w:p>
      <w:pPr>
        <w:spacing w:before="240" w:after="80"/>
      </w:pPr>
      <w:r>
        <w:rPr>
          <w:rFonts w:ascii="DM Sans" w:hAnsi="DM Sans" w:cs="DM Sans"/>
          <w:b/>
          <w:i w:val="0"/>
          <w:color w:val="050C2A"/>
          <w:sz w:val="24"/>
          <w:u w:val="none"/>
        </w:rPr>
        <w:t>Grade Override Authority</w:t>
      </w:r>
    </w:p>
    <w:p>
      <w:pPr>
        <w:spacing w:before="0" w:after="120" w:line="276" w:lineRule="auto"/>
      </w:pPr>
      <w:r>
        <w:rPr>
          <w:rFonts w:ascii="DM Sans" w:hAnsi="DM Sans" w:cs="DM Sans"/>
          <w:b w:val="0"/>
          <w:i w:val="0"/>
          <w:color w:val="050C2A"/>
          <w:sz w:val="20"/>
          <w:u w:val="none"/>
        </w:rPr>
        <w:t>You retain authority to override calculated scores when evidence warrants. This is a safety valve, not a routine adjustment. Common override scenarios: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Egregious behavior:</w:t>
      </w:r>
      <w:r>
        <w:rPr>
          <w:rFonts w:ascii="DM Sans" w:hAnsi="DM Sans" w:cs="DM Sans"/>
          <w:b w:val="0"/>
          <w:i w:val="0"/>
          <w:color w:val="050C2A"/>
          <w:sz w:val="20"/>
          <w:u w:val="none"/>
        </w:rPr>
        <w:t xml:space="preserve"> A student who misses the final presentation without notice, commits an academic integrity violation, or engages in behavior that fundamentally undermines the professional engagement expectations may receive a Professional Engagement score of 0 regardless of peer evaluation or employer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Extraordinary circumstances:</w:t>
      </w:r>
      <w:r>
        <w:rPr>
          <w:rFonts w:ascii="DM Sans" w:hAnsi="DM Sans" w:cs="DM Sans"/>
          <w:b w:val="0"/>
          <w:i w:val="0"/>
          <w:color w:val="050C2A"/>
          <w:sz w:val="20"/>
          <w:u w:val="none"/>
        </w:rPr>
        <w:t xml:space="preserve"> A student who faced a significant personal crisis mid-semester but handled it with exceptional professionalism (communicated proactively, made arrangements with teammates, recovered and re-engaged) may deserve a score that the formula — which captures the disruption but not the professionalism of the response — doesn't produce.</w:t>
      </w:r>
    </w:p>
    <w:p>
      <w:pPr>
        <w:spacing w:before="0" w:after="120" w:line="276" w:lineRule="auto"/>
      </w:pPr>
      <w:r>
        <w:rPr>
          <w:rFonts w:ascii="DM Sans" w:hAnsi="DM Sans" w:cs="DM Sans"/>
          <w:b w:val="0"/>
          <w:i w:val="0"/>
          <w:color w:val="050C2A"/>
          <w:sz w:val="20"/>
          <w:u w:val="none"/>
        </w:rPr>
        <w:t>Overrides should be rare, documented with specific evidence, and defensible to a department chair or academic review board.</w:t>
      </w:r>
    </w:p>
    <w:p>
      <w:pPr>
        <w:spacing w:before="280" w:after="100"/>
      </w:pPr>
      <w:r>
        <w:rPr>
          <w:rFonts w:ascii="DM Sans" w:hAnsi="DM Sans" w:cs="DM Sans"/>
          <w:b/>
          <w:i w:val="0"/>
          <w:color w:val="050C2A"/>
          <w:sz w:val="28"/>
          <w:u w:val="none"/>
        </w:rPr>
        <w:t>Step-by-Step Grading Workflow</w:t>
      </w:r>
    </w:p>
    <w:p>
      <w:pPr>
        <w:spacing w:before="0" w:after="120" w:line="276" w:lineRule="auto"/>
      </w:pPr>
      <w:r>
        <w:rPr>
          <w:rFonts w:ascii="DM Sans" w:hAnsi="DM Sans" w:cs="DM Sans"/>
          <w:b w:val="0"/>
          <w:i w:val="0"/>
          <w:color w:val="050C2A"/>
          <w:sz w:val="20"/>
          <w:u w:val="none"/>
        </w:rPr>
        <w:t>Use this sequence when you sit down to score Professional Engagement at the end of the semester.</w:t>
      </w:r>
    </w:p>
    <w:p>
      <w:pPr>
        <w:spacing w:before="240" w:after="80"/>
      </w:pPr>
      <w:r>
        <w:rPr>
          <w:rFonts w:ascii="DM Sans" w:hAnsi="DM Sans" w:cs="DM Sans"/>
          <w:b/>
          <w:i w:val="0"/>
          <w:color w:val="050C2A"/>
          <w:sz w:val="24"/>
          <w:u w:val="none"/>
        </w:rPr>
        <w:t>Step 1: Compile the Data</w:t>
      </w:r>
    </w:p>
    <w:p>
      <w:pPr>
        <w:spacing w:before="0" w:after="120" w:line="276" w:lineRule="auto"/>
      </w:pPr>
      <w:r>
        <w:rPr>
          <w:rFonts w:ascii="DM Sans" w:hAnsi="DM Sans" w:cs="DM Sans"/>
          <w:b w:val="0"/>
          <w:i w:val="0"/>
          <w:color w:val="050C2A"/>
          <w:sz w:val="20"/>
          <w:u w:val="none"/>
        </w:rPr>
        <w:t>For each student, gather: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Week 8 peer evaluation scores (four dimension averages)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Week 15 peer evaluation scores (four dimension averages + contribution allocation)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Mid-project employer survey scores (three BARS dimensions)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End-of-project employer survey scores (three BARS dimensions + supplementary items)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Your instructor observation notes</w:t>
      </w:r>
    </w:p>
    <w:p>
      <w:pPr>
        <w:spacing w:before="240" w:after="80"/>
      </w:pPr>
      <w:r>
        <w:rPr>
          <w:rFonts w:ascii="DM Sans" w:hAnsi="DM Sans" w:cs="DM Sans"/>
          <w:b/>
          <w:i w:val="0"/>
          <w:color w:val="050C2A"/>
          <w:sz w:val="24"/>
          <w:u w:val="none"/>
        </w:rPr>
        <w:t>Step 2: Check for Flags</w:t>
      </w:r>
    </w:p>
    <w:p>
      <w:pPr>
        <w:spacing w:before="0" w:after="120" w:line="276" w:lineRule="auto"/>
      </w:pPr>
      <w:r>
        <w:rPr>
          <w:rFonts w:ascii="DM Sans" w:hAnsi="DM Sans" w:cs="DM Sans"/>
          <w:b w:val="0"/>
          <w:i w:val="0"/>
          <w:color w:val="050C2A"/>
          <w:sz w:val="20"/>
          <w:u w:val="none"/>
        </w:rPr>
        <w:t>Before calculating, scan each student's data for the flags described in the source-specific sections above. Note any students who need closer attention.</w:t>
      </w:r>
    </w:p>
    <w:p>
      <w:pPr>
        <w:spacing w:before="240" w:after="80"/>
      </w:pPr>
      <w:r>
        <w:rPr>
          <w:rFonts w:ascii="DM Sans" w:hAnsi="DM Sans" w:cs="DM Sans"/>
          <w:b/>
          <w:i w:val="0"/>
          <w:color w:val="050C2A"/>
          <w:sz w:val="24"/>
          <w:u w:val="none"/>
        </w:rPr>
        <w:t>Step 3: Calculate Peer Evaluation Score</w:t>
      </w:r>
    </w:p>
    <w:p>
      <w:pPr>
        <w:spacing w:before="0" w:after="120" w:line="276" w:lineRule="auto"/>
      </w:pPr>
      <w:r>
        <w:rPr>
          <w:rFonts w:ascii="DM Sans" w:hAnsi="DM Sans" w:cs="DM Sans"/>
          <w:b w:val="0"/>
          <w:i w:val="0"/>
          <w:color w:val="050C2A"/>
          <w:sz w:val="20"/>
          <w:u w:val="none"/>
        </w:rPr>
        <w:t>For each student: average the four Week 8 dimension scores, average the four Week 15 dimension scores, weight (Week 8 × 0.30 + Week 15 × 0.70), convert to percentage.</w:t>
      </w:r>
    </w:p>
    <w:p>
      <w:pPr>
        <w:spacing w:before="240" w:after="80"/>
      </w:pPr>
      <w:r>
        <w:rPr>
          <w:rFonts w:ascii="DM Sans" w:hAnsi="DM Sans" w:cs="DM Sans"/>
          <w:b/>
          <w:i w:val="0"/>
          <w:color w:val="050C2A"/>
          <w:sz w:val="24"/>
          <w:u w:val="none"/>
        </w:rPr>
        <w:t>Step 4: Calculate Employer Feedback Score</w:t>
      </w:r>
    </w:p>
    <w:p>
      <w:pPr>
        <w:spacing w:before="0" w:after="120" w:line="276" w:lineRule="auto"/>
      </w:pPr>
      <w:r>
        <w:rPr>
          <w:rFonts w:ascii="DM Sans" w:hAnsi="DM Sans" w:cs="DM Sans"/>
          <w:b w:val="0"/>
          <w:i w:val="0"/>
          <w:color w:val="050C2A"/>
          <w:sz w:val="20"/>
          <w:u w:val="none"/>
        </w:rPr>
        <w:t>For each team: average the three BARS dimensions at each survey point, weight (mid-project × 0.30 + end-of-project × 0.70), convert to percentage. Apply to all team members as the base score. Review peer evaluation patterns — modulate individual scores if warranted.</w:t>
      </w:r>
    </w:p>
    <w:p>
      <w:pPr>
        <w:spacing w:before="240" w:after="80"/>
      </w:pPr>
      <w:r>
        <w:rPr>
          <w:rFonts w:ascii="DM Sans" w:hAnsi="DM Sans" w:cs="DM Sans"/>
          <w:b/>
          <w:i w:val="0"/>
          <w:color w:val="050C2A"/>
          <w:sz w:val="24"/>
          <w:u w:val="none"/>
        </w:rPr>
        <w:t>Step 5: Assign Instructor Observation Score</w:t>
      </w:r>
    </w:p>
    <w:p>
      <w:pPr>
        <w:spacing w:before="0" w:after="120" w:line="276" w:lineRule="auto"/>
      </w:pPr>
      <w:r>
        <w:rPr>
          <w:rFonts w:ascii="DM Sans" w:hAnsi="DM Sans" w:cs="DM Sans"/>
          <w:b w:val="0"/>
          <w:i w:val="0"/>
          <w:color w:val="050C2A"/>
          <w:sz w:val="20"/>
          <w:u w:val="none"/>
        </w:rPr>
        <w:t>For each student: review your cumulative observation notes, read the holistic scoring descriptors in this guide, assign a 1–4 score, convert to percentage.</w:t>
      </w:r>
    </w:p>
    <w:p>
      <w:pPr>
        <w:spacing w:before="240" w:after="80"/>
      </w:pPr>
      <w:r>
        <w:rPr>
          <w:rFonts w:ascii="DM Sans" w:hAnsi="DM Sans" w:cs="DM Sans"/>
          <w:b/>
          <w:i w:val="0"/>
          <w:color w:val="050C2A"/>
          <w:sz w:val="24"/>
          <w:u w:val="none"/>
        </w:rPr>
        <w:t>Step 6: Combine</w:t>
      </w:r>
    </w:p>
    <w:p>
      <w:pPr>
        <w:spacing w:before="0" w:after="120" w:line="276" w:lineRule="auto"/>
      </w:pPr>
      <w:r>
        <w:rPr>
          <w:rFonts w:ascii="DM Sans" w:hAnsi="DM Sans" w:cs="DM Sans"/>
          <w:b w:val="0"/>
          <w:i w:val="0"/>
          <w:color w:val="050C2A"/>
          <w:sz w:val="20"/>
          <w:u w:val="none"/>
        </w:rPr>
        <w:t>Apply the formula: (Peer Eval % × 0.50) + (Employer Feedback % × 0.25) + (Instructor Observation % × 0.25).</w:t>
      </w:r>
    </w:p>
    <w:p>
      <w:pPr>
        <w:spacing w:before="240" w:after="80"/>
      </w:pPr>
      <w:r>
        <w:rPr>
          <w:rFonts w:ascii="DM Sans" w:hAnsi="DM Sans" w:cs="DM Sans"/>
          <w:b/>
          <w:i w:val="0"/>
          <w:color w:val="050C2A"/>
          <w:sz w:val="24"/>
          <w:u w:val="none"/>
        </w:rPr>
        <w:t>Step 7: Sanity Check</w:t>
      </w:r>
    </w:p>
    <w:p>
      <w:pPr>
        <w:spacing w:before="0" w:after="120" w:line="276" w:lineRule="auto"/>
      </w:pPr>
      <w:r>
        <w:rPr>
          <w:rFonts w:ascii="DM Sans" w:hAnsi="DM Sans" w:cs="DM Sans"/>
          <w:b w:val="0"/>
          <w:i w:val="0"/>
          <w:color w:val="050C2A"/>
          <w:sz w:val="20"/>
          <w:u w:val="none"/>
        </w:rPr>
        <w:t>Review the calculated score against your overall impression. Investigate and adjust if the number doesn't match the evidence. Document any adjustments.</w:t>
      </w:r>
    </w:p>
    <w:p>
      <w:pPr>
        <w:spacing w:before="240" w:after="80"/>
      </w:pPr>
      <w:r>
        <w:rPr>
          <w:rFonts w:ascii="DM Sans" w:hAnsi="DM Sans" w:cs="DM Sans"/>
          <w:b/>
          <w:i w:val="0"/>
          <w:color w:val="050C2A"/>
          <w:sz w:val="24"/>
          <w:u w:val="none"/>
        </w:rPr>
        <w:t>Step 8: Document</w:t>
      </w:r>
    </w:p>
    <w:p>
      <w:pPr>
        <w:spacing w:before="0" w:after="120" w:line="276" w:lineRule="auto"/>
      </w:pPr>
      <w:r>
        <w:rPr>
          <w:rFonts w:ascii="DM Sans" w:hAnsi="DM Sans" w:cs="DM Sans"/>
          <w:b w:val="0"/>
          <w:i w:val="0"/>
          <w:color w:val="050C2A"/>
          <w:sz w:val="20"/>
          <w:u w:val="none"/>
        </w:rPr>
        <w:t>Record the final Professional Engagement score, the three component scores, and any adjustments or overrides with rationale. This documentation supports grade appeals and institutional review.</w:t>
      </w:r>
    </w:p>
    <w:p>
      <w:pPr>
        <w:spacing w:before="280" w:after="100"/>
      </w:pPr>
      <w:r>
        <w:rPr>
          <w:rFonts w:ascii="DM Sans" w:hAnsi="DM Sans" w:cs="DM Sans"/>
          <w:b/>
          <w:i w:val="0"/>
          <w:color w:val="050C2A"/>
          <w:sz w:val="28"/>
          <w:u w:val="none"/>
        </w:rPr>
        <w:t>Frequently Asked Questions</w:t>
      </w:r>
    </w:p>
    <w:p>
      <w:pPr>
        <w:spacing w:before="0" w:after="120" w:line="276" w:lineRule="auto"/>
      </w:pPr>
      <w:r>
        <w:rPr>
          <w:rFonts w:ascii="DM Sans" w:hAnsi="DM Sans" w:cs="DM Sans"/>
          <w:b/>
          <w:i w:val="0"/>
          <w:color w:val="050C2A"/>
          <w:sz w:val="20"/>
          <w:u w:val="none"/>
        </w:rPr>
        <w:t>Q: A student has strong peer evaluation scores but I observed poor professional behavior. Should I override the peer evaluation?</w:t>
      </w:r>
      <w:r>
        <w:rPr>
          <w:rFonts w:ascii="DM Sans" w:hAnsi="DM Sans" w:cs="DM Sans"/>
          <w:b w:val="0"/>
          <w:i w:val="0"/>
          <w:color w:val="050C2A"/>
          <w:sz w:val="20"/>
          <w:u w:val="none"/>
        </w:rPr>
        <w:t xml:space="preserve"> Not automatically. First, consider whether the peers had access to information you don't — they may have observed strong collaboration that wasn't visible to you. If, after reviewing the qualitative peer feedback, you still believe the peer scores don't reflect reality, use your instructor observation score as the corrective mechanism. That's what it's designed for. A student with a peer evaluation score of 90% and an instructor observation score of 75% will land at a combined score that reflects both perspectives. Only use override authority if the gap is so large that the formula can't correct for it.</w:t>
      </w:r>
    </w:p>
    <w:p>
      <w:pPr>
        <w:spacing w:before="0" w:after="120" w:line="276" w:lineRule="auto"/>
      </w:pPr>
      <w:r>
        <w:rPr>
          <w:rFonts w:ascii="DM Sans" w:hAnsi="DM Sans" w:cs="DM Sans"/>
          <w:b/>
          <w:i w:val="0"/>
          <w:color w:val="050C2A"/>
          <w:sz w:val="20"/>
          <w:u w:val="none"/>
        </w:rPr>
        <w:t>Q: The employer gave the team all 4s but I think their professionalism was average. What do I do?</w:t>
      </w:r>
      <w:r>
        <w:rPr>
          <w:rFonts w:ascii="DM Sans" w:hAnsi="DM Sans" w:cs="DM Sans"/>
          <w:b w:val="0"/>
          <w:i w:val="0"/>
          <w:color w:val="050C2A"/>
          <w:sz w:val="20"/>
          <w:u w:val="none"/>
        </w:rPr>
        <w:t xml:space="preserve"> Score your instructor observation based on what you observed. The employer may have different standards, may have had a particularly positive interaction, or may have rated generously to avoid conflict. The three-source design exists precisely for this situation — your observation provides a counterbalance. Do not adjust the employer scores themselves; use your instructor observation score to reflect your assessment.</w:t>
      </w:r>
    </w:p>
    <w:p>
      <w:pPr>
        <w:spacing w:before="0" w:after="120" w:line="276" w:lineRule="auto"/>
      </w:pPr>
      <w:r>
        <w:rPr>
          <w:rFonts w:ascii="DM Sans" w:hAnsi="DM Sans" w:cs="DM Sans"/>
          <w:b/>
          <w:i w:val="0"/>
          <w:color w:val="050C2A"/>
          <w:sz w:val="20"/>
          <w:u w:val="none"/>
        </w:rPr>
        <w:t>Q: A student improved dramatically from the first half to the second half of the semester. How do I handle this?</w:t>
      </w:r>
      <w:r>
        <w:rPr>
          <w:rFonts w:ascii="DM Sans" w:hAnsi="DM Sans" w:cs="DM Sans"/>
          <w:b w:val="0"/>
          <w:i w:val="0"/>
          <w:color w:val="050C2A"/>
          <w:sz w:val="20"/>
          <w:u w:val="none"/>
        </w:rPr>
        <w:t xml:space="preserve"> The design already accounts for this. The Week 15 peer evaluation is weighted at 70%, which captures the improvement arc. For employer feedback, the end-of-project survey (70% weight) reflects the more recent experience. For your instructor observation, the holistic descriptors consider the full semester — a student who started poorly but corrected course and sustained improvement is demonstrating professional growth, which could support a Proficient score even if the first few weeks were rocky. Use the evidence markers as a guide, but weight the trajectory, not just the average.</w:t>
      </w:r>
    </w:p>
    <w:p>
      <w:pPr>
        <w:spacing w:before="0" w:after="120" w:line="276" w:lineRule="auto"/>
      </w:pPr>
      <w:r>
        <w:rPr>
          <w:rFonts w:ascii="DM Sans" w:hAnsi="DM Sans" w:cs="DM Sans"/>
          <w:b/>
          <w:i w:val="0"/>
          <w:color w:val="050C2A"/>
          <w:sz w:val="20"/>
          <w:u w:val="none"/>
        </w:rPr>
        <w:t>Q: Two students on the same team had very different professional behavior, but they're getting similar Professional Engagement scores because the employer and peer components pull them together. Is that a problem?</w:t>
      </w:r>
      <w:r>
        <w:rPr>
          <w:rFonts w:ascii="DM Sans" w:hAnsi="DM Sans" w:cs="DM Sans"/>
          <w:b w:val="0"/>
          <w:i w:val="0"/>
          <w:color w:val="050C2A"/>
          <w:sz w:val="20"/>
          <w:u w:val="none"/>
        </w:rPr>
        <w:t xml:space="preserve"> Not necessarily. If peer evaluations accurately differentiate (one student scored higher than the other on the BARS dimensions), the 50% peer weight should create separation. If peer evaluations don't differentiate but you observed clear differences, your instructor observation score is where you create the separation. Check that each source is doing its job before concluding the composite score is wrong.</w:t>
      </w:r>
    </w:p>
    <w:p>
      <w:pPr>
        <w:spacing w:before="0" w:after="120" w:line="276" w:lineRule="auto"/>
      </w:pPr>
      <w:r>
        <w:rPr>
          <w:rFonts w:ascii="DM Sans" w:hAnsi="DM Sans" w:cs="DM Sans"/>
          <w:b/>
          <w:i w:val="0"/>
          <w:color w:val="050C2A"/>
          <w:sz w:val="20"/>
          <w:u w:val="none"/>
        </w:rPr>
        <w:t>Q: A student was reliable and communicative but contributed very little substantively. Where does that show up?</w:t>
      </w:r>
      <w:r>
        <w:rPr>
          <w:rFonts w:ascii="DM Sans" w:hAnsi="DM Sans" w:cs="DM Sans"/>
          <w:b w:val="0"/>
          <w:i w:val="0"/>
          <w:color w:val="050C2A"/>
          <w:sz w:val="20"/>
          <w:u w:val="none"/>
        </w:rPr>
        <w:t xml:space="preserve"> In peer evaluation. The BARS Contribution dimension specifically captures this pattern — a student can score well on Reliability (shows up, meets deadlines) and poorly on Contribution (work requires revision, doesn't volunteer, doesn't bring ideas). If peers rated accurately, the peer evaluation score will reflect this. If you also observed the pattern, your instructor observation score should reflect it too. The composite score should land lower than a student who was both reliable and substantively contributing.</w:t>
      </w:r>
    </w:p>
    <w:p>
      <w:pPr>
        <w:spacing w:before="0" w:after="120" w:line="276" w:lineRule="auto"/>
      </w:pPr>
      <w:r>
        <w:rPr>
          <w:rFonts w:ascii="DM Sans" w:hAnsi="DM Sans" w:cs="DM Sans"/>
          <w:b/>
          <w:i w:val="0"/>
          <w:color w:val="050C2A"/>
          <w:sz w:val="20"/>
          <w:u w:val="none"/>
        </w:rPr>
        <w:t>Q: What if I only taught part of the course (e.g., a co-teaching situation or mid-semester facilitator change)?</w:t>
      </w:r>
      <w:r>
        <w:rPr>
          <w:rFonts w:ascii="DM Sans" w:hAnsi="DM Sans" w:cs="DM Sans"/>
          <w:b w:val="0"/>
          <w:i w:val="0"/>
          <w:color w:val="050C2A"/>
          <w:sz w:val="20"/>
          <w:u w:val="none"/>
        </w:rPr>
        <w:t xml:space="preserve"> Score your instructor observation based on the period you observed, and note the limited observation window in your documentation. If another instructor observed the remainder, coordinate to produce a joint instructor observation score. If no one observed the full arc, consider reducing the instructor observation weight and redistributing to peer evaluation, since peers observed the full semester.</w:t>
      </w:r>
    </w:p>
    <w:p>
      <w:pPr>
        <w:spacing w:before="0" w:after="120" w:line="276" w:lineRule="auto"/>
      </w:pPr>
      <w:r>
        <w:rPr>
          <w:rFonts w:ascii="DM Sans" w:hAnsi="DM Sans" w:cs="DM Sans"/>
          <w:b/>
          <w:i w:val="0"/>
          <w:color w:val="050C2A"/>
          <w:sz w:val="20"/>
          <w:u w:val="none"/>
        </w:rPr>
        <w:t>Q: How precise should the instructor observation score be? Can I give a 3.5?</w:t>
      </w:r>
      <w:r>
        <w:rPr>
          <w:rFonts w:ascii="DM Sans" w:hAnsi="DM Sans" w:cs="DM Sans"/>
          <w:b w:val="0"/>
          <w:i w:val="0"/>
          <w:color w:val="050C2A"/>
          <w:sz w:val="20"/>
          <w:u w:val="none"/>
        </w:rPr>
        <w:t xml:space="preserve"> No. The instructor observation is a holistic score on a 1–4 integer scale. The precision comes from combining it with the peer evaluation and employer feedback scores, which are averages and can fall at any point on the scale. Splitting the instructor observation into half-points creates false precision — the holistic judgment doesn't support that level of granularity. Pick the descriptor that best fits, commit to the integer, and let the formula do the math.</w:t>
      </w:r>
    </w:p>
    <w:p>
      <w:pPr>
        <w:spacing w:before="0" w:after="120" w:line="276" w:lineRule="auto"/>
      </w:pPr>
      <w:r>
        <w:rPr>
          <w:rFonts w:ascii="DM Sans" w:hAnsi="DM Sans" w:cs="DM Sans"/>
          <w:b/>
          <w:i w:val="0"/>
          <w:color w:val="050C2A"/>
          <w:sz w:val="20"/>
          <w:u w:val="none"/>
        </w:rPr>
        <w:t>Q: A student filed a complaint about their peer evaluation. How does that affect scoring?</w:t>
      </w:r>
      <w:r>
        <w:rPr>
          <w:rFonts w:ascii="DM Sans" w:hAnsi="DM Sans" w:cs="DM Sans"/>
          <w:b w:val="0"/>
          <w:i w:val="0"/>
          <w:color w:val="050C2A"/>
          <w:sz w:val="20"/>
          <w:u w:val="none"/>
        </w:rPr>
        <w:t xml:space="preserve"> Take the complaint seriously and review the evidence. If the peer evaluation data appears biased (e.g., one teammate's ratings are outliers unsupported by evidence, or ratings correlate with interpersonal conflict rather than performance), you may exclude that teammate's ratings and recalculate the average from the remaining peers. If the evaluation process itself was compromised, apply the peer evaluation manipulation protocol (shift weight to instructor observation). Document everything.</w:t>
      </w:r>
    </w:p>
    <w:p>
      <w:pPr>
        <w:spacing w:before="280" w:after="100"/>
      </w:pPr>
      <w:r>
        <w:rPr>
          <w:rFonts w:ascii="DM Sans" w:hAnsi="DM Sans" w:cs="DM Sans"/>
          <w:b/>
          <w:i w:val="0"/>
          <w:color w:val="050C2A"/>
          <w:sz w:val="28"/>
          <w:u w:val="none"/>
        </w:rPr>
        <w:t>Revision Notes</w:t>
      </w:r>
    </w:p>
    <w:p>
      <w:pPr>
        <w:spacing w:before="0" w:after="120" w:line="276" w:lineRule="auto"/>
      </w:pPr>
      <w:r>
        <w:rPr>
          <w:rFonts w:ascii="DM Sans" w:hAnsi="DM Sans" w:cs="DM Sans"/>
          <w:b w:val="0"/>
          <w:i w:val="0"/>
          <w:color w:val="050C2A"/>
          <w:sz w:val="20"/>
          <w:u w:val="none"/>
        </w:rPr>
        <w:t>This grading guide is a living document. It should be updated after the first cohort with additional edge cases, calibration examples drawn from real scoring situations (anonymized), and any adjustments to the instructor observation descriptors based on what facilitators actually found observable and useful. In particular, the instructor observation evidence markers should be validated — do these thresholds (e.g., "no more than two late checkpoints" for Proficient) hold up against actual student patterns, or do they need recalibration?</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