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DEAL Reflection — Rubric</w:t>
      </w:r>
    </w:p>
    <w:p>
      <w:pPr>
        <w:pBdr>
          <w:bottom w:val="single" w:sz="6" w:space="1" w:color="ACACAC"/>
        </w:pBdr>
        <w:spacing w:before="120" w:after="120"/>
      </w:pPr>
    </w:p>
    <w:p>
      <w:pPr>
        <w:pStyle w:val="Heading2"/>
        <w:spacing w:before="280" w:after="100"/>
      </w:pPr>
      <w:r>
        <w:rPr>
          <w:rFonts w:ascii="DM Sans" w:hAnsi="DM Sans" w:cs="DM Sans"/>
          <w:b/>
          <w:i w:val="0"/>
          <w:color w:val="050C2A"/>
          <w:sz w:val="28"/>
          <w:u w:val="none"/>
        </w:rPr>
        <w:t>Scale</w:t>
      </w:r>
    </w:p>
    <w:p>
      <w:pPr>
        <w:spacing w:before="0" w:after="120" w:line="276" w:lineRule="auto"/>
      </w:pPr>
      <w:r>
        <w:rPr>
          <w:rFonts w:ascii="DM Sans" w:hAnsi="DM Sans" w:cs="DM Sans"/>
          <w:b w:val="0"/>
          <w:i w:val="0"/>
          <w:color w:val="050C2A"/>
          <w:sz w:val="20"/>
          <w:u w:val="none"/>
        </w:rPr>
        <w:t>All course rubrics use the same 5-point scale. This rubric applies to all DEAL Reflections; what changes is the depth your instructor expects, not the dimensions.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501"/>
            <w:shd w:fill="FF7C0A" w:val="clear"/>
            <w:vAlign w:val="center"/>
          </w:tcPr>
          <w:p>
            <w:pPr>
              <w:jc w:val="left"/>
              <w:spacing w:before="40" w:after="40"/>
            </w:pPr>
            <w:r>
              <w:rPr>
                <w:rFonts w:ascii="DM Sans" w:hAnsi="DM Sans" w:cs="DM Sans"/>
                <w:b/>
                <w:i w:val="0"/>
                <w:color w:val="FFFFFF"/>
                <w:sz w:val="20"/>
                <w:u w:val="none"/>
              </w:rPr>
              <w:t>Level</w:t>
            </w:r>
          </w:p>
        </w:tc>
        <w:tc>
          <w:tcPr>
            <w:tcW w:type="dxa" w:w="5859"/>
            <w:shd w:fill="FF7C0A" w:val="clear"/>
            <w:vAlign w:val="center"/>
          </w:tcPr>
          <w:p>
            <w:pPr>
              <w:jc w:val="left"/>
              <w:spacing w:before="40" w:after="40"/>
            </w:pPr>
            <w:r>
              <w:rPr>
                <w:rFonts w:ascii="DM Sans" w:hAnsi="DM Sans" w:cs="DM Sans"/>
                <w:b/>
                <w:i w:val="0"/>
                <w:color w:val="FFFFFF"/>
                <w:sz w:val="20"/>
                <w:u w:val="none"/>
              </w:rPr>
              <w:t>Label</w:t>
            </w:r>
          </w:p>
        </w:tc>
      </w:tr>
      <w:tr>
        <w:tc>
          <w:tcPr>
            <w:tcW w:type="dxa" w:w="3501"/>
            <w:vAlign w:val="center"/>
          </w:tcPr>
          <w:p>
            <w:pPr>
              <w:spacing w:before="30" w:after="30"/>
            </w:pPr>
            <w:r>
              <w:rPr>
                <w:rFonts w:ascii="DM Sans" w:hAnsi="DM Sans" w:cs="DM Sans"/>
                <w:b w:val="0"/>
                <w:i w:val="0"/>
                <w:color w:val="050C2A"/>
                <w:sz w:val="20"/>
                <w:u w:val="none"/>
              </w:rPr>
              <w:t>4</w:t>
            </w:r>
          </w:p>
        </w:tc>
        <w:tc>
          <w:tcPr>
            <w:tcW w:type="dxa" w:w="5859"/>
            <w:vAlign w:val="center"/>
          </w:tcPr>
          <w:p>
            <w:pPr>
              <w:spacing w:before="30" w:after="30"/>
            </w:pPr>
            <w:r>
              <w:rPr>
                <w:rFonts w:ascii="DM Sans" w:hAnsi="DM Sans" w:cs="DM Sans"/>
                <w:b w:val="0"/>
                <w:i w:val="0"/>
                <w:color w:val="050C2A"/>
                <w:sz w:val="20"/>
                <w:u w:val="none"/>
              </w:rPr>
              <w:t>Exemplary</w:t>
            </w:r>
          </w:p>
        </w:tc>
      </w:tr>
      <w:tr>
        <w:tc>
          <w:tcPr>
            <w:tcW w:type="dxa" w:w="3501"/>
            <w:shd w:fill="F5F5F5" w:val="clear"/>
            <w:vAlign w:val="center"/>
          </w:tcPr>
          <w:p>
            <w:pPr>
              <w:spacing w:before="30" w:after="30"/>
            </w:pPr>
            <w:r>
              <w:rPr>
                <w:rFonts w:ascii="DM Sans" w:hAnsi="DM Sans" w:cs="DM Sans"/>
                <w:b w:val="0"/>
                <w:i w:val="0"/>
                <w:color w:val="050C2A"/>
                <w:sz w:val="20"/>
                <w:u w:val="none"/>
              </w:rPr>
              <w:t>3</w:t>
            </w:r>
          </w:p>
        </w:tc>
        <w:tc>
          <w:tcPr>
            <w:tcW w:type="dxa" w:w="5859"/>
            <w:shd w:fill="F5F5F5" w:val="clear"/>
            <w:vAlign w:val="center"/>
          </w:tcPr>
          <w:p>
            <w:pPr>
              <w:spacing w:before="30" w:after="30"/>
            </w:pPr>
            <w:r>
              <w:rPr>
                <w:rFonts w:ascii="DM Sans" w:hAnsi="DM Sans" w:cs="DM Sans"/>
                <w:b w:val="0"/>
                <w:i w:val="0"/>
                <w:color w:val="050C2A"/>
                <w:sz w:val="20"/>
                <w:u w:val="none"/>
              </w:rPr>
              <w:t>Proficient</w:t>
            </w:r>
          </w:p>
        </w:tc>
      </w:tr>
      <w:tr>
        <w:tc>
          <w:tcPr>
            <w:tcW w:type="dxa" w:w="3501"/>
            <w:vAlign w:val="center"/>
          </w:tcPr>
          <w:p>
            <w:pPr>
              <w:spacing w:before="30" w:after="30"/>
            </w:pPr>
            <w:r>
              <w:rPr>
                <w:rFonts w:ascii="DM Sans" w:hAnsi="DM Sans" w:cs="DM Sans"/>
                <w:b w:val="0"/>
                <w:i w:val="0"/>
                <w:color w:val="050C2A"/>
                <w:sz w:val="20"/>
                <w:u w:val="none"/>
              </w:rPr>
              <w:t>2</w:t>
            </w:r>
          </w:p>
        </w:tc>
        <w:tc>
          <w:tcPr>
            <w:tcW w:type="dxa" w:w="5859"/>
            <w:vAlign w:val="center"/>
          </w:tcPr>
          <w:p>
            <w:pPr>
              <w:spacing w:before="30" w:after="30"/>
            </w:pPr>
            <w:r>
              <w:rPr>
                <w:rFonts w:ascii="DM Sans" w:hAnsi="DM Sans" w:cs="DM Sans"/>
                <w:b w:val="0"/>
                <w:i w:val="0"/>
                <w:color w:val="050C2A"/>
                <w:sz w:val="20"/>
                <w:u w:val="none"/>
              </w:rPr>
              <w:t>Developing</w:t>
            </w:r>
          </w:p>
        </w:tc>
      </w:tr>
      <w:tr>
        <w:tc>
          <w:tcPr>
            <w:tcW w:type="dxa" w:w="3501"/>
            <w:shd w:fill="F5F5F5" w:val="clear"/>
            <w:vAlign w:val="center"/>
          </w:tcPr>
          <w:p>
            <w:pPr>
              <w:spacing w:before="30" w:after="30"/>
            </w:pPr>
            <w:r>
              <w:rPr>
                <w:rFonts w:ascii="DM Sans" w:hAnsi="DM Sans" w:cs="DM Sans"/>
                <w:b w:val="0"/>
                <w:i w:val="0"/>
                <w:color w:val="050C2A"/>
                <w:sz w:val="20"/>
                <w:u w:val="none"/>
              </w:rPr>
              <w:t>1</w:t>
            </w:r>
          </w:p>
        </w:tc>
        <w:tc>
          <w:tcPr>
            <w:tcW w:type="dxa" w:w="5859"/>
            <w:shd w:fill="F5F5F5" w:val="clear"/>
            <w:vAlign w:val="center"/>
          </w:tcPr>
          <w:p>
            <w:pPr>
              <w:spacing w:before="30" w:after="30"/>
            </w:pPr>
            <w:r>
              <w:rPr>
                <w:rFonts w:ascii="DM Sans" w:hAnsi="DM Sans" w:cs="DM Sans"/>
                <w:b w:val="0"/>
                <w:i w:val="0"/>
                <w:color w:val="050C2A"/>
                <w:sz w:val="20"/>
                <w:u w:val="none"/>
              </w:rPr>
              <w:t>Emerging</w:t>
            </w:r>
          </w:p>
        </w:tc>
      </w:tr>
      <w:tr>
        <w:tc>
          <w:tcPr>
            <w:tcW w:type="dxa" w:w="3501"/>
            <w:vAlign w:val="center"/>
          </w:tcPr>
          <w:p>
            <w:pPr>
              <w:spacing w:before="30" w:after="30"/>
            </w:pPr>
            <w:r>
              <w:rPr>
                <w:rFonts w:ascii="DM Sans" w:hAnsi="DM Sans" w:cs="DM Sans"/>
                <w:b w:val="0"/>
                <w:i w:val="0"/>
                <w:color w:val="050C2A"/>
                <w:sz w:val="20"/>
                <w:u w:val="none"/>
              </w:rPr>
              <w:t>0</w:t>
            </w:r>
          </w:p>
        </w:tc>
        <w:tc>
          <w:tcPr>
            <w:tcW w:type="dxa" w:w="5859"/>
            <w:vAlign w:val="center"/>
          </w:tcPr>
          <w:p>
            <w:pPr>
              <w:spacing w:before="30" w:after="30"/>
            </w:pPr>
            <w:r>
              <w:rPr>
                <w:rFonts w:ascii="DM Sans" w:hAnsi="DM Sans" w:cs="DM Sans"/>
                <w:b w:val="0"/>
                <w:i w:val="0"/>
                <w:color w:val="050C2A"/>
                <w:sz w:val="20"/>
                <w:u w:val="none"/>
              </w:rPr>
              <w:t>Not Acceptable</w:t>
            </w:r>
          </w:p>
        </w:tc>
      </w:tr>
    </w:tbl>
    <w:p>
      <w:pPr>
        <w:spacing w:before="0" w:after="120"/>
      </w:pPr>
    </w:p>
    <w:p>
      <w:pPr>
        <w:pStyle w:val="Heading2"/>
        <w:spacing w:before="280" w:after="100"/>
      </w:pPr>
      <w:r>
        <w:rPr>
          <w:rFonts w:ascii="DM Sans" w:hAnsi="DM Sans" w:cs="DM Sans"/>
          <w:b/>
          <w:i w:val="0"/>
          <w:color w:val="050C2A"/>
          <w:sz w:val="28"/>
          <w:u w:val="none"/>
        </w:rPr>
        <w:t>Dimensions</w:t>
      </w:r>
    </w:p>
    <w:p>
      <w:pPr>
        <w:spacing w:before="0" w:after="120" w:line="276" w:lineRule="auto"/>
      </w:pPr>
      <w:r>
        <w:rPr>
          <w:rFonts w:ascii="DM Sans" w:hAnsi="DM Sans" w:cs="DM Sans"/>
          <w:b w:val="0"/>
          <w:i w:val="0"/>
          <w:color w:val="050C2A"/>
          <w:sz w:val="20"/>
          <w:u w:val="none"/>
        </w:rPr>
        <w:t>Four dimensions, equally weighted at 25% each.</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226"/>
            <w:shd w:fill="FF7C0A" w:val="clear"/>
            <w:vAlign w:val="center"/>
          </w:tcPr>
          <w:p>
            <w:pPr>
              <w:jc w:val="left"/>
              <w:spacing w:before="40" w:after="40"/>
            </w:pPr>
            <w:r>
              <w:rPr>
                <w:rFonts w:ascii="DM Sans" w:hAnsi="DM Sans" w:cs="DM Sans"/>
                <w:b/>
                <w:i w:val="0"/>
                <w:color w:val="FFFFFF"/>
                <w:sz w:val="20"/>
                <w:u w:val="none"/>
              </w:rPr>
              <w:t>Dimension</w:t>
            </w:r>
          </w:p>
        </w:tc>
        <w:tc>
          <w:tcPr>
            <w:tcW w:type="dxa" w:w="1113"/>
            <w:shd w:fill="FF7C0A" w:val="clear"/>
            <w:vAlign w:val="center"/>
          </w:tcPr>
          <w:p>
            <w:pPr>
              <w:jc w:val="left"/>
              <w:spacing w:before="40" w:after="40"/>
            </w:pPr>
            <w:r>
              <w:rPr>
                <w:rFonts w:ascii="DM Sans" w:hAnsi="DM Sans" w:cs="DM Sans"/>
                <w:b/>
                <w:i w:val="0"/>
                <w:color w:val="FFFFFF"/>
                <w:sz w:val="20"/>
                <w:u w:val="none"/>
              </w:rPr>
              <w:t>Weight</w:t>
            </w:r>
          </w:p>
        </w:tc>
        <w:tc>
          <w:tcPr>
            <w:tcW w:type="dxa" w:w="3747"/>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2274"/>
            <w:shd w:fill="FF7C0A" w:val="clear"/>
            <w:vAlign w:val="center"/>
          </w:tcPr>
          <w:p>
            <w:pPr>
              <w:jc w:val="left"/>
              <w:spacing w:before="40" w:after="40"/>
            </w:pPr>
            <w:r>
              <w:rPr>
                <w:rFonts w:ascii="DM Sans" w:hAnsi="DM Sans" w:cs="DM Sans"/>
                <w:b/>
                <w:i w:val="0"/>
                <w:color w:val="FFFFFF"/>
                <w:sz w:val="20"/>
                <w:u w:val="none"/>
              </w:rPr>
              <w:t>Evaluates</w:t>
            </w:r>
          </w:p>
        </w:tc>
      </w:tr>
      <w:tr>
        <w:tc>
          <w:tcPr>
            <w:tcW w:type="dxa" w:w="2226"/>
            <w:vAlign w:val="center"/>
          </w:tcPr>
          <w:p>
            <w:pPr>
              <w:spacing w:before="30" w:after="30"/>
            </w:pPr>
            <w:r>
              <w:rPr>
                <w:rFonts w:ascii="DM Sans" w:hAnsi="DM Sans" w:cs="DM Sans"/>
                <w:b w:val="0"/>
                <w:i w:val="0"/>
                <w:color w:val="050C2A"/>
                <w:sz w:val="20"/>
                <w:u w:val="none"/>
              </w:rPr>
              <w:t>Descriptive Specificity</w:t>
            </w:r>
          </w:p>
        </w:tc>
        <w:tc>
          <w:tcPr>
            <w:tcW w:type="dxa" w:w="1113"/>
            <w:vAlign w:val="center"/>
          </w:tcPr>
          <w:p>
            <w:pPr>
              <w:spacing w:before="30" w:after="30"/>
            </w:pPr>
            <w:r>
              <w:rPr>
                <w:rFonts w:ascii="DM Sans" w:hAnsi="DM Sans" w:cs="DM Sans"/>
                <w:b w:val="0"/>
                <w:i w:val="0"/>
                <w:color w:val="050C2A"/>
                <w:sz w:val="20"/>
                <w:u w:val="none"/>
              </w:rPr>
              <w:t>25%</w:t>
            </w:r>
          </w:p>
        </w:tc>
        <w:tc>
          <w:tcPr>
            <w:tcW w:type="dxa" w:w="3747"/>
            <w:vAlign w:val="center"/>
          </w:tcPr>
          <w:p>
            <w:pPr>
              <w:spacing w:before="30" w:after="30"/>
            </w:pPr>
            <w:r>
              <w:rPr>
                <w:rFonts w:ascii="DM Sans" w:hAnsi="DM Sans" w:cs="DM Sans"/>
                <w:b w:val="0"/>
                <w:i w:val="0"/>
                <w:color w:val="050C2A"/>
                <w:sz w:val="20"/>
                <w:u w:val="none"/>
              </w:rPr>
              <w:t>Career &amp; Self-Development → Self-Awareness</w:t>
            </w:r>
          </w:p>
        </w:tc>
        <w:tc>
          <w:tcPr>
            <w:tcW w:type="dxa" w:w="2274"/>
            <w:vAlign w:val="center"/>
          </w:tcPr>
          <w:p>
            <w:pPr>
              <w:spacing w:before="30" w:after="30"/>
            </w:pPr>
            <w:r>
              <w:rPr>
                <w:rFonts w:ascii="DM Sans" w:hAnsi="DM Sans" w:cs="DM Sans"/>
                <w:b w:val="0"/>
                <w:i w:val="0"/>
                <w:color w:val="050C2A"/>
                <w:sz w:val="20"/>
                <w:u w:val="none"/>
              </w:rPr>
              <w:t>Describe stage</w:t>
            </w:r>
          </w:p>
        </w:tc>
      </w:tr>
      <w:tr>
        <w:tc>
          <w:tcPr>
            <w:tcW w:type="dxa" w:w="2226"/>
            <w:shd w:fill="F5F5F5" w:val="clear"/>
            <w:vAlign w:val="center"/>
          </w:tcPr>
          <w:p>
            <w:pPr>
              <w:spacing w:before="30" w:after="30"/>
            </w:pPr>
            <w:r>
              <w:rPr>
                <w:rFonts w:ascii="DM Sans" w:hAnsi="DM Sans" w:cs="DM Sans"/>
                <w:b w:val="0"/>
                <w:i w:val="0"/>
                <w:color w:val="050C2A"/>
                <w:sz w:val="20"/>
                <w:u w:val="none"/>
              </w:rPr>
              <w:t>Critical Examination</w:t>
            </w:r>
          </w:p>
        </w:tc>
        <w:tc>
          <w:tcPr>
            <w:tcW w:type="dxa" w:w="1113"/>
            <w:shd w:fill="F5F5F5" w:val="clear"/>
            <w:vAlign w:val="center"/>
          </w:tcPr>
          <w:p>
            <w:pPr>
              <w:spacing w:before="30" w:after="30"/>
            </w:pPr>
            <w:r>
              <w:rPr>
                <w:rFonts w:ascii="DM Sans" w:hAnsi="DM Sans" w:cs="DM Sans"/>
                <w:b w:val="0"/>
                <w:i w:val="0"/>
                <w:color w:val="050C2A"/>
                <w:sz w:val="20"/>
                <w:u w:val="none"/>
              </w:rPr>
              <w:t>25%</w:t>
            </w:r>
          </w:p>
        </w:tc>
        <w:tc>
          <w:tcPr>
            <w:tcW w:type="dxa" w:w="3747"/>
            <w:shd w:fill="F5F5F5" w:val="clear"/>
            <w:vAlign w:val="center"/>
          </w:tcPr>
          <w:p>
            <w:pPr>
              <w:spacing w:before="30" w:after="30"/>
            </w:pPr>
            <w:r>
              <w:rPr>
                <w:rFonts w:ascii="DM Sans" w:hAnsi="DM Sans" w:cs="DM Sans"/>
                <w:b w:val="0"/>
                <w:i w:val="0"/>
                <w:color w:val="050C2A"/>
                <w:sz w:val="20"/>
                <w:u w:val="none"/>
              </w:rPr>
              <w:t>Career &amp; Self-Development → Reflection</w:t>
            </w:r>
          </w:p>
        </w:tc>
        <w:tc>
          <w:tcPr>
            <w:tcW w:type="dxa" w:w="2274"/>
            <w:shd w:fill="F5F5F5" w:val="clear"/>
            <w:vAlign w:val="center"/>
          </w:tcPr>
          <w:p>
            <w:pPr>
              <w:spacing w:before="30" w:after="30"/>
            </w:pPr>
            <w:r>
              <w:rPr>
                <w:rFonts w:ascii="DM Sans" w:hAnsi="DM Sans" w:cs="DM Sans"/>
                <w:b w:val="0"/>
                <w:i w:val="0"/>
                <w:color w:val="050C2A"/>
                <w:sz w:val="20"/>
                <w:u w:val="none"/>
              </w:rPr>
              <w:t>Examine stage</w:t>
            </w:r>
          </w:p>
        </w:tc>
      </w:tr>
      <w:tr>
        <w:tc>
          <w:tcPr>
            <w:tcW w:type="dxa" w:w="2226"/>
            <w:vAlign w:val="center"/>
          </w:tcPr>
          <w:p>
            <w:pPr>
              <w:spacing w:before="30" w:after="30"/>
            </w:pPr>
            <w:r>
              <w:rPr>
                <w:rFonts w:ascii="DM Sans" w:hAnsi="DM Sans" w:cs="DM Sans"/>
                <w:b w:val="0"/>
                <w:i w:val="0"/>
                <w:color w:val="050C2A"/>
                <w:sz w:val="20"/>
                <w:u w:val="none"/>
              </w:rPr>
              <w:t>Personal Accountability</w:t>
            </w:r>
          </w:p>
        </w:tc>
        <w:tc>
          <w:tcPr>
            <w:tcW w:type="dxa" w:w="1113"/>
            <w:vAlign w:val="center"/>
          </w:tcPr>
          <w:p>
            <w:pPr>
              <w:spacing w:before="30" w:after="30"/>
            </w:pPr>
            <w:r>
              <w:rPr>
                <w:rFonts w:ascii="DM Sans" w:hAnsi="DM Sans" w:cs="DM Sans"/>
                <w:b w:val="0"/>
                <w:i w:val="0"/>
                <w:color w:val="050C2A"/>
                <w:sz w:val="20"/>
                <w:u w:val="none"/>
              </w:rPr>
              <w:t>25%</w:t>
            </w:r>
          </w:p>
        </w:tc>
        <w:tc>
          <w:tcPr>
            <w:tcW w:type="dxa" w:w="3747"/>
            <w:vAlign w:val="center"/>
          </w:tcPr>
          <w:p>
            <w:pPr>
              <w:spacing w:before="30" w:after="30"/>
            </w:pPr>
            <w:r>
              <w:rPr>
                <w:rFonts w:ascii="DM Sans" w:hAnsi="DM Sans" w:cs="DM Sans"/>
                <w:b w:val="0"/>
                <w:i w:val="0"/>
                <w:color w:val="050C2A"/>
                <w:sz w:val="20"/>
                <w:u w:val="none"/>
              </w:rPr>
              <w:t>Career &amp; Self-Development → Self-Awareness</w:t>
            </w:r>
          </w:p>
        </w:tc>
        <w:tc>
          <w:tcPr>
            <w:tcW w:type="dxa" w:w="2274"/>
            <w:vAlign w:val="center"/>
          </w:tcPr>
          <w:p>
            <w:pPr>
              <w:spacing w:before="30" w:after="30"/>
            </w:pPr>
            <w:r>
              <w:rPr>
                <w:rFonts w:ascii="DM Sans" w:hAnsi="DM Sans" w:cs="DM Sans"/>
                <w:b w:val="0"/>
                <w:i w:val="0"/>
                <w:color w:val="050C2A"/>
                <w:sz w:val="20"/>
                <w:u w:val="none"/>
              </w:rPr>
              <w:t>Across all stages</w:t>
            </w:r>
          </w:p>
        </w:tc>
      </w:tr>
      <w:tr>
        <w:tc>
          <w:tcPr>
            <w:tcW w:type="dxa" w:w="2226"/>
            <w:shd w:fill="F5F5F5" w:val="clear"/>
            <w:vAlign w:val="center"/>
          </w:tcPr>
          <w:p>
            <w:pPr>
              <w:spacing w:before="30" w:after="30"/>
            </w:pPr>
            <w:r>
              <w:rPr>
                <w:rFonts w:ascii="DM Sans" w:hAnsi="DM Sans" w:cs="DM Sans"/>
                <w:b w:val="0"/>
                <w:i w:val="0"/>
                <w:color w:val="050C2A"/>
                <w:sz w:val="20"/>
                <w:u w:val="none"/>
              </w:rPr>
              <w:t>Articulation of Learning</w:t>
            </w:r>
          </w:p>
        </w:tc>
        <w:tc>
          <w:tcPr>
            <w:tcW w:type="dxa" w:w="1113"/>
            <w:shd w:fill="F5F5F5" w:val="clear"/>
            <w:vAlign w:val="center"/>
          </w:tcPr>
          <w:p>
            <w:pPr>
              <w:spacing w:before="30" w:after="30"/>
            </w:pPr>
            <w:r>
              <w:rPr>
                <w:rFonts w:ascii="DM Sans" w:hAnsi="DM Sans" w:cs="DM Sans"/>
                <w:b w:val="0"/>
                <w:i w:val="0"/>
                <w:color w:val="050C2A"/>
                <w:sz w:val="20"/>
                <w:u w:val="none"/>
              </w:rPr>
              <w:t>25%</w:t>
            </w:r>
          </w:p>
        </w:tc>
        <w:tc>
          <w:tcPr>
            <w:tcW w:type="dxa" w:w="3747"/>
            <w:shd w:fill="F5F5F5" w:val="clear"/>
            <w:vAlign w:val="center"/>
          </w:tcPr>
          <w:p>
            <w:pPr>
              <w:spacing w:before="30" w:after="30"/>
            </w:pPr>
            <w:r>
              <w:rPr>
                <w:rFonts w:ascii="DM Sans" w:hAnsi="DM Sans" w:cs="DM Sans"/>
                <w:b w:val="0"/>
                <w:i w:val="0"/>
                <w:color w:val="050C2A"/>
                <w:sz w:val="20"/>
                <w:u w:val="none"/>
              </w:rPr>
              <w:t>Career &amp; Self-Development → Career Articulation / Growth Orientation</w:t>
            </w:r>
          </w:p>
        </w:tc>
        <w:tc>
          <w:tcPr>
            <w:tcW w:type="dxa" w:w="2274"/>
            <w:shd w:fill="F5F5F5" w:val="clear"/>
            <w:vAlign w:val="center"/>
          </w:tcPr>
          <w:p>
            <w:pPr>
              <w:spacing w:before="30" w:after="30"/>
            </w:pPr>
            <w:r>
              <w:rPr>
                <w:rFonts w:ascii="DM Sans" w:hAnsi="DM Sans" w:cs="DM Sans"/>
                <w:b w:val="0"/>
                <w:i w:val="0"/>
                <w:color w:val="050C2A"/>
                <w:sz w:val="20"/>
                <w:u w:val="none"/>
              </w:rPr>
              <w:t>Articulate Learning stage</w:t>
            </w:r>
          </w:p>
        </w:tc>
      </w:tr>
    </w:tbl>
    <w:p>
      <w:pPr>
        <w:spacing w:before="0" w:after="120"/>
      </w:pPr>
    </w:p>
    <w:p>
      <w:pPr>
        <w:pStyle w:val="Heading2"/>
        <w:spacing w:before="280" w:after="100"/>
      </w:pPr>
      <w:r>
        <w:rPr>
          <w:rFonts w:ascii="DM Sans" w:hAnsi="DM Sans" w:cs="DM Sans"/>
          <w:b/>
          <w:i w:val="0"/>
          <w:color w:val="050C2A"/>
          <w:sz w:val="28"/>
          <w:u w:val="none"/>
        </w:rPr>
        <w:t>Dimension 1: Descriptive Specificity</w:t>
      </w:r>
    </w:p>
    <w:p>
      <w:pPr>
        <w:spacing w:before="0" w:after="120" w:line="276" w:lineRule="auto"/>
      </w:pPr>
      <w:r>
        <w:rPr>
          <w:rFonts w:ascii="DM Sans" w:hAnsi="DM Sans" w:cs="DM Sans"/>
          <w:b w:val="0"/>
          <w:i/>
          <w:color w:val="050C2A"/>
          <w:sz w:val="20"/>
          <w:u w:val="none"/>
        </w:rPr>
        <w:t>Career &amp; Self-Development → Self-Awareness</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Describe stage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43"/>
            <w:shd w:fill="FF7C0A" w:val="clear"/>
            <w:vAlign w:val="center"/>
          </w:tcPr>
          <w:p>
            <w:pPr>
              <w:jc w:val="left"/>
              <w:spacing w:before="40" w:after="40"/>
            </w:pPr>
            <w:r>
              <w:rPr>
                <w:rFonts w:ascii="DM Sans" w:hAnsi="DM Sans" w:cs="DM Sans"/>
                <w:b/>
                <w:i w:val="0"/>
                <w:color w:val="FFFFFF"/>
                <w:sz w:val="20"/>
                <w:u w:val="none"/>
              </w:rPr>
              <w:t>Level</w:t>
            </w:r>
          </w:p>
        </w:tc>
        <w:tc>
          <w:tcPr>
            <w:tcW w:type="dxa" w:w="7317"/>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43"/>
            <w:vAlign w:val="center"/>
          </w:tcPr>
          <w:p>
            <w:pPr>
              <w:spacing w:before="30" w:after="30"/>
            </w:pPr>
            <w:r>
              <w:rPr>
                <w:rFonts w:ascii="DM Sans" w:hAnsi="DM Sans" w:cs="DM Sans"/>
                <w:b/>
                <w:i w:val="0"/>
                <w:color w:val="050C2A"/>
                <w:sz w:val="20"/>
                <w:u w:val="none"/>
              </w:rPr>
              <w:t>Exemplary (4)</w:t>
            </w:r>
          </w:p>
        </w:tc>
        <w:tc>
          <w:tcPr>
            <w:tcW w:type="dxa" w:w="7317"/>
            <w:vAlign w:val="center"/>
          </w:tcPr>
          <w:p>
            <w:pPr>
              <w:spacing w:before="30" w:after="30"/>
            </w:pPr>
            <w:r>
              <w:rPr>
                <w:rFonts w:ascii="DM Sans" w:hAnsi="DM Sans" w:cs="DM Sans"/>
                <w:b w:val="0"/>
                <w:i w:val="0"/>
                <w:color w:val="050C2A"/>
                <w:sz w:val="20"/>
                <w:u w:val="none"/>
              </w:rPr>
              <w:t>The experience is described concretely — who was involved, what was said or done, what the context was. A reader who wasn't there could reconstruct the scene. The description focuses on one specific moment or a tightly connected set of moments rather than summarizing a whole phase.</w:t>
            </w:r>
          </w:p>
        </w:tc>
      </w:tr>
      <w:tr>
        <w:tc>
          <w:tcPr>
            <w:tcW w:type="dxa" w:w="2043"/>
            <w:shd w:fill="F5F5F5" w:val="clear"/>
            <w:vAlign w:val="center"/>
          </w:tcPr>
          <w:p>
            <w:pPr>
              <w:spacing w:before="30" w:after="30"/>
            </w:pPr>
            <w:r>
              <w:rPr>
                <w:rFonts w:ascii="DM Sans" w:hAnsi="DM Sans" w:cs="DM Sans"/>
                <w:b/>
                <w:i w:val="0"/>
                <w:color w:val="050C2A"/>
                <w:sz w:val="20"/>
                <w:u w:val="none"/>
              </w:rPr>
              <w:t>Proficient (3)</w:t>
            </w:r>
          </w:p>
        </w:tc>
        <w:tc>
          <w:tcPr>
            <w:tcW w:type="dxa" w:w="7317"/>
            <w:shd w:fill="F5F5F5" w:val="clear"/>
            <w:vAlign w:val="center"/>
          </w:tcPr>
          <w:p>
            <w:pPr>
              <w:spacing w:before="30" w:after="30"/>
            </w:pPr>
            <w:r>
              <w:rPr>
                <w:rFonts w:ascii="DM Sans" w:hAnsi="DM Sans" w:cs="DM Sans"/>
                <w:b w:val="0"/>
                <w:i w:val="0"/>
                <w:color w:val="050C2A"/>
                <w:sz w:val="20"/>
                <w:u w:val="none"/>
              </w:rPr>
              <w:t>The experience is clearly identifiable and includes concrete details. A reader can follow what happened. The description is reasonably focused, though it may cover slightly more ground than necessary.</w:t>
            </w:r>
          </w:p>
        </w:tc>
      </w:tr>
      <w:tr>
        <w:tc>
          <w:tcPr>
            <w:tcW w:type="dxa" w:w="2043"/>
            <w:vAlign w:val="center"/>
          </w:tcPr>
          <w:p>
            <w:pPr>
              <w:spacing w:before="30" w:after="30"/>
            </w:pPr>
            <w:r>
              <w:rPr>
                <w:rFonts w:ascii="DM Sans" w:hAnsi="DM Sans" w:cs="DM Sans"/>
                <w:b/>
                <w:i w:val="0"/>
                <w:color w:val="050C2A"/>
                <w:sz w:val="20"/>
                <w:u w:val="none"/>
              </w:rPr>
              <w:t>Developing (2)</w:t>
            </w:r>
          </w:p>
        </w:tc>
        <w:tc>
          <w:tcPr>
            <w:tcW w:type="dxa" w:w="7317"/>
            <w:vAlign w:val="center"/>
          </w:tcPr>
          <w:p>
            <w:pPr>
              <w:spacing w:before="30" w:after="30"/>
            </w:pPr>
            <w:r>
              <w:rPr>
                <w:rFonts w:ascii="DM Sans" w:hAnsi="DM Sans" w:cs="DM Sans"/>
                <w:b w:val="0"/>
                <w:i w:val="0"/>
                <w:color w:val="050C2A"/>
                <w:sz w:val="20"/>
                <w:u w:val="none"/>
              </w:rPr>
              <w:t>The experience is described in general terms. A reader gets the gist but lacks the specifics needed to fully understand what happened. The description may summarize a phase rather than anchor in one specific moment.</w:t>
            </w:r>
          </w:p>
        </w:tc>
      </w:tr>
      <w:tr>
        <w:tc>
          <w:tcPr>
            <w:tcW w:type="dxa" w:w="2043"/>
            <w:shd w:fill="F5F5F5" w:val="clear"/>
            <w:vAlign w:val="center"/>
          </w:tcPr>
          <w:p>
            <w:pPr>
              <w:spacing w:before="30" w:after="30"/>
            </w:pPr>
            <w:r>
              <w:rPr>
                <w:rFonts w:ascii="DM Sans" w:hAnsi="DM Sans" w:cs="DM Sans"/>
                <w:b/>
                <w:i w:val="0"/>
                <w:color w:val="050C2A"/>
                <w:sz w:val="20"/>
                <w:u w:val="none"/>
              </w:rPr>
              <w:t>Emerging (1)</w:t>
            </w:r>
          </w:p>
        </w:tc>
        <w:tc>
          <w:tcPr>
            <w:tcW w:type="dxa" w:w="7317"/>
            <w:shd w:fill="F5F5F5" w:val="clear"/>
            <w:vAlign w:val="center"/>
          </w:tcPr>
          <w:p>
            <w:pPr>
              <w:spacing w:before="30" w:after="30"/>
            </w:pPr>
            <w:r>
              <w:rPr>
                <w:rFonts w:ascii="DM Sans" w:hAnsi="DM Sans" w:cs="DM Sans"/>
                <w:b w:val="0"/>
                <w:i w:val="0"/>
                <w:color w:val="050C2A"/>
                <w:sz w:val="20"/>
                <w:u w:val="none"/>
              </w:rPr>
              <w:t>The description is vague or abstract. It reads as a general account of the course phase rather than a specific experience. A reader cannot determine what actually happened.</w:t>
            </w:r>
          </w:p>
        </w:tc>
      </w:tr>
      <w:tr>
        <w:tc>
          <w:tcPr>
            <w:tcW w:type="dxa" w:w="2043"/>
            <w:vAlign w:val="center"/>
          </w:tcPr>
          <w:p>
            <w:pPr>
              <w:spacing w:before="30" w:after="30"/>
            </w:pPr>
            <w:r>
              <w:rPr>
                <w:rFonts w:ascii="DM Sans" w:hAnsi="DM Sans" w:cs="DM Sans"/>
                <w:b/>
                <w:i w:val="0"/>
                <w:color w:val="050C2A"/>
                <w:sz w:val="20"/>
                <w:u w:val="none"/>
              </w:rPr>
              <w:t>Not Acceptable (0)</w:t>
            </w:r>
          </w:p>
        </w:tc>
        <w:tc>
          <w:tcPr>
            <w:tcW w:type="dxa" w:w="7317"/>
            <w:vAlign w:val="center"/>
          </w:tcPr>
          <w:p>
            <w:pPr>
              <w:spacing w:before="30" w:after="30"/>
            </w:pPr>
            <w:r>
              <w:rPr>
                <w:rFonts w:ascii="DM Sans" w:hAnsi="DM Sans" w:cs="DM Sans"/>
                <w:b w:val="0"/>
                <w:i w:val="0"/>
                <w:color w:val="050C2A"/>
                <w:sz w:val="20"/>
                <w:u w:val="none"/>
              </w:rPr>
              <w:t>No meaningful description is provided. The Describe stage is missing, or the content is so generic it could apply to any student in any project.</w:t>
            </w:r>
          </w:p>
        </w:tc>
      </w:tr>
    </w:tbl>
    <w:p>
      <w:pPr>
        <w:spacing w:before="0" w:after="120"/>
      </w:pPr>
    </w:p>
    <w:p>
      <w:pPr>
        <w:pStyle w:val="Heading2"/>
        <w:spacing w:before="280" w:after="100"/>
      </w:pPr>
      <w:r>
        <w:rPr>
          <w:rFonts w:ascii="DM Sans" w:hAnsi="DM Sans" w:cs="DM Sans"/>
          <w:b/>
          <w:i w:val="0"/>
          <w:color w:val="050C2A"/>
          <w:sz w:val="28"/>
          <w:u w:val="none"/>
        </w:rPr>
        <w:t>Dimension 2: Critical Examination</w:t>
      </w:r>
    </w:p>
    <w:p>
      <w:pPr>
        <w:spacing w:before="0" w:after="120" w:line="276" w:lineRule="auto"/>
      </w:pPr>
      <w:r>
        <w:rPr>
          <w:rFonts w:ascii="DM Sans" w:hAnsi="DM Sans" w:cs="DM Sans"/>
          <w:b w:val="0"/>
          <w:i/>
          <w:color w:val="050C2A"/>
          <w:sz w:val="20"/>
          <w:u w:val="none"/>
        </w:rPr>
        <w:t>Career &amp; Self-Development → Reflection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Examine stage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10"/>
            <w:shd w:fill="FF7C0A" w:val="clear"/>
            <w:vAlign w:val="center"/>
          </w:tcPr>
          <w:p>
            <w:pPr>
              <w:jc w:val="left"/>
              <w:spacing w:before="40" w:after="40"/>
            </w:pPr>
            <w:r>
              <w:rPr>
                <w:rFonts w:ascii="DM Sans" w:hAnsi="DM Sans" w:cs="DM Sans"/>
                <w:b/>
                <w:i w:val="0"/>
                <w:color w:val="FFFFFF"/>
                <w:sz w:val="20"/>
                <w:u w:val="none"/>
              </w:rPr>
              <w:t>Level</w:t>
            </w:r>
          </w:p>
        </w:tc>
        <w:tc>
          <w:tcPr>
            <w:tcW w:type="dxa" w:w="7350"/>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10"/>
            <w:vAlign w:val="center"/>
          </w:tcPr>
          <w:p>
            <w:pPr>
              <w:spacing w:before="30" w:after="30"/>
            </w:pPr>
            <w:r>
              <w:rPr>
                <w:rFonts w:ascii="DM Sans" w:hAnsi="DM Sans" w:cs="DM Sans"/>
                <w:b/>
                <w:i w:val="0"/>
                <w:color w:val="050C2A"/>
                <w:sz w:val="20"/>
                <w:u w:val="none"/>
              </w:rPr>
              <w:t>Exemplary (4)</w:t>
            </w:r>
          </w:p>
        </w:tc>
        <w:tc>
          <w:tcPr>
            <w:tcW w:type="dxa" w:w="7350"/>
            <w:vAlign w:val="center"/>
          </w:tcPr>
          <w:p>
            <w:pPr>
              <w:spacing w:before="30" w:after="30"/>
            </w:pPr>
            <w:r>
              <w:rPr>
                <w:rFonts w:ascii="DM Sans" w:hAnsi="DM Sans" w:cs="DM Sans"/>
                <w:b w:val="0"/>
                <w:i w:val="0"/>
                <w:color w:val="050C2A"/>
                <w:sz w:val="20"/>
                <w:u w:val="none"/>
              </w:rPr>
              <w:t>The examination goes beyond narration to genuine analysis. Assumptions are identified, patterns or tensions are surfaced, and the experience is connected to broader professional or personal understanding. The examination produces insight that wasn't obvious before you sat down to write.</w:t>
            </w:r>
          </w:p>
        </w:tc>
      </w:tr>
      <w:tr>
        <w:tc>
          <w:tcPr>
            <w:tcW w:type="dxa" w:w="2010"/>
            <w:shd w:fill="F5F5F5" w:val="clear"/>
            <w:vAlign w:val="center"/>
          </w:tcPr>
          <w:p>
            <w:pPr>
              <w:spacing w:before="30" w:after="30"/>
            </w:pPr>
            <w:r>
              <w:rPr>
                <w:rFonts w:ascii="DM Sans" w:hAnsi="DM Sans" w:cs="DM Sans"/>
                <w:b/>
                <w:i w:val="0"/>
                <w:color w:val="050C2A"/>
                <w:sz w:val="20"/>
                <w:u w:val="none"/>
              </w:rPr>
              <w:t>Proficient (3)</w:t>
            </w:r>
          </w:p>
        </w:tc>
        <w:tc>
          <w:tcPr>
            <w:tcW w:type="dxa" w:w="7350"/>
            <w:shd w:fill="F5F5F5" w:val="clear"/>
            <w:vAlign w:val="center"/>
          </w:tcPr>
          <w:p>
            <w:pPr>
              <w:spacing w:before="30" w:after="30"/>
            </w:pPr>
            <w:r>
              <w:rPr>
                <w:rFonts w:ascii="DM Sans" w:hAnsi="DM Sans" w:cs="DM Sans"/>
                <w:b w:val="0"/>
                <w:i w:val="0"/>
                <w:color w:val="050C2A"/>
                <w:sz w:val="20"/>
                <w:u w:val="none"/>
              </w:rPr>
              <w:t>The examination engages meaningfully with the experience. At least one assumption, pattern, or connection is identified that moves beyond surface observation. The analysis is grounded in the specific experience described rather than in general principles.</w:t>
            </w:r>
          </w:p>
        </w:tc>
      </w:tr>
      <w:tr>
        <w:tc>
          <w:tcPr>
            <w:tcW w:type="dxa" w:w="2010"/>
            <w:vAlign w:val="center"/>
          </w:tcPr>
          <w:p>
            <w:pPr>
              <w:spacing w:before="30" w:after="30"/>
            </w:pPr>
            <w:r>
              <w:rPr>
                <w:rFonts w:ascii="DM Sans" w:hAnsi="DM Sans" w:cs="DM Sans"/>
                <w:b/>
                <w:i w:val="0"/>
                <w:color w:val="050C2A"/>
                <w:sz w:val="20"/>
                <w:u w:val="none"/>
              </w:rPr>
              <w:t>Developing (2)</w:t>
            </w:r>
          </w:p>
        </w:tc>
        <w:tc>
          <w:tcPr>
            <w:tcW w:type="dxa" w:w="7350"/>
            <w:vAlign w:val="center"/>
          </w:tcPr>
          <w:p>
            <w:pPr>
              <w:spacing w:before="30" w:after="30"/>
            </w:pPr>
            <w:r>
              <w:rPr>
                <w:rFonts w:ascii="DM Sans" w:hAnsi="DM Sans" w:cs="DM Sans"/>
                <w:b w:val="0"/>
                <w:i w:val="0"/>
                <w:color w:val="050C2A"/>
                <w:sz w:val="20"/>
                <w:u w:val="none"/>
              </w:rPr>
              <w:t>The examination stays at the surface. The description is restated with evaluative language added ("this was challenging," "I learned a lot"), but the experience is not interrogated. Assumptions are not identified, patterns are not surfaced, and connections to broader understanding are generic.</w:t>
            </w:r>
          </w:p>
        </w:tc>
      </w:tr>
      <w:tr>
        <w:tc>
          <w:tcPr>
            <w:tcW w:type="dxa" w:w="2010"/>
            <w:shd w:fill="F5F5F5" w:val="clear"/>
            <w:vAlign w:val="center"/>
          </w:tcPr>
          <w:p>
            <w:pPr>
              <w:spacing w:before="30" w:after="30"/>
            </w:pPr>
            <w:r>
              <w:rPr>
                <w:rFonts w:ascii="DM Sans" w:hAnsi="DM Sans" w:cs="DM Sans"/>
                <w:b/>
                <w:i w:val="0"/>
                <w:color w:val="050C2A"/>
                <w:sz w:val="20"/>
                <w:u w:val="none"/>
              </w:rPr>
              <w:t>Emerging (1)</w:t>
            </w:r>
          </w:p>
        </w:tc>
        <w:tc>
          <w:tcPr>
            <w:tcW w:type="dxa" w:w="7350"/>
            <w:shd w:fill="F5F5F5" w:val="clear"/>
            <w:vAlign w:val="center"/>
          </w:tcPr>
          <w:p>
            <w:pPr>
              <w:spacing w:before="30" w:after="30"/>
            </w:pPr>
            <w:r>
              <w:rPr>
                <w:rFonts w:ascii="DM Sans" w:hAnsi="DM Sans" w:cs="DM Sans"/>
                <w:b w:val="0"/>
                <w:i w:val="0"/>
                <w:color w:val="050C2A"/>
                <w:sz w:val="20"/>
                <w:u w:val="none"/>
              </w:rPr>
              <w:t>The examination is minimal or absent. The reflection moves directly from description to learning claims without meaningful analysis. What is presented as examination reads as continued description or as unsupported assertion.</w:t>
            </w:r>
          </w:p>
        </w:tc>
      </w:tr>
      <w:tr>
        <w:tc>
          <w:tcPr>
            <w:tcW w:type="dxa" w:w="2010"/>
            <w:vAlign w:val="center"/>
          </w:tcPr>
          <w:p>
            <w:pPr>
              <w:spacing w:before="30" w:after="30"/>
            </w:pPr>
            <w:r>
              <w:rPr>
                <w:rFonts w:ascii="DM Sans" w:hAnsi="DM Sans" w:cs="DM Sans"/>
                <w:b/>
                <w:i w:val="0"/>
                <w:color w:val="050C2A"/>
                <w:sz w:val="20"/>
                <w:u w:val="none"/>
              </w:rPr>
              <w:t>Not Acceptable (0)</w:t>
            </w:r>
          </w:p>
        </w:tc>
        <w:tc>
          <w:tcPr>
            <w:tcW w:type="dxa" w:w="7350"/>
            <w:vAlign w:val="center"/>
          </w:tcPr>
          <w:p>
            <w:pPr>
              <w:spacing w:before="30" w:after="30"/>
            </w:pPr>
            <w:r>
              <w:rPr>
                <w:rFonts w:ascii="DM Sans" w:hAnsi="DM Sans" w:cs="DM Sans"/>
                <w:b w:val="0"/>
                <w:i w:val="0"/>
                <w:color w:val="050C2A"/>
                <w:sz w:val="20"/>
                <w:u w:val="none"/>
              </w:rPr>
              <w:t>No meaningful examination is present. The Examine stage is missing, or the content does not engage with the described experience analytically.</w:t>
            </w:r>
          </w:p>
        </w:tc>
      </w:tr>
    </w:tbl>
    <w:p>
      <w:pPr>
        <w:spacing w:before="0" w:after="120"/>
      </w:pPr>
    </w:p>
    <w:p>
      <w:pPr>
        <w:pStyle w:val="Heading2"/>
        <w:spacing w:before="280" w:after="100"/>
      </w:pPr>
      <w:r>
        <w:rPr>
          <w:rFonts w:ascii="DM Sans" w:hAnsi="DM Sans" w:cs="DM Sans"/>
          <w:b/>
          <w:i w:val="0"/>
          <w:color w:val="050C2A"/>
          <w:sz w:val="28"/>
          <w:u w:val="none"/>
        </w:rPr>
        <w:t>Dimension 3: Personal Accountability</w:t>
      </w:r>
    </w:p>
    <w:p>
      <w:pPr>
        <w:spacing w:before="0" w:after="120" w:line="276" w:lineRule="auto"/>
      </w:pPr>
      <w:r>
        <w:rPr>
          <w:rFonts w:ascii="DM Sans" w:hAnsi="DM Sans" w:cs="DM Sans"/>
          <w:b w:val="0"/>
          <w:i/>
          <w:color w:val="050C2A"/>
          <w:sz w:val="20"/>
          <w:u w:val="none"/>
        </w:rPr>
        <w:t>Career &amp; Self-Development → Self-Awareness</w:t>
      </w:r>
      <w:r>
        <w:rPr>
          <w:rFonts w:ascii="DM Sans" w:hAnsi="DM Sans" w:cs="DM Sans"/>
          <w:b w:val="0"/>
          <w:i w:val="0"/>
          <w:color w:val="050C2A"/>
          <w:sz w:val="20"/>
          <w:u w:val="none"/>
        </w:rPr>
        <w:t xml:space="preserve"> </w:t>
      </w:r>
      <w:r>
        <w:rPr>
          <w:rFonts w:ascii="DM Sans" w:hAnsi="DM Sans" w:cs="DM Sans"/>
          <w:b w:val="0"/>
          <w:i/>
          <w:color w:val="050C2A"/>
          <w:sz w:val="20"/>
          <w:u w:val="none"/>
        </w:rPr>
        <w:t>Evaluates across all stages — whether you examine your own role, assumptions, and limitations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716"/>
            <w:shd w:fill="FF7C0A" w:val="clear"/>
            <w:vAlign w:val="center"/>
          </w:tcPr>
          <w:p>
            <w:pPr>
              <w:jc w:val="left"/>
              <w:spacing w:before="40" w:after="40"/>
            </w:pPr>
            <w:r>
              <w:rPr>
                <w:rFonts w:ascii="DM Sans" w:hAnsi="DM Sans" w:cs="DM Sans"/>
                <w:b/>
                <w:i w:val="0"/>
                <w:color w:val="FFFFFF"/>
                <w:sz w:val="20"/>
                <w:u w:val="none"/>
              </w:rPr>
              <w:t>Level</w:t>
            </w:r>
          </w:p>
        </w:tc>
        <w:tc>
          <w:tcPr>
            <w:tcW w:type="dxa" w:w="7644"/>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716"/>
            <w:vAlign w:val="center"/>
          </w:tcPr>
          <w:p>
            <w:pPr>
              <w:spacing w:before="30" w:after="30"/>
            </w:pPr>
            <w:r>
              <w:rPr>
                <w:rFonts w:ascii="DM Sans" w:hAnsi="DM Sans" w:cs="DM Sans"/>
                <w:b/>
                <w:i w:val="0"/>
                <w:color w:val="050C2A"/>
                <w:sz w:val="20"/>
                <w:u w:val="none"/>
              </w:rPr>
              <w:t>Exemplary (4)</w:t>
            </w:r>
          </w:p>
        </w:tc>
        <w:tc>
          <w:tcPr>
            <w:tcW w:type="dxa" w:w="7644"/>
            <w:vAlign w:val="center"/>
          </w:tcPr>
          <w:p>
            <w:pPr>
              <w:spacing w:before="30" w:after="30"/>
            </w:pPr>
            <w:r>
              <w:rPr>
                <w:rFonts w:ascii="DM Sans" w:hAnsi="DM Sans" w:cs="DM Sans"/>
                <w:b w:val="0"/>
                <w:i w:val="0"/>
                <w:color w:val="050C2A"/>
                <w:sz w:val="20"/>
                <w:u w:val="none"/>
              </w:rPr>
              <w:t>You place yourself inside the experience as an actor — examining your own assumptions, decisions, reactions, and limitations rather than only describing what happened around you. The self-examination is specific rather than formulaic, referencing particular moments or choices. Difficulty, uncertainty, or shortcoming is named in concrete terms, and your own contribution is examined rather than attributed entirely to external factors.</w:t>
            </w:r>
          </w:p>
        </w:tc>
      </w:tr>
      <w:tr>
        <w:tc>
          <w:tcPr>
            <w:tcW w:type="dxa" w:w="1716"/>
            <w:shd w:fill="F5F5F5" w:val="clear"/>
            <w:vAlign w:val="center"/>
          </w:tcPr>
          <w:p>
            <w:pPr>
              <w:spacing w:before="30" w:after="30"/>
            </w:pPr>
            <w:r>
              <w:rPr>
                <w:rFonts w:ascii="DM Sans" w:hAnsi="DM Sans" w:cs="DM Sans"/>
                <w:b/>
                <w:i w:val="0"/>
                <w:color w:val="050C2A"/>
                <w:sz w:val="20"/>
                <w:u w:val="none"/>
              </w:rPr>
              <w:t>Proficient (3)</w:t>
            </w:r>
          </w:p>
        </w:tc>
        <w:tc>
          <w:tcPr>
            <w:tcW w:type="dxa" w:w="7644"/>
            <w:shd w:fill="F5F5F5" w:val="clear"/>
            <w:vAlign w:val="center"/>
          </w:tcPr>
          <w:p>
            <w:pPr>
              <w:spacing w:before="30" w:after="30"/>
            </w:pPr>
            <w:r>
              <w:rPr>
                <w:rFonts w:ascii="DM Sans" w:hAnsi="DM Sans" w:cs="DM Sans"/>
                <w:b w:val="0"/>
                <w:i w:val="0"/>
                <w:color w:val="050C2A"/>
                <w:sz w:val="20"/>
                <w:u w:val="none"/>
              </w:rPr>
              <w:t>You examine your own role in the experience, including areas of difficulty or uncertainty. The self-examination is grounded in specific aspects of the experience rather than purely general statements. The reflection turns inward at some point rather than remaining focused only on external events.</w:t>
            </w:r>
          </w:p>
        </w:tc>
      </w:tr>
      <w:tr>
        <w:tc>
          <w:tcPr>
            <w:tcW w:type="dxa" w:w="1716"/>
            <w:vAlign w:val="center"/>
          </w:tcPr>
          <w:p>
            <w:pPr>
              <w:spacing w:before="30" w:after="30"/>
            </w:pPr>
            <w:r>
              <w:rPr>
                <w:rFonts w:ascii="DM Sans" w:hAnsi="DM Sans" w:cs="DM Sans"/>
                <w:b/>
                <w:i w:val="0"/>
                <w:color w:val="050C2A"/>
                <w:sz w:val="20"/>
                <w:u w:val="none"/>
              </w:rPr>
              <w:t>Developing (2)</w:t>
            </w:r>
          </w:p>
        </w:tc>
        <w:tc>
          <w:tcPr>
            <w:tcW w:type="dxa" w:w="7644"/>
            <w:vAlign w:val="center"/>
          </w:tcPr>
          <w:p>
            <w:pPr>
              <w:spacing w:before="30" w:after="30"/>
            </w:pPr>
            <w:r>
              <w:rPr>
                <w:rFonts w:ascii="DM Sans" w:hAnsi="DM Sans" w:cs="DM Sans"/>
                <w:b w:val="0"/>
                <w:i w:val="0"/>
                <w:color w:val="050C2A"/>
                <w:sz w:val="20"/>
                <w:u w:val="none"/>
              </w:rPr>
              <w:t>Your role is acknowledged in broad terms ("I struggled with time management") but specific decisions, assumptions, or reactions are not examined with any depth. Self-examination reads as obligatory — a limitation is named, but what drove it or what it reveals is not engaged with.</w:t>
            </w:r>
          </w:p>
        </w:tc>
      </w:tr>
      <w:tr>
        <w:tc>
          <w:tcPr>
            <w:tcW w:type="dxa" w:w="1716"/>
            <w:shd w:fill="F5F5F5" w:val="clear"/>
            <w:vAlign w:val="center"/>
          </w:tcPr>
          <w:p>
            <w:pPr>
              <w:spacing w:before="30" w:after="30"/>
            </w:pPr>
            <w:r>
              <w:rPr>
                <w:rFonts w:ascii="DM Sans" w:hAnsi="DM Sans" w:cs="DM Sans"/>
                <w:b/>
                <w:i w:val="0"/>
                <w:color w:val="050C2A"/>
                <w:sz w:val="20"/>
                <w:u w:val="none"/>
              </w:rPr>
              <w:t>Emerging (1)</w:t>
            </w:r>
          </w:p>
        </w:tc>
        <w:tc>
          <w:tcPr>
            <w:tcW w:type="dxa" w:w="7644"/>
            <w:shd w:fill="F5F5F5" w:val="clear"/>
            <w:vAlign w:val="center"/>
          </w:tcPr>
          <w:p>
            <w:pPr>
              <w:spacing w:before="30" w:after="30"/>
            </w:pPr>
            <w:r>
              <w:rPr>
                <w:rFonts w:ascii="DM Sans" w:hAnsi="DM Sans" w:cs="DM Sans"/>
                <w:b w:val="0"/>
                <w:i w:val="0"/>
                <w:color w:val="050C2A"/>
                <w:sz w:val="20"/>
                <w:u w:val="none"/>
              </w:rPr>
              <w:t>You remain largely external to the experience. The account focuses on what happened around you — team dynamics, employer behavior, project circumstances — without examining your own thinking, choices, or role in shaping the outcome.</w:t>
            </w:r>
          </w:p>
        </w:tc>
      </w:tr>
      <w:tr>
        <w:tc>
          <w:tcPr>
            <w:tcW w:type="dxa" w:w="1716"/>
            <w:vAlign w:val="center"/>
          </w:tcPr>
          <w:p>
            <w:pPr>
              <w:spacing w:before="30" w:after="30"/>
            </w:pPr>
            <w:r>
              <w:rPr>
                <w:rFonts w:ascii="DM Sans" w:hAnsi="DM Sans" w:cs="DM Sans"/>
                <w:b/>
                <w:i w:val="0"/>
                <w:color w:val="050C2A"/>
                <w:sz w:val="20"/>
                <w:u w:val="none"/>
              </w:rPr>
              <w:t>Not Acceptable (0)</w:t>
            </w:r>
          </w:p>
        </w:tc>
        <w:tc>
          <w:tcPr>
            <w:tcW w:type="dxa" w:w="7644"/>
            <w:vAlign w:val="center"/>
          </w:tcPr>
          <w:p>
            <w:pPr>
              <w:spacing w:before="30" w:after="30"/>
            </w:pPr>
            <w:r>
              <w:rPr>
                <w:rFonts w:ascii="DM Sans" w:hAnsi="DM Sans" w:cs="DM Sans"/>
                <w:b w:val="0"/>
                <w:i w:val="0"/>
                <w:color w:val="050C2A"/>
                <w:sz w:val="20"/>
                <w:u w:val="none"/>
              </w:rPr>
              <w:t>No self-examination is present. The reflection reads as a third-person account of events with no evidence that you considered your own assumptions, decisions, or role.</w:t>
            </w:r>
          </w:p>
        </w:tc>
      </w:tr>
    </w:tbl>
    <w:p>
      <w:pPr>
        <w:spacing w:before="0" w:after="120"/>
      </w:pPr>
    </w:p>
    <w:p>
      <w:pPr>
        <w:pStyle w:val="Heading2"/>
        <w:spacing w:before="280" w:after="100"/>
      </w:pPr>
      <w:r>
        <w:rPr>
          <w:rFonts w:ascii="DM Sans" w:hAnsi="DM Sans" w:cs="DM Sans"/>
          <w:b/>
          <w:i w:val="0"/>
          <w:color w:val="050C2A"/>
          <w:sz w:val="28"/>
          <w:u w:val="none"/>
        </w:rPr>
        <w:t>Dimension 4: Articulation of Learning</w:t>
      </w:r>
    </w:p>
    <w:p>
      <w:pPr>
        <w:spacing w:before="0" w:after="120" w:line="276" w:lineRule="auto"/>
      </w:pPr>
      <w:r>
        <w:rPr>
          <w:rFonts w:ascii="DM Sans" w:hAnsi="DM Sans" w:cs="DM Sans"/>
          <w:b w:val="0"/>
          <w:i/>
          <w:color w:val="050C2A"/>
          <w:sz w:val="20"/>
          <w:u w:val="none"/>
        </w:rPr>
        <w:t>Career &amp; Self-Development → Career Articulation / Growth Orientation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Articulate Learning stage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825"/>
            <w:shd w:fill="FF7C0A" w:val="clear"/>
            <w:vAlign w:val="center"/>
          </w:tcPr>
          <w:p>
            <w:pPr>
              <w:jc w:val="left"/>
              <w:spacing w:before="40" w:after="40"/>
            </w:pPr>
            <w:r>
              <w:rPr>
                <w:rFonts w:ascii="DM Sans" w:hAnsi="DM Sans" w:cs="DM Sans"/>
                <w:b/>
                <w:i w:val="0"/>
                <w:color w:val="FFFFFF"/>
                <w:sz w:val="20"/>
                <w:u w:val="none"/>
              </w:rPr>
              <w:t>Level</w:t>
            </w:r>
          </w:p>
        </w:tc>
        <w:tc>
          <w:tcPr>
            <w:tcW w:type="dxa" w:w="7535"/>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825"/>
            <w:vAlign w:val="center"/>
          </w:tcPr>
          <w:p>
            <w:pPr>
              <w:spacing w:before="30" w:after="30"/>
            </w:pPr>
            <w:r>
              <w:rPr>
                <w:rFonts w:ascii="DM Sans" w:hAnsi="DM Sans" w:cs="DM Sans"/>
                <w:b/>
                <w:i w:val="0"/>
                <w:color w:val="050C2A"/>
                <w:sz w:val="20"/>
                <w:u w:val="none"/>
              </w:rPr>
              <w:t>Exemplary (4)</w:t>
            </w:r>
          </w:p>
        </w:tc>
        <w:tc>
          <w:tcPr>
            <w:tcW w:type="dxa" w:w="7535"/>
            <w:vAlign w:val="center"/>
          </w:tcPr>
          <w:p>
            <w:pPr>
              <w:spacing w:before="30" w:after="30"/>
            </w:pPr>
            <w:r>
              <w:rPr>
                <w:rFonts w:ascii="DM Sans" w:hAnsi="DM Sans" w:cs="DM Sans"/>
                <w:b w:val="0"/>
                <w:i w:val="0"/>
                <w:color w:val="050C2A"/>
                <w:sz w:val="20"/>
                <w:u w:val="none"/>
              </w:rPr>
              <w:t>The articulated learning is specific, transferable, and credibly derived from the examination. It identifies a principle, understanding, or capability that extends beyond this experience and this project. You can name where and how this learning might apply in a future context. The learning is honest — it reflects what you actually learned, not what sounds most impressive.</w:t>
            </w:r>
          </w:p>
        </w:tc>
      </w:tr>
      <w:tr>
        <w:tc>
          <w:tcPr>
            <w:tcW w:type="dxa" w:w="1825"/>
            <w:shd w:fill="F5F5F5" w:val="clear"/>
            <w:vAlign w:val="center"/>
          </w:tcPr>
          <w:p>
            <w:pPr>
              <w:spacing w:before="30" w:after="30"/>
            </w:pPr>
            <w:r>
              <w:rPr>
                <w:rFonts w:ascii="DM Sans" w:hAnsi="DM Sans" w:cs="DM Sans"/>
                <w:b/>
                <w:i w:val="0"/>
                <w:color w:val="050C2A"/>
                <w:sz w:val="20"/>
                <w:u w:val="none"/>
              </w:rPr>
              <w:t>Proficient (3)</w:t>
            </w:r>
          </w:p>
        </w:tc>
        <w:tc>
          <w:tcPr>
            <w:tcW w:type="dxa" w:w="7535"/>
            <w:shd w:fill="F5F5F5" w:val="clear"/>
            <w:vAlign w:val="center"/>
          </w:tcPr>
          <w:p>
            <w:pPr>
              <w:spacing w:before="30" w:after="30"/>
            </w:pPr>
            <w:r>
              <w:rPr>
                <w:rFonts w:ascii="DM Sans" w:hAnsi="DM Sans" w:cs="DM Sans"/>
                <w:b w:val="0"/>
                <w:i w:val="0"/>
                <w:color w:val="050C2A"/>
                <w:sz w:val="20"/>
                <w:u w:val="none"/>
              </w:rPr>
              <w:t>The articulated learning follows logically from the examination and identifies something you will carry forward. It is specific enough to be meaningful, even if the future application is not fully developed.</w:t>
            </w:r>
          </w:p>
        </w:tc>
      </w:tr>
      <w:tr>
        <w:tc>
          <w:tcPr>
            <w:tcW w:type="dxa" w:w="1825"/>
            <w:vAlign w:val="center"/>
          </w:tcPr>
          <w:p>
            <w:pPr>
              <w:spacing w:before="30" w:after="30"/>
            </w:pPr>
            <w:r>
              <w:rPr>
                <w:rFonts w:ascii="DM Sans" w:hAnsi="DM Sans" w:cs="DM Sans"/>
                <w:b/>
                <w:i w:val="0"/>
                <w:color w:val="050C2A"/>
                <w:sz w:val="20"/>
                <w:u w:val="none"/>
              </w:rPr>
              <w:t>Developing (2)</w:t>
            </w:r>
          </w:p>
        </w:tc>
        <w:tc>
          <w:tcPr>
            <w:tcW w:type="dxa" w:w="7535"/>
            <w:vAlign w:val="center"/>
          </w:tcPr>
          <w:p>
            <w:pPr>
              <w:spacing w:before="30" w:after="30"/>
            </w:pPr>
            <w:r>
              <w:rPr>
                <w:rFonts w:ascii="DM Sans" w:hAnsi="DM Sans" w:cs="DM Sans"/>
                <w:b w:val="0"/>
                <w:i w:val="0"/>
                <w:color w:val="050C2A"/>
                <w:sz w:val="20"/>
                <w:u w:val="none"/>
              </w:rPr>
              <w:t>The articulated learning is present but generic. It could apply to almost any student in any experiential learning course ("teamwork is important," "communication matters more than I thought"). The connection to the specific examination is loose — the learning statement doesn't clearly emerge from the analysis.</w:t>
            </w:r>
          </w:p>
        </w:tc>
      </w:tr>
      <w:tr>
        <w:tc>
          <w:tcPr>
            <w:tcW w:type="dxa" w:w="1825"/>
            <w:shd w:fill="F5F5F5" w:val="clear"/>
            <w:vAlign w:val="center"/>
          </w:tcPr>
          <w:p>
            <w:pPr>
              <w:spacing w:before="30" w:after="30"/>
            </w:pPr>
            <w:r>
              <w:rPr>
                <w:rFonts w:ascii="DM Sans" w:hAnsi="DM Sans" w:cs="DM Sans"/>
                <w:b/>
                <w:i w:val="0"/>
                <w:color w:val="050C2A"/>
                <w:sz w:val="20"/>
                <w:u w:val="none"/>
              </w:rPr>
              <w:t>Emerging (1)</w:t>
            </w:r>
          </w:p>
        </w:tc>
        <w:tc>
          <w:tcPr>
            <w:tcW w:type="dxa" w:w="7535"/>
            <w:shd w:fill="F5F5F5" w:val="clear"/>
            <w:vAlign w:val="center"/>
          </w:tcPr>
          <w:p>
            <w:pPr>
              <w:spacing w:before="30" w:after="30"/>
            </w:pPr>
            <w:r>
              <w:rPr>
                <w:rFonts w:ascii="DM Sans" w:hAnsi="DM Sans" w:cs="DM Sans"/>
                <w:b w:val="0"/>
                <w:i w:val="0"/>
                <w:color w:val="050C2A"/>
                <w:sz w:val="20"/>
                <w:u w:val="none"/>
              </w:rPr>
              <w:t>The articulated learning is vague, disconnected from the examination, or absent. What is presented reads as a general statement about the value of the experience rather than a specific insight extracted from it.</w:t>
            </w:r>
          </w:p>
        </w:tc>
      </w:tr>
      <w:tr>
        <w:tc>
          <w:tcPr>
            <w:tcW w:type="dxa" w:w="1825"/>
            <w:vAlign w:val="center"/>
          </w:tcPr>
          <w:p>
            <w:pPr>
              <w:spacing w:before="30" w:after="30"/>
            </w:pPr>
            <w:r>
              <w:rPr>
                <w:rFonts w:ascii="DM Sans" w:hAnsi="DM Sans" w:cs="DM Sans"/>
                <w:b/>
                <w:i w:val="0"/>
                <w:color w:val="050C2A"/>
                <w:sz w:val="20"/>
                <w:u w:val="none"/>
              </w:rPr>
              <w:t>Not Acceptable (0)</w:t>
            </w:r>
          </w:p>
        </w:tc>
        <w:tc>
          <w:tcPr>
            <w:tcW w:type="dxa" w:w="7535"/>
            <w:vAlign w:val="center"/>
          </w:tcPr>
          <w:p>
            <w:pPr>
              <w:spacing w:before="30" w:after="30"/>
            </w:pPr>
            <w:r>
              <w:rPr>
                <w:rFonts w:ascii="DM Sans" w:hAnsi="DM Sans" w:cs="DM Sans"/>
                <w:b w:val="0"/>
                <w:i w:val="0"/>
                <w:color w:val="050C2A"/>
                <w:sz w:val="20"/>
                <w:u w:val="none"/>
              </w:rPr>
              <w:t>No meaningful learning is articulated. The Articulate Learning stage is missing, or the content is entirely generic — it bears no visible relationship to the experience described or the examination conducted.</w:t>
            </w:r>
          </w:p>
        </w:tc>
      </w:tr>
    </w:tbl>
    <w:p>
      <w:pPr>
        <w:spacing w:before="0" w:after="120"/>
      </w:pP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