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Default="006747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315F60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6747A3">
        <w:rPr>
          <w:rStyle w:val="ac"/>
          <w:smallCaps w:val="0"/>
          <w:sz w:val="28"/>
          <w:szCs w:val="28"/>
        </w:rPr>
        <w:t>Обработка стандартных прерываний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0340E1" w:rsidRDefault="000340E1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315F60" w:rsidRDefault="00E271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архитектуре компьютера существуют стандартные прерывания</w:t>
      </w:r>
      <w:r w:rsidR="0089072B">
        <w:rPr>
          <w:sz w:val="28"/>
          <w:szCs w:val="28"/>
        </w:rPr>
        <w:t>, за которыми закреплены определенные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передает управление по соответствующему адресу вектора прерывания. Обработчик прерываний получает управление и выполняет соответствующие действия.</w:t>
      </w:r>
    </w:p>
    <w:p w:rsidR="0089072B" w:rsidRDefault="008907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№4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 Таким образом, управление будет передано функции, чья точка входа записана в соответствующий вектор прерывания.</w:t>
      </w:r>
    </w:p>
    <w:p w:rsidR="0089072B" w:rsidRDefault="0089072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INTERRUPT_HANDLER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4052F3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Обработчик прерываний. При каждом вызове инкрементирует переменную, содержащую количество вызовов прерывания, и выводит ее на экран.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RESTORE_INTERRUPT_HANDLER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Восстанавливает старый обработчик прерываний </w:t>
            </w:r>
            <w:r w:rsidRPr="0089072B"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Ch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25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и очищает выделенную под новый </w:t>
            </w:r>
            <w:r w:rsidR="00E85495">
              <w:rPr>
                <w:color w:val="auto"/>
                <w:sz w:val="28"/>
                <w:szCs w:val="28"/>
              </w:rPr>
              <w:t xml:space="preserve">резидентный </w:t>
            </w:r>
            <w:r>
              <w:rPr>
                <w:color w:val="auto"/>
                <w:sz w:val="28"/>
                <w:szCs w:val="28"/>
              </w:rPr>
              <w:t>обработчик прерываний память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49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lastRenderedPageBreak/>
              <w:t>SET_INTERRUPT_HANDLER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Устанавливает новый обработчик прерываний </w:t>
            </w:r>
            <w:r w:rsidRPr="0089072B"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Ch</w:t>
            </w:r>
            <w:r>
              <w:rPr>
                <w:color w:val="auto"/>
                <w:sz w:val="28"/>
                <w:szCs w:val="28"/>
              </w:rPr>
              <w:t xml:space="preserve">, </w:t>
            </w:r>
            <w:r w:rsidR="004052F3">
              <w:rPr>
                <w:color w:val="auto"/>
                <w:sz w:val="28"/>
                <w:szCs w:val="28"/>
              </w:rPr>
              <w:t>оставляя</w:t>
            </w:r>
            <w:r>
              <w:rPr>
                <w:color w:val="auto"/>
                <w:sz w:val="28"/>
                <w:szCs w:val="28"/>
              </w:rPr>
              <w:t xml:space="preserve"> его резидентным в памяти</w:t>
            </w:r>
            <w:r w:rsidR="004052F3">
              <w:rPr>
                <w:color w:val="auto"/>
                <w:sz w:val="28"/>
                <w:szCs w:val="28"/>
              </w:rPr>
              <w:t xml:space="preserve">, при помощи функции 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31h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 xml:space="preserve">и выходит в </w:t>
            </w:r>
            <w:r>
              <w:rPr>
                <w:color w:val="auto"/>
                <w:sz w:val="28"/>
                <w:szCs w:val="28"/>
                <w:lang w:val="en-US"/>
              </w:rPr>
              <w:t>DOS</w:t>
            </w:r>
            <w:r w:rsidRPr="0089072B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CHECK_INTERRUPT_HANDLER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Проверяет, установлен ли новый обработчик прерываний </w:t>
            </w:r>
            <w:r w:rsidRPr="0089072B"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Ch</w:t>
            </w:r>
            <w:r w:rsidRPr="0089072B">
              <w:rPr>
                <w:color w:val="auto"/>
                <w:sz w:val="28"/>
                <w:szCs w:val="28"/>
              </w:rPr>
              <w:t xml:space="preserve">. </w:t>
            </w:r>
            <w:r>
              <w:rPr>
                <w:color w:val="auto"/>
                <w:sz w:val="28"/>
                <w:szCs w:val="28"/>
              </w:rPr>
              <w:t xml:space="preserve">Проверка выполняется при помощи сигнатуры прерывания, записанной на определенном смещении от начала обработчика. Если обработчик установлен, то в </w:t>
            </w:r>
            <w:r>
              <w:rPr>
                <w:color w:val="auto"/>
                <w:sz w:val="28"/>
                <w:szCs w:val="28"/>
                <w:lang w:val="en-US"/>
              </w:rPr>
              <w:t>AX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будет записано значение 1, иначе – 0.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 w:rsidR="004052F3"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4052F3">
        <w:rPr>
          <w:color w:val="auto"/>
          <w:sz w:val="28"/>
          <w:szCs w:val="28"/>
        </w:rPr>
        <w:t>4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и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4052F3"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4052F3">
        <w:rPr>
          <w:color w:val="auto"/>
          <w:sz w:val="28"/>
          <w:szCs w:val="28"/>
        </w:rPr>
        <w:t>4</w:t>
      </w:r>
      <w:r w:rsidR="0071386D" w:rsidRPr="0071386D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com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554EFA">
        <w:rPr>
          <w:color w:val="auto"/>
          <w:sz w:val="28"/>
          <w:szCs w:val="28"/>
        </w:rPr>
        <w:t>, после чего была осуществлена отладка. Программа выполняет следующие функции: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Проверяет, установлено ли пользователь</w:t>
      </w:r>
      <w:r>
        <w:rPr>
          <w:sz w:val="28"/>
          <w:szCs w:val="28"/>
        </w:rPr>
        <w:t>ское прерывание с вектором 1Ch.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</w:t>
      </w:r>
      <w:r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</w:t>
      </w:r>
      <w:r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Выгрузка прерывания о соответствующему значению параметра в командной строке /</w:t>
      </w:r>
      <w:proofErr w:type="spellStart"/>
      <w:r w:rsidRPr="00554EFA">
        <w:rPr>
          <w:sz w:val="28"/>
          <w:szCs w:val="28"/>
        </w:rPr>
        <w:t>un</w:t>
      </w:r>
      <w:proofErr w:type="spellEnd"/>
      <w:r w:rsidRPr="00554EFA">
        <w:rPr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</w:t>
      </w:r>
      <w:r w:rsidRPr="00554EFA">
        <w:rPr>
          <w:sz w:val="28"/>
          <w:szCs w:val="28"/>
        </w:rPr>
        <w:lastRenderedPageBreak/>
        <w:t>резидентом. Затем осуществляется выход по функции 4Ch прерывания int 21h.</w:t>
      </w:r>
    </w:p>
    <w:p w:rsidR="00316EEE" w:rsidRDefault="00316EEE" w:rsidP="006752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A7288" w:rsidRDefault="0016098C" w:rsidP="00554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54EFA">
        <w:rPr>
          <w:sz w:val="28"/>
          <w:szCs w:val="28"/>
        </w:rPr>
        <w:t xml:space="preserve">программа была протестирована. </w:t>
      </w:r>
      <w:r w:rsidR="00877486">
        <w:rPr>
          <w:sz w:val="28"/>
          <w:szCs w:val="28"/>
        </w:rPr>
        <w:t>Для начала</w:t>
      </w:r>
      <w:r w:rsidR="00554EFA">
        <w:rPr>
          <w:sz w:val="28"/>
          <w:szCs w:val="28"/>
        </w:rPr>
        <w:t xml:space="preserve"> проверялась установка нового резидентного обработчика прерывания 1C</w:t>
      </w:r>
      <w:r w:rsidR="00554EFA">
        <w:rPr>
          <w:sz w:val="28"/>
          <w:szCs w:val="28"/>
          <w:lang w:val="en-US"/>
        </w:rPr>
        <w:t>h</w:t>
      </w:r>
      <w:r w:rsidR="00554EFA">
        <w:rPr>
          <w:sz w:val="28"/>
          <w:szCs w:val="28"/>
        </w:rPr>
        <w:t xml:space="preserve">. Для проверки того, что обработчик прерываний остался резидентным в памяти, использовалась программа </w:t>
      </w:r>
      <w:r w:rsidR="00554EFA">
        <w:rPr>
          <w:sz w:val="28"/>
          <w:szCs w:val="28"/>
          <w:lang w:val="en-US"/>
        </w:rPr>
        <w:t>LAB</w:t>
      </w:r>
      <w:r w:rsidR="00554EFA" w:rsidRPr="00554EFA">
        <w:rPr>
          <w:sz w:val="28"/>
          <w:szCs w:val="28"/>
        </w:rPr>
        <w:t>3_1.</w:t>
      </w:r>
      <w:r w:rsidR="00554EFA">
        <w:rPr>
          <w:sz w:val="28"/>
          <w:szCs w:val="28"/>
          <w:lang w:val="en-US"/>
        </w:rPr>
        <w:t>COM</w:t>
      </w:r>
      <w:r w:rsidR="00554EFA" w:rsidRPr="00554EFA">
        <w:rPr>
          <w:sz w:val="28"/>
          <w:szCs w:val="28"/>
        </w:rPr>
        <w:t>,</w:t>
      </w:r>
      <w:r w:rsidR="00554EFA">
        <w:rPr>
          <w:sz w:val="28"/>
          <w:szCs w:val="28"/>
        </w:rPr>
        <w:t xml:space="preserve"> которая осуществляет вывод списка блоков </w:t>
      </w:r>
      <w:r w:rsidR="00554EFA">
        <w:rPr>
          <w:sz w:val="28"/>
          <w:szCs w:val="28"/>
          <w:lang w:val="en-US"/>
        </w:rPr>
        <w:t>MCB</w:t>
      </w:r>
      <w:r w:rsidR="00554EFA">
        <w:rPr>
          <w:sz w:val="28"/>
          <w:szCs w:val="28"/>
        </w:rPr>
        <w:t xml:space="preserve">. </w:t>
      </w:r>
      <w:r w:rsidR="00877486">
        <w:rPr>
          <w:sz w:val="28"/>
          <w:szCs w:val="28"/>
        </w:rPr>
        <w:t xml:space="preserve"> </w:t>
      </w:r>
      <w:r w:rsidR="00554EFA">
        <w:rPr>
          <w:sz w:val="28"/>
          <w:szCs w:val="28"/>
        </w:rPr>
        <w:t>Были получены следующие результаты: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RPr="0087395D" w:rsidTr="00554EFA">
        <w:tc>
          <w:tcPr>
            <w:tcW w:w="9628" w:type="dxa"/>
          </w:tcPr>
          <w:p w:rsid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до установки обработчика.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554EFA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554EFA" w:rsidRPr="0087395D" w:rsidRDefault="00554EFA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Tr="00BA3F9B">
        <w:tc>
          <w:tcPr>
            <w:tcW w:w="9628" w:type="dxa"/>
          </w:tcPr>
          <w:p w:rsid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установки обработчика.</w:t>
            </w:r>
          </w:p>
          <w:p w:rsidR="00554EFA" w:rsidRP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632 kilobytes  832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736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LAB4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01C0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01CB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[ГP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01CA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01CB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632 kilobytes  832 bytes</w:t>
            </w:r>
          </w:p>
          <w:p w:rsidR="00554EFA" w:rsidRPr="00554EFA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  <w:r w:rsidR="00554EFA"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</w:p>
        </w:tc>
      </w:tr>
    </w:tbl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Результаты работы обработчика прерывания </w:t>
      </w:r>
      <w:r w:rsidRPr="00877486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  <w:lang w:val="en-US"/>
        </w:rPr>
        <w:t>Ch</w:t>
      </w:r>
      <w:r w:rsidRPr="00877486">
        <w:rPr>
          <w:color w:val="auto"/>
          <w:sz w:val="28"/>
          <w:szCs w:val="28"/>
        </w:rPr>
        <w:t>:</w:t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C58264F" wp14:editId="7B623C8E">
            <wp:extent cx="5238750" cy="3285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214" cy="33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проверялось определение программой установленного обработчика прерывания 1C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Были получены следующие результаты:</w:t>
      </w: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3D771A" wp14:editId="7ECFF572">
            <wp:extent cx="5210175" cy="32543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663" cy="3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P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P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проверялись выгрузка установленного обработчика прерывания 1C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очистка памяти, занимаемой резидентным обработчиком прерываний. Для проверки того, что обработчик прерываний был выгружен, использовалась программа </w:t>
      </w:r>
      <w:r>
        <w:rPr>
          <w:sz w:val="28"/>
          <w:szCs w:val="28"/>
          <w:lang w:val="en-US"/>
        </w:rPr>
        <w:t>LAB</w:t>
      </w:r>
      <w:r w:rsidRPr="00554EFA">
        <w:rPr>
          <w:sz w:val="28"/>
          <w:szCs w:val="28"/>
        </w:rPr>
        <w:t>3_1.</w:t>
      </w:r>
      <w:r>
        <w:rPr>
          <w:sz w:val="28"/>
          <w:szCs w:val="28"/>
          <w:lang w:val="en-US"/>
        </w:rPr>
        <w:t>COM</w:t>
      </w:r>
      <w:r w:rsidRPr="00554EF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осуществляет вывод списка блоков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>. Были получены следующие результаты: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7486" w:rsidTr="00BA3F9B">
        <w:tc>
          <w:tcPr>
            <w:tcW w:w="9628" w:type="dxa"/>
          </w:tcPr>
          <w:p w:rsidR="00877486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выгрузки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обработчика.</w:t>
            </w:r>
          </w:p>
          <w:p w:rsidR="00877486" w:rsidRPr="00554EFA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395D" w:rsidRPr="0087395D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877486" w:rsidRPr="00554EFA" w:rsidRDefault="0087395D" w:rsidP="0087395D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87395D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</w:p>
    <w:p w:rsidR="00287D61" w:rsidRP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C4FC56" wp14:editId="425B0A1A">
            <wp:extent cx="5143500" cy="3207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37" cy="3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5D" w:rsidRDefault="0087395D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EA552A" w:rsidRDefault="00EA552A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A552A">
        <w:rPr>
          <w:sz w:val="28"/>
          <w:szCs w:val="28"/>
        </w:rPr>
        <w:t>Как реализован механизм прерывания от часов?</w:t>
      </w:r>
    </w:p>
    <w:p w:rsidR="00A76C23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A552A">
        <w:rPr>
          <w:color w:val="000000"/>
          <w:sz w:val="28"/>
          <w:szCs w:val="28"/>
        </w:rPr>
        <w:t>ри возникновении сигнала аппаратного прерывания</w:t>
      </w:r>
      <w:r>
        <w:rPr>
          <w:color w:val="000000"/>
          <w:sz w:val="28"/>
          <w:szCs w:val="28"/>
        </w:rPr>
        <w:t xml:space="preserve"> от часов</w:t>
      </w:r>
      <w:r w:rsidRPr="00EA552A">
        <w:rPr>
          <w:color w:val="000000"/>
          <w:sz w:val="28"/>
          <w:szCs w:val="28"/>
        </w:rPr>
        <w:t>, происходит первичное аппаратное распознавание типа прерывания. Если прерывания данного типа в настоящий момент запрещены, то процессор продолжает естественный ход выполнения команд, иначе</w:t>
      </w:r>
      <w:r w:rsidR="0087395D">
        <w:rPr>
          <w:color w:val="000000"/>
          <w:sz w:val="28"/>
          <w:szCs w:val="28"/>
        </w:rPr>
        <w:t xml:space="preserve"> происходит </w:t>
      </w:r>
      <w:r w:rsidRPr="00EA552A">
        <w:rPr>
          <w:color w:val="000000"/>
          <w:sz w:val="28"/>
          <w:szCs w:val="28"/>
        </w:rPr>
        <w:t xml:space="preserve">вызов </w:t>
      </w:r>
      <w:r w:rsidR="0087395D">
        <w:rPr>
          <w:color w:val="000000"/>
          <w:sz w:val="28"/>
          <w:szCs w:val="28"/>
        </w:rPr>
        <w:t>обработчика</w:t>
      </w:r>
      <w:r w:rsidRPr="00EA552A">
        <w:rPr>
          <w:color w:val="000000"/>
          <w:sz w:val="28"/>
          <w:szCs w:val="28"/>
        </w:rPr>
        <w:t xml:space="preserve"> прерывания</w:t>
      </w:r>
      <w:r w:rsidR="0087395D">
        <w:rPr>
          <w:color w:val="000000"/>
          <w:sz w:val="28"/>
          <w:szCs w:val="28"/>
        </w:rPr>
        <w:t xml:space="preserve"> 1С</w:t>
      </w:r>
      <w:r w:rsidR="0087395D">
        <w:rPr>
          <w:color w:val="000000"/>
          <w:sz w:val="28"/>
          <w:szCs w:val="28"/>
          <w:lang w:val="en-US"/>
        </w:rPr>
        <w:t>h</w:t>
      </w:r>
      <w:r w:rsidRPr="00EA552A">
        <w:rPr>
          <w:color w:val="000000"/>
          <w:sz w:val="28"/>
          <w:szCs w:val="28"/>
        </w:rPr>
        <w:t xml:space="preserve">, адрес которой находится в </w:t>
      </w:r>
      <w:r>
        <w:rPr>
          <w:color w:val="000000"/>
          <w:sz w:val="28"/>
          <w:szCs w:val="28"/>
        </w:rPr>
        <w:t>таблице векторов прерываний</w:t>
      </w:r>
      <w:r w:rsidRPr="00EA552A">
        <w:rPr>
          <w:color w:val="000000"/>
          <w:sz w:val="28"/>
          <w:szCs w:val="28"/>
        </w:rPr>
        <w:t>;</w:t>
      </w:r>
    </w:p>
    <w:p w:rsidR="00EA552A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A552A">
        <w:rPr>
          <w:color w:val="000000"/>
          <w:sz w:val="28"/>
          <w:szCs w:val="28"/>
        </w:rPr>
        <w:t>втоматически сохраняется некоторая часть контекста прерванного процесса, который позволит ядру возобновить его исполнение после обработки прерывания;</w:t>
      </w:r>
    </w:p>
    <w:p w:rsidR="00EA552A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Pr="00EA552A">
        <w:rPr>
          <w:color w:val="000000"/>
          <w:sz w:val="28"/>
          <w:szCs w:val="28"/>
        </w:rPr>
        <w:t>ременно запрещаются прерывания данного типа, чтобы не было очереди потоков одной и той же процедуры;</w:t>
      </w:r>
    </w:p>
    <w:p w:rsidR="00EA552A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A552A">
        <w:rPr>
          <w:color w:val="000000"/>
          <w:sz w:val="28"/>
          <w:szCs w:val="28"/>
        </w:rPr>
        <w:t xml:space="preserve">осле обработки прерываний ядром ОС, контекст прерванного процесса восстанавливается, и его работа возобновляется с прерванного </w:t>
      </w:r>
      <w:bookmarkStart w:id="0" w:name="_GoBack"/>
      <w:bookmarkEnd w:id="0"/>
      <w:r w:rsidRPr="00EA552A">
        <w:rPr>
          <w:color w:val="000000"/>
          <w:sz w:val="28"/>
          <w:szCs w:val="28"/>
        </w:rPr>
        <w:t>места; также снимается блокировка прерываний данного типа.</w:t>
      </w:r>
    </w:p>
    <w:p w:rsidR="00E42D1F" w:rsidRPr="00E42D1F" w:rsidRDefault="00E42D1F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5E24C5" w:rsidRPr="00EA552A" w:rsidRDefault="00EA552A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A552A">
        <w:rPr>
          <w:sz w:val="28"/>
          <w:szCs w:val="28"/>
        </w:rPr>
        <w:t>Какого типа прерывания использовались в работе?</w:t>
      </w:r>
    </w:p>
    <w:p w:rsidR="00CB017A" w:rsidRDefault="004A0C4B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Использовались следующие типы прерываний:</w:t>
      </w:r>
    </w:p>
    <w:p w:rsidR="004A0C4B" w:rsidRDefault="004A0C4B" w:rsidP="004A0C4B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(прерывание от часов</w:t>
      </w:r>
      <w:r w:rsidRPr="004A0C4B">
        <w:rPr>
          <w:sz w:val="28"/>
          <w:szCs w:val="28"/>
        </w:rPr>
        <w:t xml:space="preserve"> – 1</w:t>
      </w:r>
      <w:r>
        <w:rPr>
          <w:sz w:val="28"/>
          <w:szCs w:val="28"/>
          <w:lang w:val="en-US"/>
        </w:rPr>
        <w:t>Ch</w:t>
      </w:r>
      <w:r w:rsidRPr="004A0C4B">
        <w:rPr>
          <w:sz w:val="28"/>
          <w:szCs w:val="28"/>
        </w:rPr>
        <w:t>);</w:t>
      </w:r>
    </w:p>
    <w:p w:rsidR="004A0C4B" w:rsidRPr="004A0C4B" w:rsidRDefault="004A0C4B" w:rsidP="004A0C4B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(прерывания, вызываемые при помощи команды </w:t>
      </w:r>
      <w:r>
        <w:rPr>
          <w:sz w:val="28"/>
          <w:szCs w:val="28"/>
          <w:lang w:val="en-US"/>
        </w:rPr>
        <w:t>int</w:t>
      </w:r>
      <w:r w:rsidRPr="004A0C4B">
        <w:rPr>
          <w:sz w:val="28"/>
          <w:szCs w:val="28"/>
        </w:rPr>
        <w:t xml:space="preserve"> – 21</w:t>
      </w:r>
      <w:r>
        <w:rPr>
          <w:sz w:val="28"/>
          <w:szCs w:val="28"/>
          <w:lang w:val="en-US"/>
        </w:rPr>
        <w:t>h</w:t>
      </w:r>
      <w:r w:rsidRPr="004A0C4B">
        <w:rPr>
          <w:sz w:val="28"/>
          <w:szCs w:val="28"/>
        </w:rPr>
        <w:t>)</w:t>
      </w:r>
    </w:p>
    <w:p w:rsidR="0071386D" w:rsidRPr="00CB017A" w:rsidRDefault="00A76C23" w:rsidP="00CB0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679E3" w:rsidRDefault="00EA552A" w:rsidP="00167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разработан резидентный обработчик прерываний сигналов таймера. </w:t>
      </w: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435" w:rsidRDefault="00EB0435">
      <w:r>
        <w:separator/>
      </w:r>
    </w:p>
  </w:endnote>
  <w:endnote w:type="continuationSeparator" w:id="0">
    <w:p w:rsidR="00EB0435" w:rsidRDefault="00EB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7395D">
      <w:rPr>
        <w:noProof/>
      </w:rPr>
      <w:t>8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435" w:rsidRDefault="00EB0435">
      <w:r>
        <w:separator/>
      </w:r>
    </w:p>
  </w:footnote>
  <w:footnote w:type="continuationSeparator" w:id="0">
    <w:p w:rsidR="00EB0435" w:rsidRDefault="00EB0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D57C3C"/>
    <w:multiLevelType w:val="hybridMultilevel"/>
    <w:tmpl w:val="DC869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33FDB"/>
    <w:multiLevelType w:val="hybridMultilevel"/>
    <w:tmpl w:val="F4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70CB4"/>
    <w:multiLevelType w:val="hybridMultilevel"/>
    <w:tmpl w:val="1F0C7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60EA"/>
    <w:rsid w:val="000B617B"/>
    <w:rsid w:val="000E2365"/>
    <w:rsid w:val="000E5582"/>
    <w:rsid w:val="000F4BFC"/>
    <w:rsid w:val="000F7239"/>
    <w:rsid w:val="001034CA"/>
    <w:rsid w:val="0016098C"/>
    <w:rsid w:val="001679E3"/>
    <w:rsid w:val="001A5E0F"/>
    <w:rsid w:val="001F3781"/>
    <w:rsid w:val="001F398A"/>
    <w:rsid w:val="001F592D"/>
    <w:rsid w:val="0020041C"/>
    <w:rsid w:val="00240312"/>
    <w:rsid w:val="00244C30"/>
    <w:rsid w:val="002766B9"/>
    <w:rsid w:val="00287D61"/>
    <w:rsid w:val="002A6E18"/>
    <w:rsid w:val="002B7F9C"/>
    <w:rsid w:val="002C35B0"/>
    <w:rsid w:val="002C569D"/>
    <w:rsid w:val="002E4D85"/>
    <w:rsid w:val="00302173"/>
    <w:rsid w:val="003139EB"/>
    <w:rsid w:val="00315F60"/>
    <w:rsid w:val="00316EEE"/>
    <w:rsid w:val="00332B19"/>
    <w:rsid w:val="003930A7"/>
    <w:rsid w:val="003B109F"/>
    <w:rsid w:val="003F27B5"/>
    <w:rsid w:val="004052F3"/>
    <w:rsid w:val="00411EA9"/>
    <w:rsid w:val="0043018E"/>
    <w:rsid w:val="00440B2E"/>
    <w:rsid w:val="00451D89"/>
    <w:rsid w:val="00484196"/>
    <w:rsid w:val="004A0C4B"/>
    <w:rsid w:val="004F6507"/>
    <w:rsid w:val="0052283A"/>
    <w:rsid w:val="005409AA"/>
    <w:rsid w:val="00552FF6"/>
    <w:rsid w:val="00554EFA"/>
    <w:rsid w:val="00561DF2"/>
    <w:rsid w:val="00577505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747A3"/>
    <w:rsid w:val="0067527B"/>
    <w:rsid w:val="00682029"/>
    <w:rsid w:val="00690A9D"/>
    <w:rsid w:val="006B57E9"/>
    <w:rsid w:val="006E0464"/>
    <w:rsid w:val="006F1A8B"/>
    <w:rsid w:val="00701819"/>
    <w:rsid w:val="00702DEA"/>
    <w:rsid w:val="00710F36"/>
    <w:rsid w:val="0071386D"/>
    <w:rsid w:val="00715D77"/>
    <w:rsid w:val="00766985"/>
    <w:rsid w:val="00767014"/>
    <w:rsid w:val="007D1C95"/>
    <w:rsid w:val="007E75FB"/>
    <w:rsid w:val="0080098F"/>
    <w:rsid w:val="00833ACC"/>
    <w:rsid w:val="008363E2"/>
    <w:rsid w:val="00836C2F"/>
    <w:rsid w:val="00837344"/>
    <w:rsid w:val="00840440"/>
    <w:rsid w:val="00853C22"/>
    <w:rsid w:val="0086245B"/>
    <w:rsid w:val="00864B14"/>
    <w:rsid w:val="0087395D"/>
    <w:rsid w:val="0087552C"/>
    <w:rsid w:val="00877486"/>
    <w:rsid w:val="0088439F"/>
    <w:rsid w:val="0089072B"/>
    <w:rsid w:val="008A3F0A"/>
    <w:rsid w:val="008E3944"/>
    <w:rsid w:val="00912850"/>
    <w:rsid w:val="0094505B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71340"/>
    <w:rsid w:val="00A76C23"/>
    <w:rsid w:val="00A86D7F"/>
    <w:rsid w:val="00AA4A6E"/>
    <w:rsid w:val="00AA7288"/>
    <w:rsid w:val="00AB7D76"/>
    <w:rsid w:val="00B10BB4"/>
    <w:rsid w:val="00B12275"/>
    <w:rsid w:val="00B2087E"/>
    <w:rsid w:val="00B35880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456B"/>
    <w:rsid w:val="00DA2D24"/>
    <w:rsid w:val="00E01B9E"/>
    <w:rsid w:val="00E2715F"/>
    <w:rsid w:val="00E36FBF"/>
    <w:rsid w:val="00E42D1F"/>
    <w:rsid w:val="00E57C14"/>
    <w:rsid w:val="00E85495"/>
    <w:rsid w:val="00E92E9D"/>
    <w:rsid w:val="00EA2479"/>
    <w:rsid w:val="00EA552A"/>
    <w:rsid w:val="00EA5916"/>
    <w:rsid w:val="00EB0435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BBED-EBC5-42BC-9521-B61F83AF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38</cp:revision>
  <cp:lastPrinted>2015-07-17T09:06:00Z</cp:lastPrinted>
  <dcterms:created xsi:type="dcterms:W3CDTF">2021-02-11T02:20:00Z</dcterms:created>
  <dcterms:modified xsi:type="dcterms:W3CDTF">2021-05-12T13:47:00Z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