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pPr>
      <w:r>
        <w:rPr>
          <w:rFonts w:ascii="Calibri" w:hAnsi="Calibri"/>
          <w:b/>
          <w:color w:val="2E6F40"/>
          <w:sz w:val="50"/>
        </w:rPr>
        <w:t>Fern-Ware</w:t>
      </w:r>
    </w:p>
    <w:p>
      <w:pPr>
        <w:spacing w:after="160"/>
      </w:pPr>
      <w:r>
        <w:rPr>
          <w:rFonts w:ascii="Calibri" w:hAnsi="Calibri"/>
          <w:b/>
          <w:color w:val="22522E"/>
          <w:sz w:val="26"/>
        </w:rPr>
        <w:t>Natural-Language Houseplant Recommendation Application</w:t>
      </w:r>
    </w:p>
    <w:p>
      <w:pPr>
        <w:spacing w:after="240"/>
      </w:pPr>
      <w:r>
        <w:rPr>
          <w:rFonts w:ascii="Calibri" w:hAnsi="Calibri"/>
          <w:color w:val="5F6368"/>
          <w:sz w:val="19"/>
        </w:rPr>
        <w:t>Joseph Kutza  |  Rithvik Kommareddy  |  Zachary Hamilton</w:t>
      </w:r>
    </w:p>
    <w:tbl>
      <w:tblPr>
        <w:tblW w:type="dxa" w:w="9360"/>
        <w:tblLayout w:type="fixed"/>
        <w:tblLook w:firstColumn="1" w:firstRow="1" w:lastColumn="0" w:lastRow="0" w:noHBand="0" w:noVBand="1" w:val="04A0"/>
        <w:tblInd w:w="120" w:type="dxa"/>
        <w:tblBorders>
          <w:top w:val="single" w:sz="4" w:space="0" w:color="EAF3EC"/>
          <w:left w:val="single" w:sz="4" w:space="0" w:color="EAF3EC"/>
          <w:bottom w:val="single" w:sz="4" w:space="0" w:color="EAF3EC"/>
          <w:right w:val="single" w:sz="4" w:space="0" w:color="EAF3EC"/>
          <w:insideH w:val="single" w:sz="4" w:space="0" w:color="EAF3EC"/>
          <w:insideV w:val="single" w:sz="4" w:space="0" w:color="EAF3EC"/>
        </w:tblBorders>
      </w:tblPr>
      <w:tblGrid>
        <w:gridCol w:w="9360"/>
      </w:tblGrid>
      <w:tr>
        <w:tc>
          <w:tcPr>
            <w:tcW w:type="dxa" w:w="9360"/>
            <w:tcMar>
              <w:top w:w="80" w:type="dxa"/>
              <w:start w:w="120" w:type="dxa"/>
              <w:bottom w:w="80" w:type="dxa"/>
              <w:end w:w="120" w:type="dxa"/>
            </w:tcMar>
            <w:vAlign w:val="center"/>
            <w:shd w:fill="EAF3EC"/>
          </w:tcPr>
          <w:p>
            <w:pPr>
              <w:spacing w:after="0"/>
            </w:pPr>
            <w:r>
              <w:rPr>
                <w:rFonts w:ascii="Calibri" w:hAnsi="Calibri"/>
                <w:b/>
                <w:color w:val="22522E"/>
                <w:sz w:val="21"/>
              </w:rPr>
              <w:t xml:space="preserve">Project objective: </w:t>
            </w:r>
            <w:r>
              <w:rPr>
                <w:rFonts w:ascii="Calibri" w:hAnsi="Calibri"/>
                <w:color w:val="202124"/>
                <w:sz w:val="21"/>
              </w:rPr>
              <w:t>Turn a user's plain-language description of a room and care routine into a short, explainable list of houseplants suited to those conditions.</w:t>
            </w:r>
          </w:p>
        </w:tc>
      </w:tr>
    </w:tbl>
    <w:p>
      <w:pPr>
        <w:spacing w:after="40"/>
      </w:pPr>
    </w:p>
    <w:p>
      <w:pPr>
        <w:pStyle w:val="Heading1"/>
        <w:keepNext/>
      </w:pPr>
      <w:r>
        <w:t>1. Problem and Intended Users</w:t>
      </w:r>
    </w:p>
    <w:p>
      <w:pPr>
        <w:keepLines w:val="0"/>
        <w:spacing w:after="120"/>
      </w:pPr>
      <w:r>
        <w:t>Houseplant care information is abundant, but prospective owners often receive less help with the decision that comes first: choosing a plant that can thrive in a particular space. Light exposure, indoor humidity, and the owner's willingness to water can determine whether a plant remains healthy. Fern-Ware addresses this selection problem by translating an everyday room description into structured growing conditions and matching those conditions against a curated plant database.</w:t>
      </w:r>
    </w:p>
    <w:p>
      <w:pPr>
        <w:keepLines w:val="0"/>
        <w:spacing w:after="120"/>
      </w:pPr>
      <w:r>
        <w:t>The primary audience is people who are interested in houseplants but lack the experience to compare species or interpret care terminology. Instead of requiring the user to know what counts as indirect light or moderate humidity, the interface accepts descriptions such as, 'My room is dry and shady, and I only want to water every few weeks.' This lowers the knowledge barrier while preserving the factors that matter for recommendation quality.</w:t>
      </w:r>
    </w:p>
    <w:p>
      <w:pPr>
        <w:pStyle w:val="Heading1"/>
        <w:keepNext/>
      </w:pPr>
      <w:r>
        <w:t>2. Product Experience</w:t>
      </w:r>
    </w:p>
    <w:p>
      <w:pPr>
        <w:keepLines w:val="0"/>
        <w:spacing w:after="120"/>
      </w:pPr>
      <w:r>
        <w:t>The mid-semester prototype compared a stable question-by-question build with an experimental natural-language build. The completed direction combines the clarity of the stable workflow with the convenience of free text. A user enters one description, the parser assigns low, medium, or high values to watering, humidity, and sunlight, and the interface reports a model score for each decision before showing plants.</w:t>
      </w:r>
    </w:p>
    <w:p>
      <w:pPr>
        <w:spacing w:after="100"/>
      </w:pPr>
      <w:r>
        <w:rPr>
          <w:b/>
        </w:rPr>
        <w:t xml:space="preserve">Input. </w:t>
      </w:r>
      <w:r>
        <w:t>The user describes both the room and the amount of plant care they can provide.</w:t>
      </w:r>
    </w:p>
    <w:p>
      <w:pPr>
        <w:spacing w:after="100"/>
      </w:pPr>
      <w:r>
        <w:rPr>
          <w:b/>
        </w:rPr>
        <w:t xml:space="preserve">Interpretation. </w:t>
      </w:r>
      <w:r>
        <w:t>The model returns one level and a score margin for each of the three conditions.</w:t>
      </w:r>
    </w:p>
    <w:p>
      <w:pPr>
        <w:spacing w:after="100"/>
      </w:pPr>
      <w:r>
        <w:rPr>
          <w:b/>
        </w:rPr>
        <w:t xml:space="preserve">Recommendation. </w:t>
      </w:r>
      <w:r>
        <w:t>Exact matches appear first; otherwise, the strongest partial matches are ranked and displayed.</w:t>
      </w:r>
    </w:p>
    <w:p>
      <w:pPr>
        <w:spacing w:after="0"/>
      </w:pPr>
      <w:r>
        <w:rPr>
          <w:b/>
        </w:rPr>
        <w:t xml:space="preserve">Explanation. </w:t>
      </w:r>
      <w:r>
        <w:t>Selecting a result opens a popup containing the genus description and its light, water, and humidity requirements.</w:t>
      </w:r>
    </w:p>
    <w:p>
      <w:r>
        <w:br w:type="page"/>
      </w:r>
    </w:p>
    <w:p>
      <w:pPr>
        <w:pStyle w:val="Heading1"/>
        <w:keepNext/>
      </w:pPr>
      <w:r>
        <w:t>3. Technical Design and Implementation</w:t>
      </w:r>
    </w:p>
    <w:p>
      <w:pPr>
        <w:keepLines w:val="0"/>
        <w:spacing w:after="120"/>
      </w:pPr>
      <w:r>
        <w:t>Fern-Ware uses a browser interface, a Python service, a fine-tuned natural-language inference model, and a JSON plant database. The JavaScript client no longer downloads a generic browser model. Instead, it sends a POST request to /api/parse. A Flask server loads the local parser_finetuned checkpoint once, reuses it across requests, and returns structured JSON containing each predicted level, its top score, the margin over the second choice, and the full label distribution.</w:t>
      </w:r>
    </w:p>
    <w:tbl>
      <w:tblPr>
        <w:tblW w:type="dxa" w:w="9360"/>
        <w:tblLayout w:type="fixed"/>
        <w:tblLook w:firstColumn="1" w:firstRow="1" w:lastColumn="0" w:lastRow="0" w:noHBand="0" w:noVBand="1" w:val="04A0"/>
        <w:tblInd w:w="120" w:type="dxa"/>
        <w:tblBorders>
          <w:top w:val="single" w:sz="6" w:space="0" w:color="CAD6CC"/>
          <w:left w:val="single" w:sz="6" w:space="0" w:color="CAD6CC"/>
          <w:bottom w:val="single" w:sz="6" w:space="0" w:color="CAD6CC"/>
          <w:right w:val="single" w:sz="6" w:space="0" w:color="CAD6CC"/>
          <w:insideH w:val="single" w:sz="6" w:space="0" w:color="CAD6CC"/>
          <w:insideV w:val="single" w:sz="6" w:space="0" w:color="CAD6CC"/>
        </w:tblBorders>
      </w:tblPr>
      <w:tblGrid>
        <w:gridCol w:w="1800"/>
        <w:gridCol w:w="3900"/>
        <w:gridCol w:w="3660"/>
      </w:tblGrid>
      <w:tr>
        <w:tc>
          <w:tcPr>
            <w:tcW w:type="dxa" w:w="1800"/>
            <w:shd w:fill="2E6F40"/>
            <w:tcMar>
              <w:top w:w="80" w:type="dxa"/>
              <w:start w:w="120" w:type="dxa"/>
              <w:bottom w:w="80" w:type="dxa"/>
              <w:end w:w="120" w:type="dxa"/>
            </w:tcMar>
            <w:vAlign w:val="center"/>
          </w:tcPr>
          <w:p>
            <w:pPr>
              <w:pStyle w:val="TableText"/>
            </w:pPr>
            <w:r>
              <w:rPr>
                <w:rFonts w:ascii="Calibri" w:hAnsi="Calibri"/>
                <w:b/>
                <w:color w:val="FFFFFF"/>
                <w:sz w:val="19"/>
              </w:rPr>
              <w:t>Stage</w:t>
            </w:r>
          </w:p>
        </w:tc>
        <w:tc>
          <w:tcPr>
            <w:tcW w:type="dxa" w:w="3900"/>
            <w:shd w:fill="2E6F40"/>
            <w:tcMar>
              <w:top w:w="80" w:type="dxa"/>
              <w:start w:w="120" w:type="dxa"/>
              <w:bottom w:w="80" w:type="dxa"/>
              <w:end w:w="120" w:type="dxa"/>
            </w:tcMar>
            <w:vAlign w:val="center"/>
          </w:tcPr>
          <w:p>
            <w:pPr>
              <w:pStyle w:val="TableText"/>
            </w:pPr>
            <w:r>
              <w:rPr>
                <w:rFonts w:ascii="Calibri" w:hAnsi="Calibri"/>
                <w:b/>
                <w:color w:val="FFFFFF"/>
                <w:sz w:val="19"/>
              </w:rPr>
              <w:t>Implementation</w:t>
            </w:r>
          </w:p>
        </w:tc>
        <w:tc>
          <w:tcPr>
            <w:tcW w:type="dxa" w:w="3660"/>
            <w:shd w:fill="2E6F40"/>
            <w:tcMar>
              <w:top w:w="80" w:type="dxa"/>
              <w:start w:w="120" w:type="dxa"/>
              <w:bottom w:w="80" w:type="dxa"/>
              <w:end w:w="120" w:type="dxa"/>
            </w:tcMar>
            <w:vAlign w:val="center"/>
          </w:tcPr>
          <w:p>
            <w:pPr>
              <w:pStyle w:val="TableText"/>
            </w:pPr>
            <w:r>
              <w:rPr>
                <w:rFonts w:ascii="Calibri" w:hAnsi="Calibri"/>
                <w:b/>
                <w:color w:val="FFFFFF"/>
                <w:sz w:val="19"/>
              </w:rPr>
              <w:t>Output</w:t>
            </w:r>
          </w:p>
        </w:tc>
      </w:tr>
      <w:tr>
        <w:tc>
          <w:tcPr>
            <w:tcW w:type="dxa" w:w="1800"/>
            <w:tcMar>
              <w:top w:w="80" w:type="dxa"/>
              <w:start w:w="120" w:type="dxa"/>
              <w:bottom w:w="80" w:type="dxa"/>
              <w:end w:w="120" w:type="dxa"/>
            </w:tcMar>
            <w:vAlign w:val="center"/>
          </w:tcPr>
          <w:p>
            <w:pPr>
              <w:pStyle w:val="TableText"/>
            </w:pPr>
            <w:r>
              <w:t>1. Description</w:t>
            </w:r>
          </w:p>
        </w:tc>
        <w:tc>
          <w:tcPr>
            <w:tcW w:type="dxa" w:w="3900"/>
            <w:tcMar>
              <w:top w:w="80" w:type="dxa"/>
              <w:start w:w="120" w:type="dxa"/>
              <w:bottom w:w="80" w:type="dxa"/>
              <w:end w:w="120" w:type="dxa"/>
            </w:tcMar>
            <w:vAlign w:val="center"/>
          </w:tcPr>
          <w:p>
            <w:pPr>
              <w:pStyle w:val="TableText"/>
            </w:pPr>
            <w:r>
              <w:t>HTML/CSS chat interface</w:t>
            </w:r>
          </w:p>
        </w:tc>
        <w:tc>
          <w:tcPr>
            <w:tcW w:type="dxa" w:w="3660"/>
            <w:tcMar>
              <w:top w:w="80" w:type="dxa"/>
              <w:start w:w="120" w:type="dxa"/>
              <w:bottom w:w="80" w:type="dxa"/>
              <w:end w:w="120" w:type="dxa"/>
            </w:tcMar>
            <w:vAlign w:val="center"/>
          </w:tcPr>
          <w:p>
            <w:pPr>
              <w:pStyle w:val="TableText"/>
            </w:pPr>
            <w:r>
              <w:t>Free-text room and care statement</w:t>
            </w:r>
          </w:p>
        </w:tc>
      </w:tr>
      <w:tr>
        <w:tc>
          <w:tcPr>
            <w:tcW w:type="dxa" w:w="1800"/>
            <w:shd w:fill="F7FAF8"/>
            <w:tcMar>
              <w:top w:w="80" w:type="dxa"/>
              <w:start w:w="120" w:type="dxa"/>
              <w:bottom w:w="80" w:type="dxa"/>
              <w:end w:w="120" w:type="dxa"/>
            </w:tcMar>
            <w:vAlign w:val="center"/>
          </w:tcPr>
          <w:p>
            <w:pPr>
              <w:pStyle w:val="TableText"/>
            </w:pPr>
            <w:r>
              <w:t>2. Parsing</w:t>
            </w:r>
          </w:p>
        </w:tc>
        <w:tc>
          <w:tcPr>
            <w:tcW w:type="dxa" w:w="3900"/>
            <w:shd w:fill="F7FAF8"/>
            <w:tcMar>
              <w:top w:w="80" w:type="dxa"/>
              <w:start w:w="120" w:type="dxa"/>
              <w:bottom w:w="80" w:type="dxa"/>
              <w:end w:w="120" w:type="dxa"/>
            </w:tcMar>
            <w:vAlign w:val="center"/>
          </w:tcPr>
          <w:p>
            <w:pPr>
              <w:pStyle w:val="TableText"/>
            </w:pPr>
            <w:r>
              <w:t>Flask API + fine-tuned BART-MNLI</w:t>
            </w:r>
          </w:p>
        </w:tc>
        <w:tc>
          <w:tcPr>
            <w:tcW w:type="dxa" w:w="3660"/>
            <w:shd w:fill="F7FAF8"/>
            <w:tcMar>
              <w:top w:w="80" w:type="dxa"/>
              <w:start w:w="120" w:type="dxa"/>
              <w:bottom w:w="80" w:type="dxa"/>
              <w:end w:w="120" w:type="dxa"/>
            </w:tcMar>
            <w:vAlign w:val="center"/>
          </w:tcPr>
          <w:p>
            <w:pPr>
              <w:pStyle w:val="TableText"/>
            </w:pPr>
            <w:r>
              <w:t>Three levels, scores, and margins</w:t>
            </w:r>
          </w:p>
        </w:tc>
      </w:tr>
      <w:tr>
        <w:tc>
          <w:tcPr>
            <w:tcW w:type="dxa" w:w="1800"/>
            <w:tcMar>
              <w:top w:w="80" w:type="dxa"/>
              <w:start w:w="120" w:type="dxa"/>
              <w:bottom w:w="80" w:type="dxa"/>
              <w:end w:w="120" w:type="dxa"/>
            </w:tcMar>
            <w:vAlign w:val="center"/>
          </w:tcPr>
          <w:p>
            <w:pPr>
              <w:pStyle w:val="TableText"/>
            </w:pPr>
            <w:r>
              <w:t>3. Matching</w:t>
            </w:r>
          </w:p>
        </w:tc>
        <w:tc>
          <w:tcPr>
            <w:tcW w:type="dxa" w:w="3900"/>
            <w:tcMar>
              <w:top w:w="80" w:type="dxa"/>
              <w:start w:w="120" w:type="dxa"/>
              <w:bottom w:w="80" w:type="dxa"/>
              <w:end w:w="120" w:type="dxa"/>
            </w:tcMar>
            <w:vAlign w:val="center"/>
          </w:tcPr>
          <w:p>
            <w:pPr>
              <w:pStyle w:val="TableText"/>
            </w:pPr>
            <w:r>
              <w:t>JavaScript comparison against genus_desc.json</w:t>
            </w:r>
          </w:p>
        </w:tc>
        <w:tc>
          <w:tcPr>
            <w:tcW w:type="dxa" w:w="3660"/>
            <w:tcMar>
              <w:top w:w="80" w:type="dxa"/>
              <w:start w:w="120" w:type="dxa"/>
              <w:bottom w:w="80" w:type="dxa"/>
              <w:end w:w="120" w:type="dxa"/>
            </w:tcMar>
            <w:vAlign w:val="center"/>
          </w:tcPr>
          <w:p>
            <w:pPr>
              <w:pStyle w:val="TableText"/>
            </w:pPr>
            <w:r>
              <w:t>Exact or best partial matches</w:t>
            </w:r>
          </w:p>
        </w:tc>
      </w:tr>
      <w:tr>
        <w:tc>
          <w:tcPr>
            <w:tcW w:type="dxa" w:w="1800"/>
            <w:shd w:fill="F7FAF8"/>
            <w:tcMar>
              <w:top w:w="80" w:type="dxa"/>
              <w:start w:w="120" w:type="dxa"/>
              <w:bottom w:w="80" w:type="dxa"/>
              <w:end w:w="120" w:type="dxa"/>
            </w:tcMar>
            <w:vAlign w:val="center"/>
          </w:tcPr>
          <w:p>
            <w:pPr>
              <w:pStyle w:val="TableText"/>
            </w:pPr>
            <w:r>
              <w:t>4. Explanation</w:t>
            </w:r>
          </w:p>
        </w:tc>
        <w:tc>
          <w:tcPr>
            <w:tcW w:type="dxa" w:w="3900"/>
            <w:shd w:fill="F7FAF8"/>
            <w:tcMar>
              <w:top w:w="80" w:type="dxa"/>
              <w:start w:w="120" w:type="dxa"/>
              <w:bottom w:w="80" w:type="dxa"/>
              <w:end w:w="120" w:type="dxa"/>
            </w:tcMar>
            <w:vAlign w:val="center"/>
          </w:tcPr>
          <w:p>
            <w:pPr>
              <w:pStyle w:val="TableText"/>
            </w:pPr>
            <w:r>
              <w:t>Dynamic buttons and modal popup</w:t>
            </w:r>
          </w:p>
        </w:tc>
        <w:tc>
          <w:tcPr>
            <w:tcW w:type="dxa" w:w="3660"/>
            <w:shd w:fill="F7FAF8"/>
            <w:tcMar>
              <w:top w:w="80" w:type="dxa"/>
              <w:start w:w="120" w:type="dxa"/>
              <w:bottom w:w="80" w:type="dxa"/>
              <w:end w:w="120" w:type="dxa"/>
            </w:tcMar>
            <w:vAlign w:val="center"/>
          </w:tcPr>
          <w:p>
            <w:pPr>
              <w:pStyle w:val="TableText"/>
            </w:pPr>
            <w:r>
              <w:t>Plant description and requirements</w:t>
            </w:r>
          </w:p>
        </w:tc>
      </w:tr>
    </w:tbl>
    <w:p>
      <w:pPr>
        <w:spacing w:before="80" w:after="80"/>
      </w:pPr>
      <w:r>
        <w:rPr>
          <w:rFonts w:ascii="Calibri" w:hAnsi="Calibri"/>
          <w:i/>
          <w:color w:val="5F6368"/>
          <w:sz w:val="17"/>
        </w:rPr>
        <w:t>Table 1. End-to-end recommendation pipeline in the current build.</w:t>
      </w:r>
    </w:p>
    <w:p>
      <w:pPr>
        <w:pStyle w:val="Heading1"/>
        <w:keepNext/>
      </w:pPr>
      <w:r>
        <w:t>4. Dataset and Model Training</w:t>
      </w:r>
    </w:p>
    <w:p>
      <w:pPr>
        <w:keepLines w:val="0"/>
        <w:spacing w:after="120"/>
      </w:pPr>
      <w:r>
        <w:t>Training examples are generated with Qwen3-0.6B. For each example, watering, humidity, and sunlight are independently assigned low, medium, or high labels. Qwen converts that combination into a short natural description without repeating the class words. Sampling is enabled to create linguistic variety; output length is capped because each record should remain concise. The resulting CSV contains the text plus the three ground-truth labels.</w:t>
      </w:r>
    </w:p>
    <w:p>
      <w:pPr>
        <w:keepLines w:val="0"/>
        <w:spacing w:after="120"/>
      </w:pPr>
      <w:r>
        <w:t>The training script expands 1,000 descriptions into 9,000 natural-language-inference pairs: three attributes multiplied by three candidate levels for every description. The split occurs before expansion, preventing the same premise from appearing in both training and validation. This yields 7,200 training pairs and 1,800 validation pairs. BART-large-MNLI is then fine-tuned for one epoch and stored as a reusable checkpoint. The observed run completed in approximately 26 minutes and 43 seconds, with validation loss 0.4327.</w:t>
      </w:r>
    </w:p>
    <w:p>
      <w:pPr>
        <w:pStyle w:val="Heading1"/>
        <w:keepNext/>
      </w:pPr>
      <w:r>
        <w:t>5. Recommendation Logic</w:t>
      </w:r>
    </w:p>
    <w:p>
      <w:pPr>
        <w:keepLines w:val="0"/>
        <w:spacing w:after="0"/>
      </w:pPr>
      <w:r>
        <w:t>The plant database represents each genus with an identifier, display name, light requirement, watering schedule, humidity level, and optional description. A plant is an exact match when all three categorical requirements equal the parsed preferences. If no exact match exists, Fern-Ware assigns one point per matching condition, identifies the highest score, and presents up to six tied options. This fallback prevents a dead end while making the degree of fit explicit to the user.</w:t>
      </w:r>
    </w:p>
    <w:p>
      <w:r>
        <w:br w:type="page"/>
      </w:r>
    </w:p>
    <w:p>
      <w:pPr>
        <w:pStyle w:val="Heading1"/>
        <w:keepNext/>
      </w:pPr>
      <w:r>
        <w:t>6. Evaluation and Development Findings</w:t>
      </w:r>
    </w:p>
    <w:p>
      <w:pPr>
        <w:keepLines w:val="0"/>
        <w:spacing w:after="120"/>
      </w:pPr>
      <w:r>
        <w:t>The working checkpoint returns structured predictions independently and through Flask. In one representative test, a dry, shady room with watering every few weeks produced low humidity at 74.7%, low sunlight at 71.7%, and medium watering at 59.9%. The first two labels were correct; watering was expected to be low. The result shows why per-condition scores are useful, but they should be treated as relative model evidence rather than calibrated probabilities.</w:t>
      </w:r>
    </w:p>
    <w:tbl>
      <w:tblPr>
        <w:tblW w:type="dxa" w:w="9360"/>
        <w:tblLayout w:type="fixed"/>
        <w:tblLook w:firstColumn="1" w:firstRow="1" w:lastColumn="0" w:lastRow="0" w:noHBand="0" w:noVBand="1" w:val="04A0"/>
        <w:tblInd w:w="120" w:type="dxa"/>
        <w:tblBorders>
          <w:top w:val="single" w:sz="4" w:space="0" w:color="EAF3EC"/>
          <w:left w:val="single" w:sz="4" w:space="0" w:color="EAF3EC"/>
          <w:bottom w:val="single" w:sz="4" w:space="0" w:color="EAF3EC"/>
          <w:right w:val="single" w:sz="4" w:space="0" w:color="EAF3EC"/>
          <w:insideH w:val="single" w:sz="4" w:space="0" w:color="EAF3EC"/>
          <w:insideV w:val="single" w:sz="4" w:space="0" w:color="EAF3EC"/>
        </w:tblBorders>
      </w:tblPr>
      <w:tblGrid>
        <w:gridCol w:w="9360"/>
      </w:tblGrid>
      <w:tr>
        <w:tc>
          <w:tcPr>
            <w:tcW w:type="dxa" w:w="9360"/>
            <w:tcMar>
              <w:top w:w="80" w:type="dxa"/>
              <w:start w:w="120" w:type="dxa"/>
              <w:bottom w:w="80" w:type="dxa"/>
              <w:end w:w="120" w:type="dxa"/>
            </w:tcMar>
            <w:vAlign w:val="center"/>
            <w:shd w:fill="EAF3EC"/>
          </w:tcPr>
          <w:p>
            <w:pPr>
              <w:spacing w:after="0"/>
            </w:pPr>
            <w:r>
              <w:rPr>
                <w:rFonts w:ascii="Calibri" w:hAnsi="Calibri"/>
                <w:b/>
                <w:color w:val="22522E"/>
                <w:sz w:val="21"/>
              </w:rPr>
              <w:t xml:space="preserve">Interpretation rule: </w:t>
            </w:r>
            <w:r>
              <w:rPr>
                <w:rFonts w:ascii="Calibri" w:hAnsi="Calibri"/>
                <w:color w:val="202124"/>
                <w:sz w:val="21"/>
              </w:rPr>
              <w:t>A condition should be treated as uncertain when the top score is below 65% or its lead over the second label is below 30 percentage points. The current interface can warn the user and request a more specific description.</w:t>
            </w:r>
          </w:p>
        </w:tc>
      </w:tr>
    </w:tbl>
    <w:p>
      <w:pPr>
        <w:spacing w:after="40"/>
      </w:pPr>
    </w:p>
    <w:p>
      <w:pPr>
        <w:pStyle w:val="Heading1"/>
        <w:keepNext/>
      </w:pPr>
      <w:r>
        <w:t>7. Limitations</w:t>
      </w:r>
    </w:p>
    <w:p>
      <w:pPr>
        <w:spacing w:after="100"/>
      </w:pPr>
      <w:r>
        <w:rPr>
          <w:b/>
        </w:rPr>
        <w:t xml:space="preserve">Model ambiguity. </w:t>
      </w:r>
      <w:r>
        <w:t>The classifier must select a level even when a condition is omitted, so an unsupported label may appear confident.</w:t>
      </w:r>
    </w:p>
    <w:p>
      <w:pPr>
        <w:spacing w:after="100"/>
      </w:pPr>
      <w:r>
        <w:rPr>
          <w:b/>
        </w:rPr>
        <w:t xml:space="preserve">Synthetic-data bias. </w:t>
      </w:r>
      <w:r>
        <w:t>Qwen adds scale and variety, but repeated phrasing or mislabeled outputs can teach shortcuts.</w:t>
      </w:r>
    </w:p>
    <w:p>
      <w:pPr>
        <w:spacing w:after="100"/>
      </w:pPr>
      <w:r>
        <w:rPr>
          <w:b/>
        </w:rPr>
        <w:t xml:space="preserve">Coarse recommendation space. </w:t>
      </w:r>
      <w:r>
        <w:t>Three attributes cannot distinguish every plant or room; pet safety, space, window orientation, and experience could improve decisions.</w:t>
      </w:r>
    </w:p>
    <w:p>
      <w:pPr>
        <w:spacing w:after="40"/>
      </w:pPr>
      <w:r>
        <w:rPr>
          <w:b/>
        </w:rPr>
        <w:t xml:space="preserve">Description completeness. </w:t>
      </w:r>
      <w:r>
        <w:t>Missing genus descriptions reduce the explanatory value of otherwise valid matches.</w:t>
      </w:r>
    </w:p>
    <w:p>
      <w:pPr>
        <w:pStyle w:val="Heading1"/>
        <w:keepNext/>
      </w:pPr>
      <w:r>
        <w:t>8. Validation and Future Work</w:t>
      </w:r>
    </w:p>
    <w:p>
      <w:pPr>
        <w:spacing w:after="160"/>
        <w:numPr>
          <w:ilvl w:val="0"/>
          <w:numId w:val="10"/>
        </w:numPr>
      </w:pPr>
      <w:r>
        <w:rPr>
          <w:b/>
        </w:rPr>
        <w:t xml:space="preserve">Create a held-out evaluation set. </w:t>
      </w:r>
      <w:r>
        <w:t>Measure per-attribute accuracy, macro F1, confusion matrices, and calibration on unseen descriptions.</w:t>
      </w:r>
    </w:p>
    <w:p>
      <w:pPr>
        <w:spacing w:after="160"/>
        <w:numPr>
          <w:ilvl w:val="0"/>
          <w:numId w:val="10"/>
        </w:numPr>
      </w:pPr>
      <w:r>
        <w:rPr>
          <w:b/>
        </w:rPr>
        <w:t xml:space="preserve">Add targeted clarification. </w:t>
      </w:r>
      <w:r>
        <w:t>Ask one focused follow-up when an attribute is uncertain or missing.</w:t>
      </w:r>
    </w:p>
    <w:p>
      <w:pPr>
        <w:spacing w:after="160"/>
        <w:numPr>
          <w:ilvl w:val="0"/>
          <w:numId w:val="10"/>
        </w:numPr>
      </w:pPr>
      <w:r>
        <w:rPr>
          <w:b/>
        </w:rPr>
        <w:t xml:space="preserve">Validate recommendations with users. </w:t>
      </w:r>
      <w:r>
        <w:t>Test suitability and explanation quality with interested but inexperienced plant owners.</w:t>
      </w:r>
    </w:p>
    <w:p>
      <w:pPr>
        <w:spacing w:after="160"/>
        <w:numPr>
          <w:ilvl w:val="0"/>
          <w:numId w:val="10"/>
        </w:numPr>
      </w:pPr>
      <w:r>
        <w:rPr>
          <w:b/>
        </w:rPr>
        <w:t xml:space="preserve">Expand and verify the database. </w:t>
      </w:r>
      <w:r>
        <w:t>Complete descriptions, reconcile care guidance, and add only decision-useful attributes.</w:t>
      </w:r>
    </w:p>
    <w:p>
      <w:pPr>
        <w:pStyle w:val="Heading1"/>
        <w:keepNext/>
      </w:pPr>
      <w:r>
        <w:t>9. Conclusion</w:t>
      </w:r>
    </w:p>
    <w:p>
      <w:pPr>
        <w:keepLines w:val="0"/>
        <w:spacing w:after="80"/>
      </w:pPr>
      <w:r>
        <w:t>Fern-Ware has progressed from a mid-semester concept into an end-to-end application that accepts natural language, runs a locally fine-tuned parser, communicates uncertainty, and returns explainable plant matches. Python performs inference, JavaScript manages the conversation and matching experience, and JSON provides an inspectable recommendation source. The next milestone is rigorous evaluation with unseen descriptions and real users.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r>
    <w:fldSimple w:instr="PAGE"/>
    <w:r>
      <w:rPr>
        <w:rFonts w:ascii="Calibri" w:hAnsi="Calibri"/>
        <w:color w:val="5F6368"/>
        <w:sz w:val="18"/>
      </w:rPr>
      <w:t xml:space="preserve">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CAD6CC"/>
      </w:pBdr>
    </w:pPr>
    <w:r>
      <w:rPr>
        <w:rFonts w:ascii="Calibri" w:hAnsi="Calibri"/>
        <w:b/>
        <w:color w:val="2E6F40"/>
        <w:sz w:val="18"/>
      </w:rPr>
      <w:t>DATA641  |  GROUP 7  |  FERN-WARE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6F4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F4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252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40" w:lineRule="auto"/>
    </w:pPr>
    <w:rPr>
      <w:rFonts w:ascii="Calibri" w:hAnsi="Calibri"/>
      <w:color w:val="2021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Fern-Ware Application Report</dc:title>
  <dc:subject>DATA641 Group 7 houseplant recommendation application</dc:subject>
  <dc:creator>Joseph Kutza; Rithvik Kommareddy; Zachary Hamilton</dc:creator>
  <cp:keywords>fern-ware, NLP, houseplant recommendation, BART, Flask</cp:keywords>
  <dc:description>generated by python-docx</dc:description>
  <cp:lastModifiedBy/>
  <cp:revision>1</cp:revision>
  <dcterms:created xsi:type="dcterms:W3CDTF">2013-12-23T23:15:00Z</dcterms:created>
  <dcterms:modified xsi:type="dcterms:W3CDTF">2013-12-23T23:15:00Z</dcterms:modified>
  <cp:category/>
</cp:coreProperties>
</file>