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526DE" w14:textId="77777777" w:rsidR="00215F9E" w:rsidRDefault="00000000">
      <w:pPr>
        <w:spacing w:before="600" w:after="80"/>
        <w:jc w:val="center"/>
      </w:pPr>
      <w:r>
        <w:rPr>
          <w:b/>
          <w:bCs/>
          <w:color w:val="1F3864"/>
          <w:sz w:val="52"/>
          <w:szCs w:val="52"/>
        </w:rPr>
        <w:t>DFN Model Parameterisation Report</w:t>
      </w:r>
    </w:p>
    <w:p w14:paraId="7610E8F6" w14:textId="77777777" w:rsidR="00215F9E" w:rsidRDefault="00000000">
      <w:pPr>
        <w:spacing w:after="600"/>
        <w:jc w:val="center"/>
      </w:pPr>
      <w:r>
        <w:rPr>
          <w:color w:val="404040"/>
          <w:sz w:val="28"/>
          <w:szCs w:val="28"/>
        </w:rPr>
        <w:t>A123 26650 M1B LFP High-Power Cell</w:t>
      </w:r>
    </w:p>
    <w:p w14:paraId="01C62F2A" w14:textId="77777777" w:rsidR="00215F9E" w:rsidRDefault="00215F9E">
      <w:pPr>
        <w:pBdr>
          <w:bottom w:val="single" w:sz="8" w:space="1" w:color="2E75B6"/>
        </w:pBdr>
        <w:spacing w:after="360"/>
      </w:pPr>
    </w:p>
    <w:p w14:paraId="2B0C133C" w14:textId="77777777" w:rsidR="00215F9E" w:rsidRDefault="00000000">
      <w:pPr>
        <w:pStyle w:val="Heading1"/>
      </w:pPr>
      <w:r>
        <w:t>1. Introduction</w:t>
      </w:r>
    </w:p>
    <w:p w14:paraId="094AA863" w14:textId="77777777" w:rsidR="00215F9E" w:rsidRDefault="00000000">
      <w:pPr>
        <w:spacing w:before="80" w:after="120" w:line="312" w:lineRule="auto"/>
      </w:pPr>
      <w:r>
        <w:t xml:space="preserve">This report documents the Doyle–Fuller–Newman (DFN) model parameterisation for the A123 26650 M1B lithium iron phosphate (LFP) cell with a nominal capacity of 2.5 Ah. All simulations were carried out using </w:t>
      </w:r>
      <w:proofErr w:type="spellStart"/>
      <w:r>
        <w:t>PyBaMM</w:t>
      </w:r>
      <w:proofErr w:type="spellEnd"/>
      <w:r>
        <w:t>.</w:t>
      </w:r>
    </w:p>
    <w:p w14:paraId="102AA24D" w14:textId="77777777" w:rsidR="00215F9E" w:rsidRDefault="00000000">
      <w:pPr>
        <w:pStyle w:val="Heading1"/>
      </w:pPr>
      <w:r>
        <w:t>2. Initial Parameter Estimation</w:t>
      </w:r>
    </w:p>
    <w:p w14:paraId="4EA130A0" w14:textId="77777777" w:rsidR="00215F9E" w:rsidRDefault="00000000">
      <w:pPr>
        <w:spacing w:before="80" w:after="120" w:line="312" w:lineRule="auto"/>
      </w:pPr>
      <w:r>
        <w:t>Initial parameter estimation was done through published literature and online resources. The supporting references are attached as Paper 1, Paper 2, and Paper 3.</w:t>
      </w:r>
    </w:p>
    <w:p w14:paraId="18D33D00" w14:textId="77777777" w:rsidR="00215F9E" w:rsidRDefault="00000000">
      <w:pPr>
        <w:spacing w:before="80" w:after="120" w:line="312" w:lineRule="auto"/>
      </w:pPr>
      <w:r>
        <w:t xml:space="preserve">The </w:t>
      </w:r>
      <w:proofErr w:type="spellStart"/>
      <w:r>
        <w:t>PyBaMM</w:t>
      </w:r>
      <w:proofErr w:type="spellEnd"/>
      <w:r>
        <w:t xml:space="preserve"> parameter spreadsheet (pybamm_parameters_classified.xlsx) contains the initial values taken from the literature, along with calculated values for volume fraction, maximum concentration, and density.</w:t>
      </w:r>
    </w:p>
    <w:p w14:paraId="7AD7D86D" w14:textId="77777777" w:rsidR="00215F9E" w:rsidRDefault="00000000">
      <w:pPr>
        <w:spacing w:before="80" w:after="120" w:line="312" w:lineRule="auto"/>
      </w:pPr>
      <w:r>
        <w:t>The Watzold (2025) paper provided a substantial number of geometric parameters including electrode thickness, current collector thickness, and separator thickness. The Scipioni (2018) paper supplied a reliable estimation of particle radius. These values were cross-checked against the Prada (2012) and Prada (2013) papers for consistency.</w:t>
      </w:r>
    </w:p>
    <w:p w14:paraId="4596CCFA" w14:textId="77777777" w:rsidR="00215F9E" w:rsidRDefault="00000000">
      <w:pPr>
        <w:pStyle w:val="Heading1"/>
      </w:pPr>
      <w:r>
        <w:t>3. Task 1 — Baseline DFN Simulation</w:t>
      </w:r>
    </w:p>
    <w:p w14:paraId="45426491" w14:textId="77777777" w:rsidR="00215F9E" w:rsidRDefault="00000000">
      <w:pPr>
        <w:spacing w:before="80" w:after="120" w:line="312" w:lineRule="auto"/>
      </w:pPr>
      <w:r>
        <w:t>For the DFN simulation, the Prada electrolyte conductivity and electrolyte diffusivity functions were used. The electrode diffusivities and exchange current density values were retrieved from the Scipioni (2018) paper.</w:t>
      </w:r>
    </w:p>
    <w:p w14:paraId="1F18EF09" w14:textId="77777777" w:rsidR="00215F9E" w:rsidRDefault="00000000">
      <w:pPr>
        <w:spacing w:before="80" w:after="120" w:line="312" w:lineRule="auto"/>
      </w:pPr>
      <w:r>
        <w:t>The reference OCV curve was obtained from the A123 26650 M1B datasheet, specifically the C/12.5 discharge curve (red curve below). A C/2 discharge curve was also used for additional validation.</w:t>
      </w:r>
    </w:p>
    <w:p w14:paraId="1A96F660" w14:textId="77777777" w:rsidR="00215F9E" w:rsidRDefault="00000000">
      <w:pPr>
        <w:spacing w:before="120" w:after="200"/>
        <w:jc w:val="center"/>
      </w:pPr>
      <w:r>
        <w:rPr>
          <w:noProof/>
        </w:rPr>
        <w:lastRenderedPageBreak/>
        <w:drawing>
          <wp:inline distT="0" distB="0" distL="0" distR="0" wp14:anchorId="0515B443" wp14:editId="2CB1100F">
            <wp:extent cx="3657600" cy="1913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57600" cy="1913860"/>
                    </a:xfrm>
                    <a:prstGeom prst="rect">
                      <a:avLst/>
                    </a:prstGeom>
                  </pic:spPr>
                </pic:pic>
              </a:graphicData>
            </a:graphic>
          </wp:inline>
        </w:drawing>
      </w:r>
    </w:p>
    <w:p w14:paraId="2C768D01" w14:textId="77777777" w:rsidR="00215F9E" w:rsidRDefault="00000000">
      <w:pPr>
        <w:spacing w:before="40" w:after="280"/>
        <w:jc w:val="center"/>
      </w:pPr>
      <w:r>
        <w:rPr>
          <w:i/>
          <w:iCs/>
          <w:color w:val="555555"/>
          <w:sz w:val="20"/>
          <w:szCs w:val="20"/>
        </w:rPr>
        <w:t>Figure 1: Reference OCV curves from the A123 26650 M1B datasheet.</w:t>
      </w:r>
    </w:p>
    <w:p w14:paraId="5B0C27D1" w14:textId="77777777" w:rsidR="00215F9E" w:rsidRDefault="00000000">
      <w:pPr>
        <w:pStyle w:val="Heading2"/>
      </w:pPr>
      <w:r>
        <w:t>3.1 Initial Simulation Results</w:t>
      </w:r>
    </w:p>
    <w:p w14:paraId="7C606F90" w14:textId="77777777" w:rsidR="00215F9E" w:rsidRDefault="00000000">
      <w:pPr>
        <w:spacing w:before="80" w:after="120" w:line="312" w:lineRule="auto"/>
      </w:pPr>
      <w:r>
        <w:t>The initial simulation results are shown below:</w:t>
      </w:r>
    </w:p>
    <w:p w14:paraId="1AA4E412" w14:textId="77777777" w:rsidR="00215F9E" w:rsidRDefault="00000000">
      <w:pPr>
        <w:spacing w:before="120" w:after="200"/>
        <w:jc w:val="center"/>
      </w:pPr>
      <w:r>
        <w:rPr>
          <w:noProof/>
        </w:rPr>
        <w:drawing>
          <wp:inline distT="0" distB="0" distL="0" distR="0" wp14:anchorId="1FC1DF40" wp14:editId="6B9E5EE2">
            <wp:extent cx="5029200" cy="2532160"/>
            <wp:effectExtent l="0" t="0" r="0" b="0"/>
            <wp:docPr id="1968164828" name="Picture 196816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2532160"/>
                    </a:xfrm>
                    <a:prstGeom prst="rect">
                      <a:avLst/>
                    </a:prstGeom>
                  </pic:spPr>
                </pic:pic>
              </a:graphicData>
            </a:graphic>
          </wp:inline>
        </w:drawing>
      </w:r>
    </w:p>
    <w:p w14:paraId="42CE4AA6" w14:textId="77777777" w:rsidR="00215F9E" w:rsidRDefault="00000000">
      <w:pPr>
        <w:spacing w:before="40" w:after="280"/>
        <w:jc w:val="center"/>
      </w:pPr>
      <w:r>
        <w:rPr>
          <w:i/>
          <w:iCs/>
          <w:color w:val="555555"/>
          <w:sz w:val="20"/>
          <w:szCs w:val="20"/>
        </w:rPr>
        <w:t>Figure 2: Initial DFN simulation result vs. experimental OCV.</w:t>
      </w:r>
    </w:p>
    <w:p w14:paraId="7F12A069" w14:textId="77777777" w:rsidR="00215F9E" w:rsidRDefault="00000000">
      <w:pPr>
        <w:pStyle w:val="Heading2"/>
      </w:pPr>
      <w:r>
        <w:t>3.2 Manual Parameter Optimisation</w:t>
      </w:r>
    </w:p>
    <w:p w14:paraId="08A0E1BF" w14:textId="77777777" w:rsidR="00215F9E" w:rsidRDefault="00000000">
      <w:pPr>
        <w:spacing w:before="80" w:after="120" w:line="312" w:lineRule="auto"/>
      </w:pPr>
      <w:r>
        <w:t xml:space="preserve">After manual optimisation of the parameters listed in the table below, the fit improved but the RMSE error remained significant due to the OCV function, which was initially taken from the Prada example in the </w:t>
      </w:r>
      <w:proofErr w:type="spellStart"/>
      <w:r>
        <w:t>PyBaMM</w:t>
      </w:r>
      <w:proofErr w:type="spellEnd"/>
      <w:r>
        <w:t xml:space="preserve"> documentation.</w:t>
      </w:r>
    </w:p>
    <w:p w14:paraId="1F010AC5" w14:textId="77777777" w:rsidR="00215F9E" w:rsidRDefault="00000000">
      <w:pPr>
        <w:spacing w:before="120" w:after="200"/>
        <w:jc w:val="center"/>
      </w:pPr>
      <w:r>
        <w:rPr>
          <w:noProof/>
        </w:rPr>
        <w:lastRenderedPageBreak/>
        <w:drawing>
          <wp:inline distT="0" distB="0" distL="0" distR="0" wp14:anchorId="35AAECA1" wp14:editId="79449EF2">
            <wp:extent cx="4114800" cy="3162300"/>
            <wp:effectExtent l="0" t="0" r="0" b="0"/>
            <wp:docPr id="1160941863" name="Picture 116094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14800" cy="3162300"/>
                    </a:xfrm>
                    <a:prstGeom prst="rect">
                      <a:avLst/>
                    </a:prstGeom>
                  </pic:spPr>
                </pic:pic>
              </a:graphicData>
            </a:graphic>
          </wp:inline>
        </w:drawing>
      </w:r>
    </w:p>
    <w:p w14:paraId="0606EBC1" w14:textId="77777777" w:rsidR="00215F9E" w:rsidRDefault="00000000">
      <w:pPr>
        <w:spacing w:before="40" w:after="280"/>
        <w:jc w:val="center"/>
      </w:pPr>
      <w:r>
        <w:rPr>
          <w:i/>
          <w:iCs/>
          <w:color w:val="555555"/>
          <w:sz w:val="20"/>
          <w:szCs w:val="20"/>
        </w:rPr>
        <w:t>Figure 3: Result after initial manual optimisation.</w:t>
      </w:r>
    </w:p>
    <w:p w14:paraId="528F09D4" w14:textId="77777777" w:rsidR="00215F9E" w:rsidRDefault="00000000">
      <w:pPr>
        <w:spacing w:before="200" w:after="200"/>
      </w:pPr>
      <w:r>
        <w:rPr>
          <w:i/>
          <w:iCs/>
          <w:sz w:val="20"/>
          <w:szCs w:val="20"/>
        </w:rPr>
        <w:t>Table 1: Parameters changed during manual optimisation.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6"/>
        <w:gridCol w:w="2189"/>
        <w:gridCol w:w="2246"/>
        <w:gridCol w:w="1749"/>
      </w:tblGrid>
      <w:tr w:rsidR="00215F9E" w14:paraId="1C41BEC5"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00" w:type="dxa"/>
              <w:bottom w:w="60" w:type="dxa"/>
              <w:right w:w="100" w:type="dxa"/>
            </w:tcMar>
            <w:vAlign w:val="center"/>
          </w:tcPr>
          <w:p w14:paraId="5478E521" w14:textId="77777777" w:rsidR="00215F9E" w:rsidRDefault="00000000">
            <w:r>
              <w:rPr>
                <w:b/>
                <w:bCs/>
                <w:color w:val="FFFFFF"/>
                <w:sz w:val="20"/>
                <w:szCs w:val="20"/>
              </w:rPr>
              <w:t>Parameter</w:t>
            </w:r>
          </w:p>
        </w:tc>
        <w:tc>
          <w:tcPr>
            <w:tcW w:w="22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00" w:type="dxa"/>
              <w:bottom w:w="60" w:type="dxa"/>
              <w:right w:w="100" w:type="dxa"/>
            </w:tcMar>
            <w:vAlign w:val="center"/>
          </w:tcPr>
          <w:p w14:paraId="3CFAF808" w14:textId="77777777" w:rsidR="00215F9E" w:rsidRDefault="00000000">
            <w:r>
              <w:rPr>
                <w:b/>
                <w:bCs/>
                <w:color w:val="FFFFFF"/>
                <w:sz w:val="20"/>
                <w:szCs w:val="20"/>
              </w:rPr>
              <w:t>Old</w:t>
            </w:r>
          </w:p>
        </w:tc>
        <w:tc>
          <w:tcPr>
            <w:tcW w:w="22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00" w:type="dxa"/>
              <w:bottom w:w="60" w:type="dxa"/>
              <w:right w:w="100" w:type="dxa"/>
            </w:tcMar>
            <w:vAlign w:val="center"/>
          </w:tcPr>
          <w:p w14:paraId="030A2AF8" w14:textId="77777777" w:rsidR="00215F9E" w:rsidRDefault="00000000">
            <w:r>
              <w:rPr>
                <w:b/>
                <w:bCs/>
                <w:color w:val="FFFFFF"/>
                <w:sz w:val="20"/>
                <w:szCs w:val="20"/>
              </w:rPr>
              <w:t>New</w:t>
            </w:r>
          </w:p>
        </w:tc>
        <w:tc>
          <w:tcPr>
            <w:tcW w:w="176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00" w:type="dxa"/>
              <w:bottom w:w="60" w:type="dxa"/>
              <w:right w:w="100" w:type="dxa"/>
            </w:tcMar>
            <w:vAlign w:val="center"/>
          </w:tcPr>
          <w:p w14:paraId="381F1A53" w14:textId="77777777" w:rsidR="00215F9E" w:rsidRDefault="00000000">
            <w:r>
              <w:rPr>
                <w:b/>
                <w:bCs/>
                <w:color w:val="FFFFFF"/>
                <w:sz w:val="20"/>
                <w:szCs w:val="20"/>
              </w:rPr>
              <w:t>Notes</w:t>
            </w:r>
          </w:p>
        </w:tc>
      </w:tr>
      <w:tr w:rsidR="00215F9E" w14:paraId="7A9378F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140432A" w14:textId="77777777" w:rsidR="00215F9E" w:rsidRDefault="00000000">
            <w:r>
              <w:rPr>
                <w:sz w:val="20"/>
                <w:szCs w:val="20"/>
              </w:rPr>
              <w:t>Positive electrode thickness [m]</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95D738E" w14:textId="77777777" w:rsidR="00215F9E" w:rsidRDefault="00000000">
            <w:r>
              <w:rPr>
                <w:sz w:val="20"/>
                <w:szCs w:val="20"/>
              </w:rPr>
              <w:t>0.0000627</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126EB7F" w14:textId="77777777" w:rsidR="00215F9E" w:rsidRDefault="00000000">
            <w:r>
              <w:rPr>
                <w:sz w:val="20"/>
                <w:szCs w:val="20"/>
              </w:rPr>
              <w:t>0.0000624</w:t>
            </w:r>
          </w:p>
        </w:tc>
        <w:tc>
          <w:tcPr>
            <w:tcW w:w="1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D2549F7" w14:textId="77777777" w:rsidR="00215F9E" w:rsidRDefault="00215F9E"/>
        </w:tc>
      </w:tr>
      <w:tr w:rsidR="00215F9E" w14:paraId="3829E36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0694C60C" w14:textId="77777777" w:rsidR="00215F9E" w:rsidRDefault="00000000">
            <w:r>
              <w:rPr>
                <w:sz w:val="20"/>
                <w:szCs w:val="20"/>
              </w:rPr>
              <w:t>Neg CC conductivity [S.m⁻¹]</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147E68E5" w14:textId="77777777" w:rsidR="00215F9E" w:rsidRDefault="00000000">
            <w:r>
              <w:rPr>
                <w:sz w:val="20"/>
                <w:szCs w:val="20"/>
              </w:rPr>
              <w:t>58,411,000</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508AC4F3" w14:textId="77777777" w:rsidR="00215F9E" w:rsidRDefault="00000000">
            <w:r>
              <w:rPr>
                <w:sz w:val="20"/>
                <w:szCs w:val="20"/>
              </w:rPr>
              <w:t>43,808,250</w:t>
            </w:r>
          </w:p>
        </w:tc>
        <w:tc>
          <w:tcPr>
            <w:tcW w:w="176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76B27B1C" w14:textId="77777777" w:rsidR="00215F9E" w:rsidRDefault="00000000">
            <w:r>
              <w:rPr>
                <w:sz w:val="20"/>
                <w:szCs w:val="20"/>
              </w:rPr>
              <w:t>×0.75</w:t>
            </w:r>
          </w:p>
        </w:tc>
      </w:tr>
      <w:tr w:rsidR="00215F9E" w14:paraId="5CEEEF1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A058E35" w14:textId="77777777" w:rsidR="00215F9E" w:rsidRDefault="00000000">
            <w:r>
              <w:rPr>
                <w:sz w:val="20"/>
                <w:szCs w:val="20"/>
              </w:rPr>
              <w:t>Pos CC conductivity [S.m⁻¹]</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22D4C0B" w14:textId="77777777" w:rsidR="00215F9E" w:rsidRDefault="00000000">
            <w:r>
              <w:rPr>
                <w:sz w:val="20"/>
                <w:szCs w:val="20"/>
              </w:rPr>
              <w:t>36,914,000</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ECAEBBC" w14:textId="77777777" w:rsidR="00215F9E" w:rsidRDefault="00000000">
            <w:r>
              <w:rPr>
                <w:sz w:val="20"/>
                <w:szCs w:val="20"/>
              </w:rPr>
              <w:t>27,685,500</w:t>
            </w:r>
          </w:p>
        </w:tc>
        <w:tc>
          <w:tcPr>
            <w:tcW w:w="1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9C24571" w14:textId="77777777" w:rsidR="00215F9E" w:rsidRDefault="00000000">
            <w:r>
              <w:rPr>
                <w:sz w:val="20"/>
                <w:szCs w:val="20"/>
              </w:rPr>
              <w:t>×0.75</w:t>
            </w:r>
          </w:p>
        </w:tc>
      </w:tr>
      <w:tr w:rsidR="00215F9E" w14:paraId="5483139B"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55574CE6" w14:textId="77777777" w:rsidR="00215F9E" w:rsidRDefault="00000000">
            <w:r>
              <w:rPr>
                <w:sz w:val="20"/>
                <w:szCs w:val="20"/>
              </w:rPr>
              <w:t>Contact resistance [Ω]</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112E03F3" w14:textId="77777777" w:rsidR="00215F9E" w:rsidRDefault="00000000">
            <w:r>
              <w:rPr>
                <w:sz w:val="20"/>
                <w:szCs w:val="20"/>
              </w:rPr>
              <w:t>Commented out</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2D5A4670" w14:textId="77777777" w:rsidR="00215F9E" w:rsidRDefault="00000000">
            <w:r>
              <w:rPr>
                <w:sz w:val="20"/>
                <w:szCs w:val="20"/>
              </w:rPr>
              <w:t>0.006</w:t>
            </w:r>
          </w:p>
        </w:tc>
        <w:tc>
          <w:tcPr>
            <w:tcW w:w="176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7B4D0343" w14:textId="77777777" w:rsidR="00215F9E" w:rsidRDefault="00000000">
            <w:r>
              <w:rPr>
                <w:sz w:val="20"/>
                <w:szCs w:val="20"/>
              </w:rPr>
              <w:t>Added</w:t>
            </w:r>
          </w:p>
        </w:tc>
      </w:tr>
      <w:tr w:rsidR="00215F9E" w14:paraId="6B325175"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93FB4C" w14:textId="77777777" w:rsidR="00215F9E" w:rsidRDefault="00000000">
            <w:r>
              <w:rPr>
                <w:sz w:val="20"/>
                <w:szCs w:val="20"/>
              </w:rPr>
              <w:t>Max conc. neg electrode [mol.m⁻³]</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F1C7238" w14:textId="77777777" w:rsidR="00215F9E" w:rsidRDefault="00000000">
            <w:r>
              <w:rPr>
                <w:sz w:val="20"/>
                <w:szCs w:val="20"/>
              </w:rPr>
              <w:t>28,985</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1569F7E" w14:textId="77777777" w:rsidR="00215F9E" w:rsidRDefault="00000000">
            <w:r>
              <w:rPr>
                <w:sz w:val="20"/>
                <w:szCs w:val="20"/>
              </w:rPr>
              <w:t>30,985</w:t>
            </w:r>
          </w:p>
        </w:tc>
        <w:tc>
          <w:tcPr>
            <w:tcW w:w="1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33173C0" w14:textId="77777777" w:rsidR="00215F9E" w:rsidRDefault="00215F9E"/>
        </w:tc>
      </w:tr>
      <w:tr w:rsidR="00215F9E" w14:paraId="6F581F2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046BE500" w14:textId="77777777" w:rsidR="00215F9E" w:rsidRDefault="00000000">
            <w:r>
              <w:rPr>
                <w:sz w:val="20"/>
                <w:szCs w:val="20"/>
              </w:rPr>
              <w:t>Initial neg SOC fraction</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3A3CEF44" w14:textId="77777777" w:rsidR="00215F9E" w:rsidRDefault="00000000">
            <w:r>
              <w:rPr>
                <w:sz w:val="20"/>
                <w:szCs w:val="20"/>
              </w:rPr>
              <w:t>0.811</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4EB3DB5E" w14:textId="77777777" w:rsidR="00215F9E" w:rsidRDefault="00000000">
            <w:r>
              <w:rPr>
                <w:sz w:val="20"/>
                <w:szCs w:val="20"/>
              </w:rPr>
              <w:t>0.85</w:t>
            </w:r>
          </w:p>
        </w:tc>
        <w:tc>
          <w:tcPr>
            <w:tcW w:w="176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64F392EB" w14:textId="77777777" w:rsidR="00215F9E" w:rsidRDefault="00215F9E"/>
        </w:tc>
      </w:tr>
      <w:tr w:rsidR="00215F9E" w14:paraId="5B1AB80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2B11170" w14:textId="77777777" w:rsidR="00215F9E" w:rsidRDefault="00000000">
            <w:r>
              <w:rPr>
                <w:sz w:val="20"/>
                <w:szCs w:val="20"/>
              </w:rPr>
              <w:t>Neg particle radius [m]</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DF6B48D" w14:textId="77777777" w:rsidR="00215F9E" w:rsidRDefault="00000000">
            <w:r>
              <w:rPr>
                <w:sz w:val="20"/>
                <w:szCs w:val="20"/>
              </w:rPr>
              <w:t>5.48e–7</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C796E45" w14:textId="77777777" w:rsidR="00215F9E" w:rsidRDefault="00000000">
            <w:r>
              <w:rPr>
                <w:sz w:val="20"/>
                <w:szCs w:val="20"/>
              </w:rPr>
              <w:t>5.38e–7</w:t>
            </w:r>
          </w:p>
        </w:tc>
        <w:tc>
          <w:tcPr>
            <w:tcW w:w="1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9884061" w14:textId="77777777" w:rsidR="00215F9E" w:rsidRDefault="00215F9E"/>
        </w:tc>
      </w:tr>
      <w:tr w:rsidR="00215F9E" w14:paraId="6038CC5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2B13E3BA" w14:textId="77777777" w:rsidR="00215F9E" w:rsidRDefault="00000000">
            <w:r>
              <w:rPr>
                <w:sz w:val="20"/>
                <w:szCs w:val="20"/>
              </w:rPr>
              <w:t>Neg particle diffusivity [m</w:t>
            </w:r>
            <w:proofErr w:type="gramStart"/>
            <w:r>
              <w:rPr>
                <w:sz w:val="20"/>
                <w:szCs w:val="20"/>
              </w:rPr>
              <w:t>².s</w:t>
            </w:r>
            <w:proofErr w:type="gramEnd"/>
            <w:r>
              <w:rPr>
                <w:sz w:val="20"/>
                <w:szCs w:val="20"/>
              </w:rPr>
              <w:t>⁻¹]</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35142CF7" w14:textId="77777777" w:rsidR="00215F9E" w:rsidRDefault="00000000">
            <w:r>
              <w:rPr>
                <w:sz w:val="20"/>
                <w:szCs w:val="20"/>
              </w:rPr>
              <w:t>4.8e–15 (</w:t>
            </w:r>
            <w:proofErr w:type="spellStart"/>
            <w:r>
              <w:rPr>
                <w:sz w:val="20"/>
                <w:szCs w:val="20"/>
              </w:rPr>
              <w:t>const</w:t>
            </w:r>
            <w:proofErr w:type="spellEnd"/>
            <w:r>
              <w:rPr>
                <w:sz w:val="20"/>
                <w:szCs w:val="20"/>
              </w:rPr>
              <w:t>)</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620DC3C3" w14:textId="77777777" w:rsidR="00215F9E" w:rsidRDefault="00000000">
            <w:proofErr w:type="spellStart"/>
            <w:r>
              <w:rPr>
                <w:sz w:val="20"/>
                <w:szCs w:val="20"/>
              </w:rPr>
              <w:t>graphite_</w:t>
            </w:r>
            <w:proofErr w:type="gramStart"/>
            <w:r>
              <w:rPr>
                <w:sz w:val="20"/>
                <w:szCs w:val="20"/>
              </w:rPr>
              <w:t>diffusivity</w:t>
            </w:r>
            <w:proofErr w:type="spellEnd"/>
            <w:r>
              <w:rPr>
                <w:sz w:val="20"/>
                <w:szCs w:val="20"/>
              </w:rPr>
              <w:t>(</w:t>
            </w:r>
            <w:proofErr w:type="spellStart"/>
            <w:proofErr w:type="gramEnd"/>
            <w:r>
              <w:rPr>
                <w:sz w:val="20"/>
                <w:szCs w:val="20"/>
              </w:rPr>
              <w:t>sto</w:t>
            </w:r>
            <w:proofErr w:type="spellEnd"/>
            <w:r>
              <w:rPr>
                <w:sz w:val="20"/>
                <w:szCs w:val="20"/>
              </w:rPr>
              <w:t>, T)</w:t>
            </w:r>
          </w:p>
        </w:tc>
        <w:tc>
          <w:tcPr>
            <w:tcW w:w="176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451C0D58" w14:textId="77777777" w:rsidR="00215F9E" w:rsidRDefault="00000000">
            <w:proofErr w:type="spellStart"/>
            <w:r>
              <w:rPr>
                <w:sz w:val="20"/>
                <w:szCs w:val="20"/>
              </w:rPr>
              <w:t>Const</w:t>
            </w:r>
            <w:proofErr w:type="spellEnd"/>
            <w:r>
              <w:rPr>
                <w:sz w:val="20"/>
                <w:szCs w:val="20"/>
              </w:rPr>
              <w:t xml:space="preserve"> → function</w:t>
            </w:r>
          </w:p>
        </w:tc>
      </w:tr>
      <w:tr w:rsidR="00215F9E" w14:paraId="036583E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E036071" w14:textId="77777777" w:rsidR="00215F9E" w:rsidRDefault="00000000">
            <w:r>
              <w:rPr>
                <w:sz w:val="20"/>
                <w:szCs w:val="20"/>
              </w:rPr>
              <w:t>Neg AM volume fraction</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297DC83" w14:textId="77777777" w:rsidR="00215F9E" w:rsidRDefault="00000000">
            <w:r>
              <w:rPr>
                <w:sz w:val="20"/>
                <w:szCs w:val="20"/>
              </w:rPr>
              <w:t>0.482</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6F38B64" w14:textId="77777777" w:rsidR="00215F9E" w:rsidRDefault="00000000">
            <w:r>
              <w:rPr>
                <w:sz w:val="20"/>
                <w:szCs w:val="20"/>
              </w:rPr>
              <w:t>0.58</w:t>
            </w:r>
          </w:p>
        </w:tc>
        <w:tc>
          <w:tcPr>
            <w:tcW w:w="1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8377A8E" w14:textId="77777777" w:rsidR="00215F9E" w:rsidRDefault="00215F9E"/>
        </w:tc>
      </w:tr>
      <w:tr w:rsidR="00215F9E" w14:paraId="62A433B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688251E4" w14:textId="77777777" w:rsidR="00215F9E" w:rsidRDefault="00000000">
            <w:r>
              <w:rPr>
                <w:sz w:val="20"/>
                <w:szCs w:val="20"/>
              </w:rPr>
              <w:t>Neg electrode conductivity [S.m⁻¹]</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6A8C8645" w14:textId="77777777" w:rsidR="00215F9E" w:rsidRDefault="00000000">
            <w:r>
              <w:rPr>
                <w:sz w:val="20"/>
                <w:szCs w:val="20"/>
              </w:rPr>
              <w:t>215</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2C07FB3B" w14:textId="77777777" w:rsidR="00215F9E" w:rsidRDefault="00000000">
            <w:r>
              <w:rPr>
                <w:sz w:val="20"/>
                <w:szCs w:val="20"/>
              </w:rPr>
              <w:t>107.5</w:t>
            </w:r>
          </w:p>
        </w:tc>
        <w:tc>
          <w:tcPr>
            <w:tcW w:w="176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493DCB11" w14:textId="77777777" w:rsidR="00215F9E" w:rsidRDefault="00000000">
            <w:r>
              <w:rPr>
                <w:sz w:val="20"/>
                <w:szCs w:val="20"/>
              </w:rPr>
              <w:t>×0.5</w:t>
            </w:r>
          </w:p>
        </w:tc>
      </w:tr>
      <w:tr w:rsidR="00215F9E" w14:paraId="5584635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06042C7" w14:textId="77777777" w:rsidR="00215F9E" w:rsidRDefault="00000000">
            <w:proofErr w:type="gramStart"/>
            <w:r>
              <w:rPr>
                <w:sz w:val="20"/>
                <w:szCs w:val="20"/>
              </w:rPr>
              <w:t>Pos</w:t>
            </w:r>
            <w:proofErr w:type="gramEnd"/>
            <w:r>
              <w:rPr>
                <w:sz w:val="20"/>
                <w:szCs w:val="20"/>
              </w:rPr>
              <w:t xml:space="preserve"> particle diffusivity [m</w:t>
            </w:r>
            <w:proofErr w:type="gramStart"/>
            <w:r>
              <w:rPr>
                <w:sz w:val="20"/>
                <w:szCs w:val="20"/>
              </w:rPr>
              <w:t>².s</w:t>
            </w:r>
            <w:proofErr w:type="gramEnd"/>
            <w:r>
              <w:rPr>
                <w:sz w:val="20"/>
                <w:szCs w:val="20"/>
              </w:rPr>
              <w:t>⁻¹]</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7EEA396" w14:textId="77777777" w:rsidR="00215F9E" w:rsidRDefault="00000000">
            <w:r>
              <w:rPr>
                <w:sz w:val="20"/>
                <w:szCs w:val="20"/>
              </w:rPr>
              <w:t>2.4e–17 (</w:t>
            </w:r>
            <w:proofErr w:type="spellStart"/>
            <w:r>
              <w:rPr>
                <w:sz w:val="20"/>
                <w:szCs w:val="20"/>
              </w:rPr>
              <w:t>const</w:t>
            </w:r>
            <w:proofErr w:type="spellEnd"/>
            <w:r>
              <w:rPr>
                <w:sz w:val="20"/>
                <w:szCs w:val="20"/>
              </w:rPr>
              <w:t>)</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9067C6C" w14:textId="77777777" w:rsidR="00215F9E" w:rsidRDefault="00000000">
            <w:proofErr w:type="spellStart"/>
            <w:r>
              <w:rPr>
                <w:sz w:val="20"/>
                <w:szCs w:val="20"/>
              </w:rPr>
              <w:t>lfp_</w:t>
            </w:r>
            <w:proofErr w:type="gramStart"/>
            <w:r>
              <w:rPr>
                <w:sz w:val="20"/>
                <w:szCs w:val="20"/>
              </w:rPr>
              <w:t>diffusivity</w:t>
            </w:r>
            <w:proofErr w:type="spellEnd"/>
            <w:r>
              <w:rPr>
                <w:sz w:val="20"/>
                <w:szCs w:val="20"/>
              </w:rPr>
              <w:t>(</w:t>
            </w:r>
            <w:proofErr w:type="spellStart"/>
            <w:proofErr w:type="gramEnd"/>
            <w:r>
              <w:rPr>
                <w:sz w:val="20"/>
                <w:szCs w:val="20"/>
              </w:rPr>
              <w:t>sto</w:t>
            </w:r>
            <w:proofErr w:type="spellEnd"/>
            <w:r>
              <w:rPr>
                <w:sz w:val="20"/>
                <w:szCs w:val="20"/>
              </w:rPr>
              <w:t>, T)</w:t>
            </w:r>
          </w:p>
        </w:tc>
        <w:tc>
          <w:tcPr>
            <w:tcW w:w="1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8E00749" w14:textId="77777777" w:rsidR="00215F9E" w:rsidRDefault="00000000">
            <w:proofErr w:type="spellStart"/>
            <w:r>
              <w:rPr>
                <w:sz w:val="20"/>
                <w:szCs w:val="20"/>
              </w:rPr>
              <w:t>Const</w:t>
            </w:r>
            <w:proofErr w:type="spellEnd"/>
            <w:r>
              <w:rPr>
                <w:sz w:val="20"/>
                <w:szCs w:val="20"/>
              </w:rPr>
              <w:t xml:space="preserve"> → function</w:t>
            </w:r>
          </w:p>
        </w:tc>
      </w:tr>
      <w:tr w:rsidR="00215F9E" w14:paraId="7AC96AD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52E503E9" w14:textId="77777777" w:rsidR="00215F9E" w:rsidRDefault="00000000">
            <w:proofErr w:type="gramStart"/>
            <w:r>
              <w:rPr>
                <w:sz w:val="20"/>
                <w:szCs w:val="20"/>
              </w:rPr>
              <w:t>Pos</w:t>
            </w:r>
            <w:proofErr w:type="gramEnd"/>
            <w:r>
              <w:rPr>
                <w:sz w:val="20"/>
                <w:szCs w:val="20"/>
              </w:rPr>
              <w:t xml:space="preserve"> particle radius [m]</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36D3D7AA" w14:textId="77777777" w:rsidR="00215F9E" w:rsidRDefault="00000000">
            <w:r>
              <w:rPr>
                <w:sz w:val="20"/>
                <w:szCs w:val="20"/>
              </w:rPr>
              <w:t>3.80e–8</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78055C50" w14:textId="77777777" w:rsidR="00215F9E" w:rsidRDefault="00000000">
            <w:r>
              <w:rPr>
                <w:sz w:val="20"/>
                <w:szCs w:val="20"/>
              </w:rPr>
              <w:t>2.85e–8</w:t>
            </w:r>
          </w:p>
        </w:tc>
        <w:tc>
          <w:tcPr>
            <w:tcW w:w="176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00B354D0" w14:textId="77777777" w:rsidR="00215F9E" w:rsidRDefault="00000000">
            <w:r>
              <w:rPr>
                <w:sz w:val="20"/>
                <w:szCs w:val="20"/>
              </w:rPr>
              <w:t>×0.75</w:t>
            </w:r>
          </w:p>
        </w:tc>
      </w:tr>
      <w:tr w:rsidR="00215F9E" w14:paraId="2EC76AC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C143ADC" w14:textId="77777777" w:rsidR="00215F9E" w:rsidRDefault="00000000">
            <w:proofErr w:type="gramStart"/>
            <w:r>
              <w:rPr>
                <w:sz w:val="20"/>
                <w:szCs w:val="20"/>
              </w:rPr>
              <w:t>Pos</w:t>
            </w:r>
            <w:proofErr w:type="gramEnd"/>
            <w:r>
              <w:rPr>
                <w:sz w:val="20"/>
                <w:szCs w:val="20"/>
              </w:rPr>
              <w:t xml:space="preserve"> electrode conductivity [S.m⁻¹]</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F22C1E5" w14:textId="77777777" w:rsidR="00215F9E" w:rsidRDefault="00000000">
            <w:r>
              <w:rPr>
                <w:sz w:val="20"/>
                <w:szCs w:val="20"/>
              </w:rPr>
              <w:t>0.18</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3753BF9" w14:textId="77777777" w:rsidR="00215F9E" w:rsidRDefault="00000000">
            <w:r>
              <w:rPr>
                <w:sz w:val="20"/>
                <w:szCs w:val="20"/>
              </w:rPr>
              <w:t>0.036</w:t>
            </w:r>
          </w:p>
        </w:tc>
        <w:tc>
          <w:tcPr>
            <w:tcW w:w="1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8A6166" w14:textId="77777777" w:rsidR="00215F9E" w:rsidRDefault="00000000">
            <w:r>
              <w:rPr>
                <w:sz w:val="20"/>
                <w:szCs w:val="20"/>
              </w:rPr>
              <w:t>×0.2</w:t>
            </w:r>
          </w:p>
        </w:tc>
      </w:tr>
      <w:tr w:rsidR="00215F9E" w14:paraId="6AEDCD71"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3357731D" w14:textId="77777777" w:rsidR="00215F9E" w:rsidRDefault="00000000">
            <w:r>
              <w:rPr>
                <w:sz w:val="20"/>
                <w:szCs w:val="20"/>
              </w:rPr>
              <w:t>Pos AM volume fraction</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3CE7E2D2" w14:textId="77777777" w:rsidR="00215F9E" w:rsidRDefault="00000000">
            <w:r>
              <w:rPr>
                <w:sz w:val="20"/>
                <w:szCs w:val="20"/>
              </w:rPr>
              <w:t>0.37529</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26F5707A" w14:textId="77777777" w:rsidR="00215F9E" w:rsidRDefault="00000000">
            <w:r>
              <w:rPr>
                <w:sz w:val="20"/>
                <w:szCs w:val="20"/>
              </w:rPr>
              <w:t>0.360529</w:t>
            </w:r>
          </w:p>
        </w:tc>
        <w:tc>
          <w:tcPr>
            <w:tcW w:w="176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30E8B829" w14:textId="77777777" w:rsidR="00215F9E" w:rsidRDefault="00215F9E"/>
        </w:tc>
      </w:tr>
      <w:tr w:rsidR="00215F9E" w14:paraId="2A16092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FEF4C01" w14:textId="77777777" w:rsidR="00215F9E" w:rsidRDefault="00000000">
            <w:proofErr w:type="gramStart"/>
            <w:r>
              <w:rPr>
                <w:sz w:val="20"/>
                <w:szCs w:val="20"/>
              </w:rPr>
              <w:t>Pos</w:t>
            </w:r>
            <w:proofErr w:type="gramEnd"/>
            <w:r>
              <w:rPr>
                <w:sz w:val="20"/>
                <w:szCs w:val="20"/>
              </w:rPr>
              <w:t xml:space="preserve"> electrode porosity</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A43A831" w14:textId="77777777" w:rsidR="00215F9E" w:rsidRDefault="00000000">
            <w:r>
              <w:rPr>
                <w:sz w:val="20"/>
                <w:szCs w:val="20"/>
              </w:rPr>
              <w:t>0.42</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9833DE" w14:textId="77777777" w:rsidR="00215F9E" w:rsidRDefault="00000000">
            <w:r>
              <w:rPr>
                <w:sz w:val="20"/>
                <w:szCs w:val="20"/>
              </w:rPr>
              <w:t>0.55</w:t>
            </w:r>
          </w:p>
        </w:tc>
        <w:tc>
          <w:tcPr>
            <w:tcW w:w="1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A0AC436" w14:textId="77777777" w:rsidR="00215F9E" w:rsidRDefault="00215F9E"/>
        </w:tc>
      </w:tr>
      <w:tr w:rsidR="00215F9E" w14:paraId="5AE5C3C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2A693C10" w14:textId="77777777" w:rsidR="00215F9E" w:rsidRDefault="00000000">
            <w:r>
              <w:rPr>
                <w:sz w:val="20"/>
                <w:szCs w:val="20"/>
              </w:rPr>
              <w:lastRenderedPageBreak/>
              <w:t>Cation transference number</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2231FC12" w14:textId="77777777" w:rsidR="00215F9E" w:rsidRDefault="00000000">
            <w:r>
              <w:rPr>
                <w:sz w:val="20"/>
                <w:szCs w:val="20"/>
              </w:rPr>
              <w:t>0.36</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729FF23D" w14:textId="77777777" w:rsidR="00215F9E" w:rsidRDefault="00000000">
            <w:r>
              <w:rPr>
                <w:sz w:val="20"/>
                <w:szCs w:val="20"/>
              </w:rPr>
              <w:t>0.38</w:t>
            </w:r>
          </w:p>
        </w:tc>
        <w:tc>
          <w:tcPr>
            <w:tcW w:w="176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7D1CF4BC" w14:textId="77777777" w:rsidR="00215F9E" w:rsidRDefault="00215F9E"/>
        </w:tc>
      </w:tr>
      <w:tr w:rsidR="00215F9E" w14:paraId="72F464C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B93E63C" w14:textId="77777777" w:rsidR="00215F9E" w:rsidRDefault="00000000">
            <w:r>
              <w:rPr>
                <w:sz w:val="20"/>
                <w:szCs w:val="20"/>
              </w:rPr>
              <w:t>Electrolyte diffusivity [m</w:t>
            </w:r>
            <w:proofErr w:type="gramStart"/>
            <w:r>
              <w:rPr>
                <w:sz w:val="20"/>
                <w:szCs w:val="20"/>
              </w:rPr>
              <w:t>².s</w:t>
            </w:r>
            <w:proofErr w:type="gramEnd"/>
            <w:r>
              <w:rPr>
                <w:sz w:val="20"/>
                <w:szCs w:val="20"/>
              </w:rPr>
              <w:t>⁻¹]</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3F44FD5" w14:textId="77777777" w:rsidR="00215F9E" w:rsidRDefault="00000000">
            <w:r>
              <w:rPr>
                <w:sz w:val="20"/>
                <w:szCs w:val="20"/>
              </w:rPr>
              <w:t>2e–10</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EA77585" w14:textId="77777777" w:rsidR="00215F9E" w:rsidRDefault="00000000">
            <w:r>
              <w:rPr>
                <w:sz w:val="20"/>
                <w:szCs w:val="20"/>
              </w:rPr>
              <w:t>1e–10</w:t>
            </w:r>
          </w:p>
        </w:tc>
        <w:tc>
          <w:tcPr>
            <w:tcW w:w="1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95452AC" w14:textId="77777777" w:rsidR="00215F9E" w:rsidRDefault="00000000">
            <w:r>
              <w:rPr>
                <w:sz w:val="20"/>
                <w:szCs w:val="20"/>
              </w:rPr>
              <w:t>×0.5</w:t>
            </w:r>
          </w:p>
        </w:tc>
      </w:tr>
      <w:tr w:rsidR="00215F9E" w14:paraId="319200C5"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24CB0D65" w14:textId="77777777" w:rsidR="00215F9E" w:rsidRDefault="00000000">
            <w:r>
              <w:rPr>
                <w:sz w:val="20"/>
                <w:szCs w:val="20"/>
              </w:rPr>
              <w:t>Upper voltage cut-off [V]</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1CCDB323" w14:textId="77777777" w:rsidR="00215F9E" w:rsidRDefault="00000000">
            <w:r>
              <w:rPr>
                <w:sz w:val="20"/>
                <w:szCs w:val="20"/>
              </w:rPr>
              <w:t>3.65</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1A5DF838" w14:textId="77777777" w:rsidR="00215F9E" w:rsidRDefault="00000000">
            <w:r>
              <w:rPr>
                <w:sz w:val="20"/>
                <w:szCs w:val="20"/>
              </w:rPr>
              <w:t>5</w:t>
            </w:r>
          </w:p>
        </w:tc>
        <w:tc>
          <w:tcPr>
            <w:tcW w:w="176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22084028" w14:textId="77777777" w:rsidR="00215F9E" w:rsidRDefault="00215F9E"/>
        </w:tc>
      </w:tr>
    </w:tbl>
    <w:p w14:paraId="49344EEC" w14:textId="77777777" w:rsidR="00215F9E" w:rsidRDefault="00215F9E">
      <w:pPr>
        <w:spacing w:after="200"/>
      </w:pPr>
    </w:p>
    <w:p w14:paraId="76C486E7" w14:textId="77777777" w:rsidR="00215F9E" w:rsidRDefault="00000000">
      <w:pPr>
        <w:pStyle w:val="Heading1"/>
      </w:pPr>
      <w:r>
        <w:t>4. OCV Optimisation with MSMR Model</w:t>
      </w:r>
    </w:p>
    <w:p w14:paraId="6C783D95" w14:textId="77777777" w:rsidR="00215F9E" w:rsidRDefault="00000000">
      <w:pPr>
        <w:spacing w:before="80" w:after="120" w:line="312" w:lineRule="auto"/>
      </w:pPr>
      <w:r>
        <w:t xml:space="preserve">To address the OCV mismatch, a custom Multi-Site Multi-Reaction (MSMR) model was employed for the optimised OCV function (see </w:t>
      </w:r>
      <w:proofErr w:type="spellStart"/>
      <w:r>
        <w:t>ocp_</w:t>
      </w:r>
      <w:proofErr w:type="gramStart"/>
      <w:r>
        <w:t>estimation.ipynb</w:t>
      </w:r>
      <w:proofErr w:type="spellEnd"/>
      <w:proofErr w:type="gramEnd"/>
      <w:r>
        <w:t>). The MSMR approach and its composite formulation are described in the Verbrugge (2017) paper.</w:t>
      </w:r>
    </w:p>
    <w:p w14:paraId="5BDF6C19" w14:textId="77777777" w:rsidR="00215F9E" w:rsidRDefault="00000000">
      <w:pPr>
        <w:pStyle w:val="Heading2"/>
      </w:pPr>
      <w:r>
        <w:t>4.1 Graphite OCV</w:t>
      </w:r>
    </w:p>
    <w:p w14:paraId="2542D55F" w14:textId="77777777" w:rsidR="00215F9E" w:rsidRDefault="00000000">
      <w:pPr>
        <w:spacing w:before="80" w:after="120" w:line="312" w:lineRule="auto"/>
      </w:pPr>
      <w:r>
        <w:t>The MSMR model was used to reconstruct the graphite negative electrode OCV:</w:t>
      </w:r>
    </w:p>
    <w:p w14:paraId="100072A2" w14:textId="77777777" w:rsidR="00215F9E" w:rsidRDefault="00000000">
      <w:pPr>
        <w:spacing w:before="120" w:after="200"/>
        <w:jc w:val="center"/>
      </w:pPr>
      <w:r>
        <w:rPr>
          <w:noProof/>
        </w:rPr>
        <w:drawing>
          <wp:inline distT="0" distB="0" distL="0" distR="0" wp14:anchorId="5892AE89" wp14:editId="0E3EAB18">
            <wp:extent cx="4114800" cy="2936321"/>
            <wp:effectExtent l="0" t="0" r="0" b="0"/>
            <wp:docPr id="189717357" name="Picture 189717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2936321"/>
                    </a:xfrm>
                    <a:prstGeom prst="rect">
                      <a:avLst/>
                    </a:prstGeom>
                  </pic:spPr>
                </pic:pic>
              </a:graphicData>
            </a:graphic>
          </wp:inline>
        </w:drawing>
      </w:r>
    </w:p>
    <w:p w14:paraId="7C3A7183" w14:textId="77777777" w:rsidR="00215F9E" w:rsidRDefault="00000000">
      <w:pPr>
        <w:spacing w:before="40" w:after="280"/>
        <w:jc w:val="center"/>
      </w:pPr>
      <w:r>
        <w:rPr>
          <w:i/>
          <w:iCs/>
          <w:color w:val="555555"/>
          <w:sz w:val="20"/>
          <w:szCs w:val="20"/>
        </w:rPr>
        <w:t>Figure 4: MSMR-reconstructed graphite OCV.</w:t>
      </w:r>
    </w:p>
    <w:p w14:paraId="6921A56D" w14:textId="77777777" w:rsidR="00215F9E" w:rsidRDefault="00000000">
      <w:pPr>
        <w:pStyle w:val="Heading2"/>
      </w:pPr>
      <w:r>
        <w:t>4.2 LFP OCV</w:t>
      </w:r>
    </w:p>
    <w:p w14:paraId="4AD423BC" w14:textId="77777777" w:rsidR="00215F9E" w:rsidRDefault="00000000">
      <w:pPr>
        <w:spacing w:before="80" w:after="120" w:line="312" w:lineRule="auto"/>
      </w:pPr>
      <w:r>
        <w:t xml:space="preserve">For LFP, both lithiation and </w:t>
      </w:r>
      <w:proofErr w:type="spellStart"/>
      <w:r>
        <w:t>delithiation</w:t>
      </w:r>
      <w:proofErr w:type="spellEnd"/>
      <w:r>
        <w:t xml:space="preserve"> OCPs were initially considered to account for hysteresis, but the analysis proceeded with a single OCP curve.</w:t>
      </w:r>
    </w:p>
    <w:p w14:paraId="476BB4AB" w14:textId="77777777" w:rsidR="00215F9E" w:rsidRDefault="00000000">
      <w:pPr>
        <w:spacing w:before="120" w:after="200"/>
        <w:jc w:val="center"/>
      </w:pPr>
      <w:r>
        <w:rPr>
          <w:noProof/>
        </w:rPr>
        <w:lastRenderedPageBreak/>
        <w:drawing>
          <wp:inline distT="0" distB="0" distL="0" distR="0" wp14:anchorId="15366BB9" wp14:editId="63CF4DEE">
            <wp:extent cx="4114800" cy="2954215"/>
            <wp:effectExtent l="0" t="0" r="0" b="0"/>
            <wp:docPr id="204776089" name="Picture 20477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14800" cy="2954215"/>
                    </a:xfrm>
                    <a:prstGeom prst="rect">
                      <a:avLst/>
                    </a:prstGeom>
                  </pic:spPr>
                </pic:pic>
              </a:graphicData>
            </a:graphic>
          </wp:inline>
        </w:drawing>
      </w:r>
    </w:p>
    <w:p w14:paraId="09FEE801" w14:textId="77777777" w:rsidR="00215F9E" w:rsidRDefault="00000000">
      <w:pPr>
        <w:spacing w:before="40" w:after="280"/>
        <w:jc w:val="center"/>
      </w:pPr>
      <w:r>
        <w:rPr>
          <w:i/>
          <w:iCs/>
          <w:color w:val="555555"/>
          <w:sz w:val="20"/>
          <w:szCs w:val="20"/>
        </w:rPr>
        <w:t xml:space="preserve">Figure 5: LFP OCV (lithiation and </w:t>
      </w:r>
      <w:proofErr w:type="spellStart"/>
      <w:r>
        <w:rPr>
          <w:i/>
          <w:iCs/>
          <w:color w:val="555555"/>
          <w:sz w:val="20"/>
          <w:szCs w:val="20"/>
        </w:rPr>
        <w:t>delithiation</w:t>
      </w:r>
      <w:proofErr w:type="spellEnd"/>
      <w:r>
        <w:rPr>
          <w:i/>
          <w:iCs/>
          <w:color w:val="555555"/>
          <w:sz w:val="20"/>
          <w:szCs w:val="20"/>
        </w:rPr>
        <w:t xml:space="preserve"> curves).</w:t>
      </w:r>
    </w:p>
    <w:p w14:paraId="131726B6" w14:textId="77777777" w:rsidR="00215F9E" w:rsidRDefault="00000000">
      <w:pPr>
        <w:pStyle w:val="Heading2"/>
      </w:pPr>
      <w:r>
        <w:t>4.3 Improved OCV Fit</w:t>
      </w:r>
    </w:p>
    <w:p w14:paraId="7A34DE5E" w14:textId="77777777" w:rsidR="00215F9E" w:rsidRDefault="00000000">
      <w:pPr>
        <w:spacing w:before="80" w:after="120" w:line="312" w:lineRule="auto"/>
      </w:pPr>
      <w:r>
        <w:t>After applying the MSMR-based OCV, the simulation results improved substantially:</w:t>
      </w:r>
    </w:p>
    <w:p w14:paraId="5943BC93" w14:textId="77777777" w:rsidR="00215F9E" w:rsidRDefault="00000000">
      <w:pPr>
        <w:spacing w:before="120" w:after="200"/>
        <w:jc w:val="center"/>
      </w:pPr>
      <w:r>
        <w:rPr>
          <w:noProof/>
        </w:rPr>
        <w:drawing>
          <wp:inline distT="0" distB="0" distL="0" distR="0" wp14:anchorId="22ED865E" wp14:editId="0D489500">
            <wp:extent cx="4114800" cy="3158223"/>
            <wp:effectExtent l="0" t="0" r="0" b="0"/>
            <wp:docPr id="1985023165" name="Picture 1985023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14800" cy="3158223"/>
                    </a:xfrm>
                    <a:prstGeom prst="rect">
                      <a:avLst/>
                    </a:prstGeom>
                  </pic:spPr>
                </pic:pic>
              </a:graphicData>
            </a:graphic>
          </wp:inline>
        </w:drawing>
      </w:r>
    </w:p>
    <w:p w14:paraId="16A63A22" w14:textId="77777777" w:rsidR="00215F9E" w:rsidRDefault="00000000">
      <w:pPr>
        <w:spacing w:before="40" w:after="280"/>
        <w:jc w:val="center"/>
      </w:pPr>
      <w:r>
        <w:rPr>
          <w:i/>
          <w:iCs/>
          <w:color w:val="555555"/>
          <w:sz w:val="20"/>
          <w:szCs w:val="20"/>
        </w:rPr>
        <w:t>Figure 6: Improved OCV fit after MSMR optimisation.</w:t>
      </w:r>
    </w:p>
    <w:p w14:paraId="0210DEF5" w14:textId="77777777" w:rsidR="00215F9E" w:rsidRDefault="00000000">
      <w:pPr>
        <w:spacing w:before="120" w:after="200"/>
        <w:jc w:val="center"/>
      </w:pPr>
      <w:r>
        <w:rPr>
          <w:noProof/>
        </w:rPr>
        <w:lastRenderedPageBreak/>
        <w:drawing>
          <wp:inline distT="0" distB="0" distL="0" distR="0" wp14:anchorId="3488D41A" wp14:editId="003DBEA5">
            <wp:extent cx="3200400" cy="1028108"/>
            <wp:effectExtent l="0" t="0" r="0" b="0"/>
            <wp:docPr id="926113632" name="Picture 92611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00400" cy="1028108"/>
                    </a:xfrm>
                    <a:prstGeom prst="rect">
                      <a:avLst/>
                    </a:prstGeom>
                  </pic:spPr>
                </pic:pic>
              </a:graphicData>
            </a:graphic>
          </wp:inline>
        </w:drawing>
      </w:r>
    </w:p>
    <w:p w14:paraId="5C45FDBF" w14:textId="77777777" w:rsidR="00215F9E" w:rsidRDefault="00000000">
      <w:pPr>
        <w:spacing w:before="40" w:after="280"/>
        <w:jc w:val="center"/>
      </w:pPr>
      <w:r>
        <w:rPr>
          <w:i/>
          <w:iCs/>
          <w:color w:val="555555"/>
          <w:sz w:val="20"/>
          <w:szCs w:val="20"/>
        </w:rPr>
        <w:t>Figure 7: RMSE after OCV optimisation.</w:t>
      </w:r>
    </w:p>
    <w:p w14:paraId="042470B1" w14:textId="77777777" w:rsidR="00215F9E" w:rsidRDefault="00000000">
      <w:pPr>
        <w:spacing w:before="80" w:after="120" w:line="312" w:lineRule="auto"/>
      </w:pPr>
      <w:r>
        <w:t>Finding the graphite phases properly using the MSMR model proved to be effective in reducing the OCV error.</w:t>
      </w:r>
    </w:p>
    <w:p w14:paraId="0503FACA" w14:textId="77777777" w:rsidR="00215F9E" w:rsidRDefault="00000000">
      <w:pPr>
        <w:spacing w:before="200" w:after="200"/>
      </w:pPr>
      <w:r>
        <w:rPr>
          <w:i/>
          <w:iCs/>
          <w:sz w:val="20"/>
          <w:szCs w:val="20"/>
        </w:rPr>
        <w:t>Table 2: Parameters adjusted after OCV optimisation.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780"/>
        <w:gridCol w:w="2780"/>
      </w:tblGrid>
      <w:tr w:rsidR="00215F9E" w14:paraId="709433EC"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00" w:type="dxa"/>
              <w:bottom w:w="60" w:type="dxa"/>
              <w:right w:w="100" w:type="dxa"/>
            </w:tcMar>
            <w:vAlign w:val="center"/>
          </w:tcPr>
          <w:p w14:paraId="04B8CB9D" w14:textId="77777777" w:rsidR="00215F9E" w:rsidRDefault="00000000">
            <w:r>
              <w:rPr>
                <w:b/>
                <w:bCs/>
                <w:color w:val="FFFFFF"/>
                <w:sz w:val="20"/>
                <w:szCs w:val="20"/>
              </w:rPr>
              <w:t>Parameter</w:t>
            </w:r>
          </w:p>
        </w:tc>
        <w:tc>
          <w:tcPr>
            <w:tcW w:w="278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00" w:type="dxa"/>
              <w:bottom w:w="60" w:type="dxa"/>
              <w:right w:w="100" w:type="dxa"/>
            </w:tcMar>
            <w:vAlign w:val="center"/>
          </w:tcPr>
          <w:p w14:paraId="4067EA4D" w14:textId="77777777" w:rsidR="00215F9E" w:rsidRDefault="00000000">
            <w:r>
              <w:rPr>
                <w:b/>
                <w:bCs/>
                <w:color w:val="FFFFFF"/>
                <w:sz w:val="20"/>
                <w:szCs w:val="20"/>
              </w:rPr>
              <w:t>Before OCV Opt.</w:t>
            </w:r>
          </w:p>
        </w:tc>
        <w:tc>
          <w:tcPr>
            <w:tcW w:w="278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00" w:type="dxa"/>
              <w:bottom w:w="60" w:type="dxa"/>
              <w:right w:w="100" w:type="dxa"/>
            </w:tcMar>
            <w:vAlign w:val="center"/>
          </w:tcPr>
          <w:p w14:paraId="6D946283" w14:textId="77777777" w:rsidR="00215F9E" w:rsidRDefault="00000000">
            <w:r>
              <w:rPr>
                <w:b/>
                <w:bCs/>
                <w:color w:val="FFFFFF"/>
                <w:sz w:val="20"/>
                <w:szCs w:val="20"/>
              </w:rPr>
              <w:t>After OCV Opt.</w:t>
            </w:r>
          </w:p>
        </w:tc>
      </w:tr>
      <w:tr w:rsidR="00215F9E" w14:paraId="512E8C7A"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098DA27" w14:textId="77777777" w:rsidR="00215F9E" w:rsidRDefault="00000000">
            <w:r>
              <w:rPr>
                <w:sz w:val="20"/>
                <w:szCs w:val="20"/>
              </w:rPr>
              <w:t>Positive electrode thickness [m]</w:t>
            </w:r>
          </w:p>
        </w:tc>
        <w:tc>
          <w:tcPr>
            <w:tcW w:w="2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2F5AF90" w14:textId="77777777" w:rsidR="00215F9E" w:rsidRDefault="00000000">
            <w:r>
              <w:rPr>
                <w:sz w:val="20"/>
                <w:szCs w:val="20"/>
              </w:rPr>
              <w:t>0.0000624</w:t>
            </w:r>
          </w:p>
        </w:tc>
        <w:tc>
          <w:tcPr>
            <w:tcW w:w="2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65CCCEE" w14:textId="77777777" w:rsidR="00215F9E" w:rsidRDefault="00000000">
            <w:r>
              <w:rPr>
                <w:sz w:val="20"/>
                <w:szCs w:val="20"/>
              </w:rPr>
              <w:t>0.0000625</w:t>
            </w:r>
          </w:p>
        </w:tc>
      </w:tr>
      <w:tr w:rsidR="00215F9E" w14:paraId="7B74C128"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01D016DA" w14:textId="77777777" w:rsidR="00215F9E" w:rsidRDefault="00000000">
            <w:r>
              <w:rPr>
                <w:sz w:val="20"/>
                <w:szCs w:val="20"/>
              </w:rPr>
              <w:t>Initial neg SOC fraction</w:t>
            </w:r>
          </w:p>
        </w:tc>
        <w:tc>
          <w:tcPr>
            <w:tcW w:w="278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270961FE" w14:textId="77777777" w:rsidR="00215F9E" w:rsidRDefault="00000000">
            <w:r>
              <w:rPr>
                <w:sz w:val="20"/>
                <w:szCs w:val="20"/>
              </w:rPr>
              <w:t>0.85</w:t>
            </w:r>
          </w:p>
        </w:tc>
        <w:tc>
          <w:tcPr>
            <w:tcW w:w="278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00" w:type="dxa"/>
              <w:bottom w:w="60" w:type="dxa"/>
              <w:right w:w="100" w:type="dxa"/>
            </w:tcMar>
          </w:tcPr>
          <w:p w14:paraId="2E011AFA" w14:textId="77777777" w:rsidR="00215F9E" w:rsidRDefault="00000000">
            <w:r>
              <w:rPr>
                <w:sz w:val="20"/>
                <w:szCs w:val="20"/>
              </w:rPr>
              <w:t>0.76</w:t>
            </w:r>
          </w:p>
        </w:tc>
      </w:tr>
      <w:tr w:rsidR="00215F9E" w14:paraId="3E953A13"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92321A7" w14:textId="77777777" w:rsidR="00215F9E" w:rsidRDefault="00000000">
            <w:r>
              <w:rPr>
                <w:sz w:val="20"/>
                <w:szCs w:val="20"/>
              </w:rPr>
              <w:t xml:space="preserve">Initial </w:t>
            </w:r>
            <w:proofErr w:type="spellStart"/>
            <w:r>
              <w:rPr>
                <w:sz w:val="20"/>
                <w:szCs w:val="20"/>
              </w:rPr>
              <w:t>pos</w:t>
            </w:r>
            <w:proofErr w:type="spellEnd"/>
            <w:r>
              <w:rPr>
                <w:sz w:val="20"/>
                <w:szCs w:val="20"/>
              </w:rPr>
              <w:t xml:space="preserve"> SOC fraction</w:t>
            </w:r>
          </w:p>
        </w:tc>
        <w:tc>
          <w:tcPr>
            <w:tcW w:w="2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3CEE2E6" w14:textId="77777777" w:rsidR="00215F9E" w:rsidRDefault="00000000">
            <w:r>
              <w:rPr>
                <w:sz w:val="20"/>
                <w:szCs w:val="20"/>
              </w:rPr>
              <w:t>0.035</w:t>
            </w:r>
          </w:p>
        </w:tc>
        <w:tc>
          <w:tcPr>
            <w:tcW w:w="2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2E38C97" w14:textId="77777777" w:rsidR="00215F9E" w:rsidRDefault="00000000">
            <w:r>
              <w:rPr>
                <w:sz w:val="20"/>
                <w:szCs w:val="20"/>
              </w:rPr>
              <w:t>0.01</w:t>
            </w:r>
          </w:p>
        </w:tc>
      </w:tr>
    </w:tbl>
    <w:p w14:paraId="7DE1ADBC" w14:textId="77777777" w:rsidR="00215F9E" w:rsidRDefault="00215F9E">
      <w:pPr>
        <w:spacing w:after="200"/>
      </w:pPr>
    </w:p>
    <w:p w14:paraId="55D30666" w14:textId="77777777" w:rsidR="00215F9E" w:rsidRDefault="00000000">
      <w:pPr>
        <w:pStyle w:val="Heading1"/>
      </w:pPr>
      <w:r>
        <w:t>5. C-Rate Validation</w:t>
      </w:r>
    </w:p>
    <w:p w14:paraId="1BA94FB3" w14:textId="77777777" w:rsidR="00215F9E" w:rsidRDefault="00000000">
      <w:pPr>
        <w:spacing w:before="80" w:after="120" w:line="312" w:lineRule="auto"/>
      </w:pPr>
      <w:r>
        <w:t>High C-rate charge–discharge simulations were run at 1C, 2C, 3C, and 4C to validate the parameterised model against experimental data.</w:t>
      </w:r>
    </w:p>
    <w:p w14:paraId="496334EF" w14:textId="77777777" w:rsidR="00215F9E" w:rsidRDefault="00000000">
      <w:pPr>
        <w:pStyle w:val="Heading2"/>
      </w:pPr>
      <w:r>
        <w:t>5.1 1C Charge–Discharge</w:t>
      </w:r>
    </w:p>
    <w:p w14:paraId="7DF2836C" w14:textId="77777777" w:rsidR="00215F9E" w:rsidRDefault="00000000">
      <w:pPr>
        <w:spacing w:before="120" w:after="200"/>
        <w:jc w:val="center"/>
      </w:pPr>
      <w:r>
        <w:rPr>
          <w:noProof/>
        </w:rPr>
        <w:drawing>
          <wp:inline distT="0" distB="0" distL="0" distR="0" wp14:anchorId="5BC76135" wp14:editId="0AE920F9">
            <wp:extent cx="4114800" cy="3141806"/>
            <wp:effectExtent l="0" t="0" r="0" b="0"/>
            <wp:docPr id="490328558" name="Picture 490328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14800" cy="3141806"/>
                    </a:xfrm>
                    <a:prstGeom prst="rect">
                      <a:avLst/>
                    </a:prstGeom>
                  </pic:spPr>
                </pic:pic>
              </a:graphicData>
            </a:graphic>
          </wp:inline>
        </w:drawing>
      </w:r>
    </w:p>
    <w:p w14:paraId="5BA8B4D4" w14:textId="77777777" w:rsidR="00215F9E" w:rsidRDefault="00000000">
      <w:pPr>
        <w:spacing w:before="120" w:after="200"/>
        <w:jc w:val="center"/>
      </w:pPr>
      <w:r>
        <w:rPr>
          <w:noProof/>
        </w:rPr>
        <w:lastRenderedPageBreak/>
        <w:drawing>
          <wp:inline distT="0" distB="0" distL="0" distR="0" wp14:anchorId="2CA2B5D8" wp14:editId="7926DA96">
            <wp:extent cx="5029200" cy="2615689"/>
            <wp:effectExtent l="0" t="0" r="0" b="0"/>
            <wp:docPr id="850812641" name="Picture 85081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2615689"/>
                    </a:xfrm>
                    <a:prstGeom prst="rect">
                      <a:avLst/>
                    </a:prstGeom>
                  </pic:spPr>
                </pic:pic>
              </a:graphicData>
            </a:graphic>
          </wp:inline>
        </w:drawing>
      </w:r>
    </w:p>
    <w:p w14:paraId="722E06C0" w14:textId="77777777" w:rsidR="00215F9E" w:rsidRDefault="00000000">
      <w:pPr>
        <w:spacing w:before="40" w:after="280"/>
        <w:jc w:val="center"/>
      </w:pPr>
      <w:r>
        <w:rPr>
          <w:i/>
          <w:iCs/>
          <w:color w:val="555555"/>
          <w:sz w:val="20"/>
          <w:szCs w:val="20"/>
        </w:rPr>
        <w:t>Figure 8: 1C charge–discharge comparison (experiment vs. simulation).</w:t>
      </w:r>
    </w:p>
    <w:p w14:paraId="6AC5D681" w14:textId="77777777" w:rsidR="00215F9E" w:rsidRDefault="00000000">
      <w:pPr>
        <w:pStyle w:val="Heading2"/>
      </w:pPr>
      <w:r>
        <w:t>5.2 2C Charge–Discharge</w:t>
      </w:r>
    </w:p>
    <w:p w14:paraId="42C2FC4A" w14:textId="77777777" w:rsidR="00215F9E" w:rsidRDefault="00000000">
      <w:pPr>
        <w:spacing w:before="120" w:after="200"/>
        <w:jc w:val="center"/>
      </w:pPr>
      <w:r>
        <w:rPr>
          <w:noProof/>
        </w:rPr>
        <w:drawing>
          <wp:inline distT="0" distB="0" distL="0" distR="0" wp14:anchorId="629C9265" wp14:editId="2BA907BB">
            <wp:extent cx="4114800" cy="3033920"/>
            <wp:effectExtent l="0" t="0" r="0" b="0"/>
            <wp:docPr id="2123091330" name="Picture 2123091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14800" cy="3033920"/>
                    </a:xfrm>
                    <a:prstGeom prst="rect">
                      <a:avLst/>
                    </a:prstGeom>
                  </pic:spPr>
                </pic:pic>
              </a:graphicData>
            </a:graphic>
          </wp:inline>
        </w:drawing>
      </w:r>
    </w:p>
    <w:p w14:paraId="4D556C3D" w14:textId="77777777" w:rsidR="00215F9E" w:rsidRDefault="00000000">
      <w:pPr>
        <w:spacing w:before="120" w:after="200"/>
        <w:jc w:val="center"/>
      </w:pPr>
      <w:r>
        <w:rPr>
          <w:noProof/>
        </w:rPr>
        <w:lastRenderedPageBreak/>
        <w:drawing>
          <wp:inline distT="0" distB="0" distL="0" distR="0" wp14:anchorId="0E9A5F03" wp14:editId="533BB3E8">
            <wp:extent cx="5029200" cy="2691232"/>
            <wp:effectExtent l="0" t="0" r="0" b="0"/>
            <wp:docPr id="1189874943" name="Picture 1189874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29200" cy="2691232"/>
                    </a:xfrm>
                    <a:prstGeom prst="rect">
                      <a:avLst/>
                    </a:prstGeom>
                  </pic:spPr>
                </pic:pic>
              </a:graphicData>
            </a:graphic>
          </wp:inline>
        </w:drawing>
      </w:r>
    </w:p>
    <w:p w14:paraId="61263354" w14:textId="77777777" w:rsidR="00215F9E" w:rsidRDefault="00000000">
      <w:pPr>
        <w:spacing w:before="40" w:after="280"/>
        <w:jc w:val="center"/>
      </w:pPr>
      <w:r>
        <w:rPr>
          <w:i/>
          <w:iCs/>
          <w:color w:val="555555"/>
          <w:sz w:val="20"/>
          <w:szCs w:val="20"/>
        </w:rPr>
        <w:t>Figure 9: 2C charge–discharge comparison.</w:t>
      </w:r>
    </w:p>
    <w:p w14:paraId="118C0F2F" w14:textId="77777777" w:rsidR="00215F9E" w:rsidRDefault="00000000">
      <w:pPr>
        <w:pStyle w:val="Heading2"/>
      </w:pPr>
      <w:r>
        <w:t>5.3 3C Charge–Discharge</w:t>
      </w:r>
    </w:p>
    <w:p w14:paraId="452F469B" w14:textId="77777777" w:rsidR="00215F9E" w:rsidRDefault="00000000">
      <w:pPr>
        <w:spacing w:before="120" w:after="200"/>
        <w:jc w:val="center"/>
      </w:pPr>
      <w:r>
        <w:rPr>
          <w:noProof/>
        </w:rPr>
        <w:drawing>
          <wp:inline distT="0" distB="0" distL="0" distR="0" wp14:anchorId="34719F80" wp14:editId="0600D1A3">
            <wp:extent cx="4114800" cy="2936044"/>
            <wp:effectExtent l="0" t="0" r="0" b="0"/>
            <wp:docPr id="1174020752" name="Picture 1174020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14800" cy="2936044"/>
                    </a:xfrm>
                    <a:prstGeom prst="rect">
                      <a:avLst/>
                    </a:prstGeom>
                  </pic:spPr>
                </pic:pic>
              </a:graphicData>
            </a:graphic>
          </wp:inline>
        </w:drawing>
      </w:r>
    </w:p>
    <w:p w14:paraId="41B47B8E" w14:textId="77777777" w:rsidR="00215F9E" w:rsidRDefault="00000000">
      <w:pPr>
        <w:spacing w:before="120" w:after="200"/>
        <w:jc w:val="center"/>
      </w:pPr>
      <w:r>
        <w:rPr>
          <w:noProof/>
        </w:rPr>
        <w:lastRenderedPageBreak/>
        <w:drawing>
          <wp:inline distT="0" distB="0" distL="0" distR="0" wp14:anchorId="68770F69" wp14:editId="3A972E00">
            <wp:extent cx="5029200" cy="2693981"/>
            <wp:effectExtent l="0" t="0" r="0" b="0"/>
            <wp:docPr id="1450904905" name="Picture 1450904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29200" cy="2693981"/>
                    </a:xfrm>
                    <a:prstGeom prst="rect">
                      <a:avLst/>
                    </a:prstGeom>
                  </pic:spPr>
                </pic:pic>
              </a:graphicData>
            </a:graphic>
          </wp:inline>
        </w:drawing>
      </w:r>
    </w:p>
    <w:p w14:paraId="43F4C8DB" w14:textId="77777777" w:rsidR="00215F9E" w:rsidRDefault="00000000">
      <w:pPr>
        <w:spacing w:before="40" w:after="280"/>
        <w:jc w:val="center"/>
      </w:pPr>
      <w:r>
        <w:rPr>
          <w:i/>
          <w:iCs/>
          <w:color w:val="555555"/>
          <w:sz w:val="20"/>
          <w:szCs w:val="20"/>
        </w:rPr>
        <w:t>Figure 10: 3C charge–discharge comparison.</w:t>
      </w:r>
    </w:p>
    <w:p w14:paraId="20CA6455" w14:textId="77777777" w:rsidR="00215F9E" w:rsidRDefault="00000000">
      <w:pPr>
        <w:pStyle w:val="Heading2"/>
      </w:pPr>
      <w:r>
        <w:t>5.4 4C Charge–Discharge</w:t>
      </w:r>
    </w:p>
    <w:p w14:paraId="0F77E481" w14:textId="77777777" w:rsidR="00215F9E" w:rsidRDefault="00000000">
      <w:pPr>
        <w:spacing w:before="120" w:after="200"/>
        <w:jc w:val="center"/>
      </w:pPr>
      <w:r>
        <w:rPr>
          <w:noProof/>
        </w:rPr>
        <w:drawing>
          <wp:inline distT="0" distB="0" distL="0" distR="0" wp14:anchorId="54CC7D55" wp14:editId="43F0FCB9">
            <wp:extent cx="4114800" cy="3016544"/>
            <wp:effectExtent l="0" t="0" r="0" b="0"/>
            <wp:docPr id="1856355252" name="Picture 1856355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14800" cy="3016544"/>
                    </a:xfrm>
                    <a:prstGeom prst="rect">
                      <a:avLst/>
                    </a:prstGeom>
                  </pic:spPr>
                </pic:pic>
              </a:graphicData>
            </a:graphic>
          </wp:inline>
        </w:drawing>
      </w:r>
    </w:p>
    <w:p w14:paraId="0585D141" w14:textId="77777777" w:rsidR="00215F9E" w:rsidRDefault="00000000">
      <w:pPr>
        <w:spacing w:before="120" w:after="200"/>
        <w:jc w:val="center"/>
      </w:pPr>
      <w:r>
        <w:rPr>
          <w:noProof/>
        </w:rPr>
        <w:lastRenderedPageBreak/>
        <w:drawing>
          <wp:inline distT="0" distB="0" distL="0" distR="0" wp14:anchorId="0F1C0CB1" wp14:editId="421FA0B7">
            <wp:extent cx="5029200" cy="2638056"/>
            <wp:effectExtent l="0" t="0" r="0" b="0"/>
            <wp:docPr id="595964059" name="Picture 595964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29200" cy="2638056"/>
                    </a:xfrm>
                    <a:prstGeom prst="rect">
                      <a:avLst/>
                    </a:prstGeom>
                  </pic:spPr>
                </pic:pic>
              </a:graphicData>
            </a:graphic>
          </wp:inline>
        </w:drawing>
      </w:r>
    </w:p>
    <w:p w14:paraId="79B95A6A" w14:textId="77777777" w:rsidR="00215F9E" w:rsidRDefault="00000000">
      <w:pPr>
        <w:spacing w:before="40" w:after="280"/>
        <w:jc w:val="center"/>
      </w:pPr>
      <w:r>
        <w:rPr>
          <w:i/>
          <w:iCs/>
          <w:color w:val="555555"/>
          <w:sz w:val="20"/>
          <w:szCs w:val="20"/>
        </w:rPr>
        <w:t>Figure 11: 4C charge–discharge comparison.</w:t>
      </w:r>
    </w:p>
    <w:p w14:paraId="56CE905D" w14:textId="77777777" w:rsidR="00215F9E" w:rsidRDefault="00000000">
      <w:pPr>
        <w:pStyle w:val="Heading2"/>
      </w:pPr>
      <w:r>
        <w:t>5.5 HPPC Result (Pre-Optimisation)</w:t>
      </w:r>
    </w:p>
    <w:p w14:paraId="4D85235D" w14:textId="77777777" w:rsidR="00215F9E" w:rsidRDefault="00000000">
      <w:pPr>
        <w:spacing w:before="120" w:after="200"/>
        <w:jc w:val="center"/>
      </w:pPr>
      <w:r>
        <w:rPr>
          <w:noProof/>
        </w:rPr>
        <w:drawing>
          <wp:inline distT="0" distB="0" distL="0" distR="0" wp14:anchorId="52657215" wp14:editId="18D67529">
            <wp:extent cx="5029200" cy="2665897"/>
            <wp:effectExtent l="0" t="0" r="0" b="0"/>
            <wp:docPr id="1193739400" name="Picture 1193739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029200" cy="2665897"/>
                    </a:xfrm>
                    <a:prstGeom prst="rect">
                      <a:avLst/>
                    </a:prstGeom>
                  </pic:spPr>
                </pic:pic>
              </a:graphicData>
            </a:graphic>
          </wp:inline>
        </w:drawing>
      </w:r>
    </w:p>
    <w:p w14:paraId="07AA8FFD" w14:textId="77777777" w:rsidR="00215F9E" w:rsidRDefault="00000000">
      <w:pPr>
        <w:spacing w:before="40" w:after="280"/>
        <w:jc w:val="center"/>
        <w:rPr>
          <w:i/>
          <w:iCs/>
          <w:color w:val="555555"/>
          <w:sz w:val="20"/>
          <w:szCs w:val="20"/>
        </w:rPr>
      </w:pPr>
      <w:r>
        <w:rPr>
          <w:i/>
          <w:iCs/>
          <w:color w:val="555555"/>
          <w:sz w:val="20"/>
          <w:szCs w:val="20"/>
        </w:rPr>
        <w:t>Figure 12: HPPC simulation result before automated optimisation.</w:t>
      </w:r>
    </w:p>
    <w:p w14:paraId="3B0C19C0" w14:textId="77777777" w:rsidR="00700452" w:rsidRDefault="00700452">
      <w:pPr>
        <w:spacing w:before="40" w:after="280"/>
        <w:jc w:val="center"/>
        <w:rPr>
          <w:i/>
          <w:iCs/>
          <w:color w:val="555555"/>
          <w:sz w:val="20"/>
          <w:szCs w:val="20"/>
        </w:rPr>
      </w:pPr>
    </w:p>
    <w:p w14:paraId="1A7A4364" w14:textId="77777777" w:rsidR="00700452" w:rsidRDefault="00700452">
      <w:pPr>
        <w:spacing w:before="40" w:after="280"/>
        <w:jc w:val="center"/>
        <w:rPr>
          <w:i/>
          <w:iCs/>
          <w:color w:val="555555"/>
          <w:sz w:val="20"/>
          <w:szCs w:val="20"/>
        </w:rPr>
      </w:pPr>
    </w:p>
    <w:p w14:paraId="1B2E1890" w14:textId="77777777" w:rsidR="00700452" w:rsidRDefault="00700452">
      <w:pPr>
        <w:spacing w:before="40" w:after="280"/>
        <w:jc w:val="center"/>
        <w:rPr>
          <w:i/>
          <w:iCs/>
          <w:color w:val="555555"/>
          <w:sz w:val="20"/>
          <w:szCs w:val="20"/>
        </w:rPr>
      </w:pPr>
    </w:p>
    <w:p w14:paraId="5456B6F3" w14:textId="77777777" w:rsidR="00700452" w:rsidRDefault="00700452">
      <w:pPr>
        <w:spacing w:before="40" w:after="280"/>
        <w:jc w:val="center"/>
        <w:rPr>
          <w:i/>
          <w:iCs/>
          <w:color w:val="555555"/>
          <w:sz w:val="20"/>
          <w:szCs w:val="20"/>
        </w:rPr>
      </w:pPr>
    </w:p>
    <w:p w14:paraId="54DD8F69" w14:textId="77777777" w:rsidR="00700452" w:rsidRDefault="00700452">
      <w:pPr>
        <w:spacing w:before="40" w:after="280"/>
        <w:jc w:val="center"/>
      </w:pPr>
    </w:p>
    <w:p w14:paraId="35629149" w14:textId="59B484D1" w:rsidR="00215F9E" w:rsidRDefault="00000000">
      <w:pPr>
        <w:pStyle w:val="Heading2"/>
      </w:pPr>
      <w:r>
        <w:lastRenderedPageBreak/>
        <w:t>5.6 Error Analysis</w:t>
      </w:r>
    </w:p>
    <w:p w14:paraId="216C7616" w14:textId="77777777" w:rsidR="00215F9E" w:rsidRDefault="00000000">
      <w:pPr>
        <w:spacing w:before="120" w:after="200"/>
        <w:jc w:val="center"/>
      </w:pPr>
      <w:r>
        <w:rPr>
          <w:noProof/>
        </w:rPr>
        <w:drawing>
          <wp:inline distT="0" distB="0" distL="0" distR="0" wp14:anchorId="76595E16" wp14:editId="5D7B7B09">
            <wp:extent cx="5029200" cy="2645960"/>
            <wp:effectExtent l="0" t="0" r="0" b="0"/>
            <wp:docPr id="649289967" name="Picture 649289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029200" cy="2645960"/>
                    </a:xfrm>
                    <a:prstGeom prst="rect">
                      <a:avLst/>
                    </a:prstGeom>
                  </pic:spPr>
                </pic:pic>
              </a:graphicData>
            </a:graphic>
          </wp:inline>
        </w:drawing>
      </w:r>
    </w:p>
    <w:p w14:paraId="58FAF84B" w14:textId="77777777" w:rsidR="00215F9E" w:rsidRDefault="00000000">
      <w:pPr>
        <w:spacing w:before="40" w:after="280"/>
        <w:jc w:val="center"/>
      </w:pPr>
      <w:r>
        <w:rPr>
          <w:i/>
          <w:iCs/>
          <w:color w:val="555555"/>
          <w:sz w:val="20"/>
          <w:szCs w:val="20"/>
        </w:rPr>
        <w:t>Figure 13: Error analysis across C-rates.</w:t>
      </w:r>
    </w:p>
    <w:p w14:paraId="2F1427F8" w14:textId="77777777" w:rsidR="00215F9E" w:rsidRDefault="00000000">
      <w:pPr>
        <w:spacing w:before="80" w:after="120" w:line="312" w:lineRule="auto"/>
      </w:pPr>
      <w:r>
        <w:t>High C-rate charging consistently placed the simulated voltage on the higher side, resulting in a slow, gradual departure from the experimental voltage trajectory.</w:t>
      </w:r>
    </w:p>
    <w:p w14:paraId="334E1CF3" w14:textId="77777777" w:rsidR="00215F9E" w:rsidRDefault="00000000">
      <w:r>
        <w:br w:type="page"/>
      </w:r>
    </w:p>
    <w:p w14:paraId="56B97789" w14:textId="77777777" w:rsidR="00215F9E" w:rsidRDefault="00000000">
      <w:pPr>
        <w:pStyle w:val="Heading1"/>
      </w:pPr>
      <w:r>
        <w:lastRenderedPageBreak/>
        <w:t>6. Automated Parameter Optimiser</w:t>
      </w:r>
    </w:p>
    <w:p w14:paraId="242B93C5" w14:textId="77777777" w:rsidR="00215F9E" w:rsidRDefault="00000000">
      <w:pPr>
        <w:pStyle w:val="Heading3"/>
      </w:pPr>
      <w:r>
        <w:t>Layer 1 — Data Loading</w:t>
      </w:r>
    </w:p>
    <w:p w14:paraId="36D0AD9B" w14:textId="77777777" w:rsidR="00215F9E" w:rsidRDefault="00000000">
      <w:pPr>
        <w:spacing w:before="80" w:after="120" w:line="312" w:lineRule="auto"/>
      </w:pPr>
      <w:r>
        <w:t xml:space="preserve">The script loads experimental voltage-vs-time curves for five C-rates (1D, 1C, 2C, 3C, 4C) from the interpolated Excel file, sub-sampled to approximately 400 points each for speed. It also loads the graphite OCP lookup table from Hunan_interpolated.xlsx. The LFP positive electrode OCP is </w:t>
      </w:r>
      <w:proofErr w:type="gramStart"/>
      <w:r>
        <w:t>hard-coded</w:t>
      </w:r>
      <w:proofErr w:type="gramEnd"/>
      <w:r>
        <w:t xml:space="preserve"> as the Afshar (2017) analytical function and is not optimised.</w:t>
      </w:r>
    </w:p>
    <w:p w14:paraId="7EA0E042" w14:textId="77777777" w:rsidR="00215F9E" w:rsidRDefault="00000000">
      <w:pPr>
        <w:pStyle w:val="Heading3"/>
      </w:pPr>
      <w:r>
        <w:t>Layer 2 — Parameter Vector (55 Unknowns)</w:t>
      </w:r>
    </w:p>
    <w:p w14:paraId="7CC832B8" w14:textId="77777777" w:rsidR="00215F9E" w:rsidRDefault="00000000">
      <w:pPr>
        <w:spacing w:before="80" w:after="120" w:line="312" w:lineRule="auto"/>
      </w:pPr>
      <w:r>
        <w:t xml:space="preserve">All </w:t>
      </w:r>
      <w:proofErr w:type="spellStart"/>
      <w:r>
        <w:t>tunable</w:t>
      </w:r>
      <w:proofErr w:type="spellEnd"/>
      <w:r>
        <w:t xml:space="preserve"> physics is flattened into a single 55-element array with named bounds. This covers geometry (8 parameters), negative electrode properties (6), positive electrode properties (6), separator/electrolyte/thermal (5), exchange current density and activation energies (4 each for neg/</w:t>
      </w:r>
      <w:proofErr w:type="spellStart"/>
      <w:r>
        <w:t>pos</w:t>
      </w:r>
      <w:proofErr w:type="spellEnd"/>
      <w:r>
        <w:t>), solid diffusivities (4), electrolyte conductivity scaling (1), the MSMR gallery for graphite OCV (21 parameters: 7 each for U₀, X, and ω), and initial SOC stoichiometries (4: separate for discharge and charge start).</w:t>
      </w:r>
    </w:p>
    <w:p w14:paraId="274EA8AB" w14:textId="77777777" w:rsidR="00215F9E" w:rsidRDefault="00000000">
      <w:pPr>
        <w:pStyle w:val="Heading3"/>
      </w:pPr>
      <w:r>
        <w:t>Layer 3 — Simulation Engine</w:t>
      </w:r>
    </w:p>
    <w:p w14:paraId="0FA96A49" w14:textId="77777777" w:rsidR="00215F9E" w:rsidRDefault="00000000">
      <w:pPr>
        <w:spacing w:before="80" w:after="120" w:line="312" w:lineRule="auto"/>
      </w:pPr>
      <w:r>
        <w:t xml:space="preserve">For each C-rate evaluation, </w:t>
      </w:r>
      <w:proofErr w:type="spellStart"/>
      <w:r>
        <w:t>build_pybamm_params</w:t>
      </w:r>
      <w:proofErr w:type="spellEnd"/>
      <w:r>
        <w:t xml:space="preserve"> takes the 55-element vector and: (a) reconstructs the graphite OCV from the MSMR gallery parameters using a stable logistic/tanh formulation, (b) creates Python closures capturing the current kinetic and diffusivity parameters, and (c) assembles the full </w:t>
      </w:r>
      <w:proofErr w:type="spellStart"/>
      <w:r>
        <w:t>PyBaMM</w:t>
      </w:r>
      <w:proofErr w:type="spellEnd"/>
      <w:r>
        <w:t xml:space="preserve"> </w:t>
      </w:r>
      <w:proofErr w:type="spellStart"/>
      <w:r>
        <w:t>ParameterValues</w:t>
      </w:r>
      <w:proofErr w:type="spellEnd"/>
      <w:r>
        <w:t xml:space="preserve"> dictionary. It then builds a fresh DFN model (lumped thermal, symmetric Butler–Volmer, single-phase) and solves using the </w:t>
      </w:r>
      <w:proofErr w:type="spellStart"/>
      <w:r>
        <w:t>IDAKLUSolver</w:t>
      </w:r>
      <w:proofErr w:type="spellEnd"/>
      <w:r>
        <w:t>. The experiment definitions differ per rate — 1D is a simple CC discharge, while 1C–4C are CC–CV charge protocols.</w:t>
      </w:r>
    </w:p>
    <w:p w14:paraId="715F34E7" w14:textId="77777777" w:rsidR="00215F9E" w:rsidRDefault="00000000">
      <w:pPr>
        <w:pStyle w:val="Heading3"/>
      </w:pPr>
      <w:r>
        <w:t>Layer 4 — Cost Function</w:t>
      </w:r>
    </w:p>
    <w:p w14:paraId="6C7D7F92" w14:textId="77777777" w:rsidR="00215F9E" w:rsidRDefault="00000000">
      <w:pPr>
        <w:spacing w:before="80" w:after="120" w:line="312" w:lineRule="auto"/>
      </w:pPr>
      <w:r>
        <w:t>The simulated voltage curve is interpolated onto the experimental time grid using interp1d, and RMSE is computed over the overlapping time window. If a simulation fails (solver crash or unphysical parameters), a penalty of 1.0 V RMSE is returned. The total objective is the weighted sum of RMSE across all five C-rates (currently equal weights of 1.0 each).</w:t>
      </w:r>
    </w:p>
    <w:p w14:paraId="2593F568" w14:textId="77777777" w:rsidR="00215F9E" w:rsidRDefault="00000000">
      <w:pPr>
        <w:pStyle w:val="Heading3"/>
      </w:pPr>
      <w:r>
        <w:t>Layer 5 — Two-Phase Optimiser</w:t>
      </w:r>
    </w:p>
    <w:p w14:paraId="383A69E1" w14:textId="77777777" w:rsidR="00215F9E" w:rsidRDefault="00000000">
      <w:pPr>
        <w:spacing w:before="80" w:after="120" w:line="312" w:lineRule="auto"/>
      </w:pPr>
      <w:r>
        <w:rPr>
          <w:b/>
          <w:bCs/>
        </w:rPr>
        <w:t>Phase 1 (Powell):</w:t>
      </w:r>
    </w:p>
    <w:p w14:paraId="33FCA113" w14:textId="77777777" w:rsidR="00215F9E" w:rsidRDefault="00000000">
      <w:pPr>
        <w:spacing w:before="80" w:after="120" w:line="312" w:lineRule="auto"/>
      </w:pPr>
      <w:r>
        <w:t>A fast local optimiser starts from the nominal (hand-tuned) parameter values. It is gradient-free and bounded, so it quickly refines the neighbourhood of the initial guess. This acts as a “warm start” — it finds a reasonable local minimum at low computational cost.</w:t>
      </w:r>
    </w:p>
    <w:p w14:paraId="7DBC228D" w14:textId="77777777" w:rsidR="00215F9E" w:rsidRDefault="00000000">
      <w:pPr>
        <w:spacing w:before="80" w:after="120" w:line="312" w:lineRule="auto"/>
      </w:pPr>
      <w:r>
        <w:rPr>
          <w:b/>
          <w:bCs/>
        </w:rPr>
        <w:t>Phase 2 (Differential Evolution):</w:t>
      </w:r>
    </w:p>
    <w:p w14:paraId="35867475" w14:textId="77777777" w:rsidR="00215F9E" w:rsidRDefault="00000000">
      <w:pPr>
        <w:spacing w:before="80" w:after="120" w:line="312" w:lineRule="auto"/>
      </w:pPr>
      <w:r>
        <w:lastRenderedPageBreak/>
        <w:t>A global stochastic optimiser that explores the full bounded parameter space. It is seeded with the Phase 1 result via x0=</w:t>
      </w:r>
      <w:proofErr w:type="spellStart"/>
      <w:r>
        <w:t>p_local</w:t>
      </w:r>
      <w:proofErr w:type="spellEnd"/>
      <w:r>
        <w:t xml:space="preserve">, so the initial population already includes a good solution. With </w:t>
      </w:r>
      <w:proofErr w:type="spellStart"/>
      <w:r>
        <w:t>popsize</w:t>
      </w:r>
      <w:proofErr w:type="spellEnd"/>
      <w:r>
        <w:t xml:space="preserve">=8 and </w:t>
      </w:r>
      <w:proofErr w:type="spellStart"/>
      <w:r>
        <w:t>maxiter</w:t>
      </w:r>
      <w:proofErr w:type="spellEnd"/>
      <w:r>
        <w:t>=80, it balances exploration against compute cost.</w:t>
      </w:r>
    </w:p>
    <w:p w14:paraId="022E8273" w14:textId="77777777" w:rsidR="00215F9E" w:rsidRDefault="00000000">
      <w:pPr>
        <w:spacing w:before="80" w:after="120" w:line="312" w:lineRule="auto"/>
      </w:pPr>
      <w:r>
        <w:rPr>
          <w:b/>
          <w:bCs/>
        </w:rPr>
        <w:t>Feedback Loop:</w:t>
      </w:r>
    </w:p>
    <w:p w14:paraId="4D4F365D" w14:textId="77777777" w:rsidR="00215F9E" w:rsidRDefault="00000000">
      <w:pPr>
        <w:spacing w:before="80" w:after="120" w:line="312" w:lineRule="auto"/>
      </w:pPr>
      <w:r>
        <w:t xml:space="preserve">Each optimiser evaluation calls the objective function, which runs all five </w:t>
      </w:r>
      <w:proofErr w:type="spellStart"/>
      <w:r>
        <w:t>PyBaMM</w:t>
      </w:r>
      <w:proofErr w:type="spellEnd"/>
      <w:r>
        <w:t xml:space="preserve"> simulations, computes five RMSEs, and returns the total cost. The optimiser then proposes a new parameter vector, and the cycle repeats. The best parameters are saved to JSON, and comparison plots are generated at the end.</w:t>
      </w:r>
    </w:p>
    <w:p w14:paraId="72E57DA7" w14:textId="77777777" w:rsidR="00215F9E" w:rsidRDefault="00000000">
      <w:pPr>
        <w:pStyle w:val="Heading1"/>
      </w:pPr>
      <w:r>
        <w:t>7. Optimised Results</w:t>
      </w:r>
    </w:p>
    <w:p w14:paraId="691267C7" w14:textId="77777777" w:rsidR="00215F9E" w:rsidRDefault="00000000">
      <w:pPr>
        <w:spacing w:before="80" w:after="120" w:line="312" w:lineRule="auto"/>
      </w:pPr>
      <w:r>
        <w:t>After automated optimisation, the RMSE for every C-rate came under 25 mV:</w:t>
      </w:r>
    </w:p>
    <w:p w14:paraId="02241DBB" w14:textId="77777777" w:rsidR="00215F9E" w:rsidRDefault="00000000">
      <w:pPr>
        <w:spacing w:before="120" w:after="200"/>
        <w:jc w:val="center"/>
      </w:pPr>
      <w:r>
        <w:rPr>
          <w:noProof/>
        </w:rPr>
        <w:drawing>
          <wp:inline distT="0" distB="0" distL="0" distR="0" wp14:anchorId="652BEAA6" wp14:editId="60D5CF19">
            <wp:extent cx="5029200" cy="1907891"/>
            <wp:effectExtent l="0" t="0" r="0" b="0"/>
            <wp:docPr id="159382242" name="Picture 15938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029200" cy="1907891"/>
                    </a:xfrm>
                    <a:prstGeom prst="rect">
                      <a:avLst/>
                    </a:prstGeom>
                  </pic:spPr>
                </pic:pic>
              </a:graphicData>
            </a:graphic>
          </wp:inline>
        </w:drawing>
      </w:r>
    </w:p>
    <w:p w14:paraId="3E9539A5" w14:textId="77777777" w:rsidR="00215F9E" w:rsidRDefault="00000000">
      <w:pPr>
        <w:spacing w:before="120" w:after="200"/>
        <w:jc w:val="center"/>
      </w:pPr>
      <w:r>
        <w:rPr>
          <w:noProof/>
        </w:rPr>
        <w:drawing>
          <wp:inline distT="0" distB="0" distL="0" distR="0" wp14:anchorId="0576E866" wp14:editId="3DBE3D43">
            <wp:extent cx="5029200" cy="1977911"/>
            <wp:effectExtent l="0" t="0" r="0" b="0"/>
            <wp:docPr id="370252583" name="Picture 37025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029200" cy="1977911"/>
                    </a:xfrm>
                    <a:prstGeom prst="rect">
                      <a:avLst/>
                    </a:prstGeom>
                  </pic:spPr>
                </pic:pic>
              </a:graphicData>
            </a:graphic>
          </wp:inline>
        </w:drawing>
      </w:r>
    </w:p>
    <w:p w14:paraId="7DD136F2" w14:textId="77777777" w:rsidR="00215F9E" w:rsidRDefault="00000000">
      <w:pPr>
        <w:spacing w:before="120" w:after="200"/>
        <w:jc w:val="center"/>
      </w:pPr>
      <w:r>
        <w:rPr>
          <w:noProof/>
        </w:rPr>
        <w:lastRenderedPageBreak/>
        <w:drawing>
          <wp:inline distT="0" distB="0" distL="0" distR="0" wp14:anchorId="4641139F" wp14:editId="499AA443">
            <wp:extent cx="4114800" cy="3299728"/>
            <wp:effectExtent l="0" t="0" r="0" b="0"/>
            <wp:docPr id="96709959" name="Picture 9670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14800" cy="3299728"/>
                    </a:xfrm>
                    <a:prstGeom prst="rect">
                      <a:avLst/>
                    </a:prstGeom>
                  </pic:spPr>
                </pic:pic>
              </a:graphicData>
            </a:graphic>
          </wp:inline>
        </w:drawing>
      </w:r>
    </w:p>
    <w:p w14:paraId="5E35E81C" w14:textId="77777777" w:rsidR="00215F9E" w:rsidRDefault="00000000">
      <w:pPr>
        <w:spacing w:before="40" w:after="280"/>
        <w:jc w:val="center"/>
      </w:pPr>
      <w:r>
        <w:rPr>
          <w:i/>
          <w:iCs/>
          <w:color w:val="555555"/>
          <w:sz w:val="20"/>
          <w:szCs w:val="20"/>
        </w:rPr>
        <w:t>Figure 14: Optimised simulation results across all C-rates (≤ 25 mV RMSE).</w:t>
      </w:r>
    </w:p>
    <w:p w14:paraId="5516604C" w14:textId="77777777" w:rsidR="00215F9E" w:rsidRDefault="00000000">
      <w:pPr>
        <w:spacing w:before="80" w:after="120" w:line="312" w:lineRule="auto"/>
      </w:pPr>
      <w:r>
        <w:t>The updated OCV capacity converged to approximately 2.57 Ah, which is very close to the reported OCV capacity:</w:t>
      </w:r>
    </w:p>
    <w:p w14:paraId="5679338D" w14:textId="77777777" w:rsidR="00215F9E" w:rsidRDefault="00000000">
      <w:pPr>
        <w:spacing w:before="120" w:after="200"/>
        <w:jc w:val="center"/>
      </w:pPr>
      <w:r>
        <w:rPr>
          <w:noProof/>
        </w:rPr>
        <w:drawing>
          <wp:inline distT="0" distB="0" distL="0" distR="0" wp14:anchorId="4C9C6E96" wp14:editId="044803A9">
            <wp:extent cx="5498011" cy="1821180"/>
            <wp:effectExtent l="0" t="0" r="7620" b="7620"/>
            <wp:docPr id="1828953709" name="Picture 1828953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04663" cy="1823384"/>
                    </a:xfrm>
                    <a:prstGeom prst="rect">
                      <a:avLst/>
                    </a:prstGeom>
                  </pic:spPr>
                </pic:pic>
              </a:graphicData>
            </a:graphic>
          </wp:inline>
        </w:drawing>
      </w:r>
    </w:p>
    <w:p w14:paraId="02BB904D" w14:textId="31D47E82" w:rsidR="00215F9E" w:rsidRDefault="00000000">
      <w:pPr>
        <w:spacing w:before="40" w:after="280"/>
        <w:jc w:val="center"/>
      </w:pPr>
      <w:r>
        <w:rPr>
          <w:i/>
          <w:iCs/>
          <w:color w:val="555555"/>
          <w:sz w:val="20"/>
          <w:szCs w:val="20"/>
        </w:rPr>
        <w:t xml:space="preserve">Figure 15: </w:t>
      </w:r>
      <w:r w:rsidR="00700452">
        <w:rPr>
          <w:i/>
          <w:iCs/>
          <w:color w:val="555555"/>
          <w:sz w:val="20"/>
          <w:szCs w:val="20"/>
        </w:rPr>
        <w:t>website</w:t>
      </w:r>
      <w:r>
        <w:rPr>
          <w:i/>
          <w:iCs/>
          <w:color w:val="555555"/>
          <w:sz w:val="20"/>
          <w:szCs w:val="20"/>
        </w:rPr>
        <w:t xml:space="preserve"> OCV capacity result.</w:t>
      </w:r>
    </w:p>
    <w:p w14:paraId="709B98E9" w14:textId="77777777" w:rsidR="00215F9E" w:rsidRDefault="00000000">
      <w:pPr>
        <w:spacing w:before="120" w:after="200"/>
        <w:jc w:val="center"/>
      </w:pPr>
      <w:r>
        <w:rPr>
          <w:noProof/>
        </w:rPr>
        <w:lastRenderedPageBreak/>
        <w:drawing>
          <wp:inline distT="0" distB="0" distL="0" distR="0" wp14:anchorId="6E85ECFC" wp14:editId="22E16A8C">
            <wp:extent cx="4114800" cy="3118425"/>
            <wp:effectExtent l="0" t="0" r="0" b="0"/>
            <wp:docPr id="1148288086" name="Picture 114828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14800" cy="3118425"/>
                    </a:xfrm>
                    <a:prstGeom prst="rect">
                      <a:avLst/>
                    </a:prstGeom>
                  </pic:spPr>
                </pic:pic>
              </a:graphicData>
            </a:graphic>
          </wp:inline>
        </w:drawing>
      </w:r>
    </w:p>
    <w:p w14:paraId="1C4612AB" w14:textId="77777777" w:rsidR="00215F9E" w:rsidRDefault="00000000">
      <w:pPr>
        <w:spacing w:before="120" w:after="200"/>
        <w:jc w:val="center"/>
      </w:pPr>
      <w:r>
        <w:rPr>
          <w:noProof/>
        </w:rPr>
        <w:drawing>
          <wp:inline distT="0" distB="0" distL="0" distR="0" wp14:anchorId="3CC13F06" wp14:editId="5C9B8B91">
            <wp:extent cx="3200400" cy="957839"/>
            <wp:effectExtent l="0" t="0" r="0" b="0"/>
            <wp:docPr id="1997667020" name="Picture 199766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200400" cy="957839"/>
                    </a:xfrm>
                    <a:prstGeom prst="rect">
                      <a:avLst/>
                    </a:prstGeom>
                  </pic:spPr>
                </pic:pic>
              </a:graphicData>
            </a:graphic>
          </wp:inline>
        </w:drawing>
      </w:r>
    </w:p>
    <w:p w14:paraId="4746E371" w14:textId="77777777" w:rsidR="00215F9E" w:rsidRDefault="00000000">
      <w:pPr>
        <w:spacing w:before="40" w:after="280"/>
        <w:jc w:val="center"/>
      </w:pPr>
      <w:r>
        <w:rPr>
          <w:i/>
          <w:iCs/>
          <w:color w:val="555555"/>
          <w:sz w:val="20"/>
          <w:szCs w:val="20"/>
        </w:rPr>
        <w:t>Figure 16: OCV fit and RMSE after full optimisation.</w:t>
      </w:r>
    </w:p>
    <w:p w14:paraId="05903E2C" w14:textId="77777777" w:rsidR="00215F9E" w:rsidRDefault="00000000">
      <w:pPr>
        <w:pStyle w:val="Heading2"/>
      </w:pPr>
      <w:r>
        <w:t>7.1 HPPC Result (Post-Optimisation)</w:t>
      </w:r>
    </w:p>
    <w:p w14:paraId="09ADC27A" w14:textId="77777777" w:rsidR="00215F9E" w:rsidRDefault="00000000">
      <w:pPr>
        <w:spacing w:before="120" w:after="200"/>
        <w:jc w:val="center"/>
      </w:pPr>
      <w:r>
        <w:rPr>
          <w:noProof/>
        </w:rPr>
        <w:drawing>
          <wp:inline distT="0" distB="0" distL="0" distR="0" wp14:anchorId="564610F7" wp14:editId="5905C505">
            <wp:extent cx="5029200" cy="2659637"/>
            <wp:effectExtent l="0" t="0" r="0" b="0"/>
            <wp:docPr id="1790776814" name="Picture 1790776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29200" cy="2659637"/>
                    </a:xfrm>
                    <a:prstGeom prst="rect">
                      <a:avLst/>
                    </a:prstGeom>
                  </pic:spPr>
                </pic:pic>
              </a:graphicData>
            </a:graphic>
          </wp:inline>
        </w:drawing>
      </w:r>
    </w:p>
    <w:p w14:paraId="6A0A8767" w14:textId="77777777" w:rsidR="00215F9E" w:rsidRDefault="00000000">
      <w:pPr>
        <w:spacing w:before="40" w:after="280"/>
        <w:jc w:val="center"/>
      </w:pPr>
      <w:r>
        <w:rPr>
          <w:i/>
          <w:iCs/>
          <w:color w:val="555555"/>
          <w:sz w:val="20"/>
          <w:szCs w:val="20"/>
        </w:rPr>
        <w:t>Figure 17: HPPC result after automated optimisation.</w:t>
      </w:r>
    </w:p>
    <w:p w14:paraId="30F96664" w14:textId="77777777" w:rsidR="00215F9E" w:rsidRDefault="00000000">
      <w:pPr>
        <w:pStyle w:val="Heading1"/>
      </w:pPr>
      <w:r>
        <w:lastRenderedPageBreak/>
        <w:t>8. Remaining Issues and Next Steps</w:t>
      </w:r>
    </w:p>
    <w:p w14:paraId="6AD9DA59" w14:textId="41CAEDC7" w:rsidR="00215F9E" w:rsidRDefault="00000000">
      <w:pPr>
        <w:spacing w:before="80" w:after="120" w:line="312" w:lineRule="auto"/>
      </w:pPr>
      <w:r>
        <w:t xml:space="preserve">The HPPC result still exhibits the same systematic error, although the magnitude in the initial segment has been reduced. Low C-rate simulations show good validation, but the model at high C-rates </w:t>
      </w:r>
      <w:r w:rsidR="00700452">
        <w:t xml:space="preserve">like after 4C </w:t>
      </w:r>
      <w:r>
        <w:t>remains problematic with respect to electrolyte transport and thermal effects.</w:t>
      </w:r>
    </w:p>
    <w:p w14:paraId="429A883C" w14:textId="3B534D99" w:rsidR="00215F9E" w:rsidRDefault="00000000">
      <w:pPr>
        <w:spacing w:before="80" w:after="120" w:line="312" w:lineRule="auto"/>
      </w:pPr>
      <w:r>
        <w:t>The discrepancy persists even after incorporating SOC-dependent diffusivity and electrolyte properties as functions of concentration and temperature.</w:t>
      </w:r>
    </w:p>
    <w:p w14:paraId="3D694209" w14:textId="77777777" w:rsidR="00215F9E" w:rsidRDefault="00000000">
      <w:pPr>
        <w:spacing w:before="120" w:after="200"/>
        <w:jc w:val="center"/>
      </w:pPr>
      <w:r>
        <w:rPr>
          <w:noProof/>
        </w:rPr>
        <w:drawing>
          <wp:inline distT="0" distB="0" distL="0" distR="0" wp14:anchorId="4D64433B" wp14:editId="1A741649">
            <wp:extent cx="5029200" cy="2703003"/>
            <wp:effectExtent l="0" t="0" r="0" b="0"/>
            <wp:docPr id="1162244478" name="Picture 1162244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029200" cy="2703003"/>
                    </a:xfrm>
                    <a:prstGeom prst="rect">
                      <a:avLst/>
                    </a:prstGeom>
                  </pic:spPr>
                </pic:pic>
              </a:graphicData>
            </a:graphic>
          </wp:inline>
        </w:drawing>
      </w:r>
    </w:p>
    <w:p w14:paraId="0A171DC0" w14:textId="77777777" w:rsidR="00215F9E" w:rsidRDefault="00000000">
      <w:pPr>
        <w:spacing w:before="40" w:after="280"/>
        <w:jc w:val="center"/>
      </w:pPr>
      <w:r>
        <w:rPr>
          <w:i/>
          <w:iCs/>
          <w:color w:val="555555"/>
          <w:sz w:val="20"/>
          <w:szCs w:val="20"/>
        </w:rPr>
        <w:t>Figure 18: Remaining high C-rate discrepancy.</w:t>
      </w:r>
    </w:p>
    <w:p w14:paraId="33DD175B" w14:textId="77777777" w:rsidR="00215F9E" w:rsidRDefault="00000000">
      <w:pPr>
        <w:spacing w:before="80" w:after="120" w:line="312" w:lineRule="auto"/>
      </w:pPr>
      <w:r>
        <w:rPr>
          <w:b/>
          <w:bCs/>
        </w:rPr>
        <w:t>Next steps:</w:t>
      </w:r>
    </w:p>
    <w:p w14:paraId="43D5D846" w14:textId="1DA66129" w:rsidR="00215F9E" w:rsidRDefault="00000000">
      <w:pPr>
        <w:spacing w:before="80" w:after="120" w:line="312" w:lineRule="auto"/>
      </w:pPr>
      <w:r>
        <w:t xml:space="preserve">•  Further validation of high C-rate discharge and charge profiles, particularly beyond </w:t>
      </w:r>
      <w:r w:rsidR="00700452">
        <w:t>4</w:t>
      </w:r>
      <w:r>
        <w:t>C.</w:t>
      </w:r>
    </w:p>
    <w:p w14:paraId="7DD6C394" w14:textId="77777777" w:rsidR="00215F9E" w:rsidRDefault="00000000">
      <w:pPr>
        <w:spacing w:before="80" w:after="120" w:line="312" w:lineRule="auto"/>
      </w:pPr>
      <w:r>
        <w:t>•  Continued optimisation of electrolyte transport and kinetic properties.</w:t>
      </w:r>
    </w:p>
    <w:p w14:paraId="3319EFEA" w14:textId="77777777" w:rsidR="00215F9E" w:rsidRDefault="00000000">
      <w:pPr>
        <w:spacing w:before="80" w:after="120" w:line="312" w:lineRule="auto"/>
      </w:pPr>
      <w:r>
        <w:t>•  Investigation of additional thermal coupling effects at elevated C-rates.</w:t>
      </w:r>
    </w:p>
    <w:sectPr w:rsidR="00215F9E">
      <w:headerReference w:type="default" r:id="rId32"/>
      <w:foot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712F9" w14:textId="77777777" w:rsidR="007E3B64" w:rsidRDefault="007E3B64">
      <w:r>
        <w:separator/>
      </w:r>
    </w:p>
  </w:endnote>
  <w:endnote w:type="continuationSeparator" w:id="0">
    <w:p w14:paraId="75F30D96" w14:textId="77777777" w:rsidR="007E3B64" w:rsidRDefault="007E3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D04FC" w14:textId="77777777" w:rsidR="00215F9E" w:rsidRDefault="00000000">
    <w:pPr>
      <w:pBdr>
        <w:top w:val="single" w:sz="4" w:space="4" w:color="CCCCCC"/>
      </w:pBdr>
      <w:jc w:val="right"/>
    </w:pPr>
    <w:r>
      <w:rPr>
        <w:color w:val="808080"/>
        <w:sz w:val="18"/>
        <w:szCs w:val="18"/>
      </w:rPr>
      <w:fldChar w:fldCharType="begin"/>
    </w:r>
    <w:r>
      <w:rPr>
        <w:color w:val="808080"/>
        <w:sz w:val="18"/>
        <w:szCs w:val="18"/>
      </w:rPr>
      <w:instrText>PAGE</w:instrText>
    </w:r>
    <w:r>
      <w:rPr>
        <w:color w:val="808080"/>
        <w:sz w:val="18"/>
        <w:szCs w:val="18"/>
      </w:rPr>
      <w:fldChar w:fldCharType="separate"/>
    </w:r>
    <w:r w:rsidR="00700452">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D1C7F" w14:textId="77777777" w:rsidR="007E3B64" w:rsidRDefault="007E3B64">
      <w:r>
        <w:separator/>
      </w:r>
    </w:p>
  </w:footnote>
  <w:footnote w:type="continuationSeparator" w:id="0">
    <w:p w14:paraId="2EE567FA" w14:textId="77777777" w:rsidR="007E3B64" w:rsidRDefault="007E3B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80890" w14:textId="77777777" w:rsidR="00215F9E" w:rsidRDefault="00000000">
    <w:pPr>
      <w:pBdr>
        <w:bottom w:val="single" w:sz="6" w:space="1" w:color="2E75B6"/>
      </w:pBdr>
    </w:pPr>
    <w:r>
      <w:rPr>
        <w:color w:val="808080"/>
        <w:sz w:val="18"/>
        <w:szCs w:val="18"/>
      </w:rPr>
      <w:t>DFN Model Parameterisation — A123 26650 M1B LFP Cell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B4E52"/>
    <w:multiLevelType w:val="hybridMultilevel"/>
    <w:tmpl w:val="0A7C9C56"/>
    <w:lvl w:ilvl="0" w:tplc="FC58511C">
      <w:start w:val="1"/>
      <w:numFmt w:val="bullet"/>
      <w:lvlText w:val="●"/>
      <w:lvlJc w:val="left"/>
      <w:pPr>
        <w:ind w:left="720" w:hanging="360"/>
      </w:pPr>
    </w:lvl>
    <w:lvl w:ilvl="1" w:tplc="F9282BE8">
      <w:start w:val="1"/>
      <w:numFmt w:val="bullet"/>
      <w:lvlText w:val="○"/>
      <w:lvlJc w:val="left"/>
      <w:pPr>
        <w:ind w:left="1440" w:hanging="360"/>
      </w:pPr>
    </w:lvl>
    <w:lvl w:ilvl="2" w:tplc="CDFCEC18">
      <w:start w:val="1"/>
      <w:numFmt w:val="bullet"/>
      <w:lvlText w:val="■"/>
      <w:lvlJc w:val="left"/>
      <w:pPr>
        <w:ind w:left="2160" w:hanging="360"/>
      </w:pPr>
    </w:lvl>
    <w:lvl w:ilvl="3" w:tplc="116827EA">
      <w:start w:val="1"/>
      <w:numFmt w:val="bullet"/>
      <w:lvlText w:val="●"/>
      <w:lvlJc w:val="left"/>
      <w:pPr>
        <w:ind w:left="2880" w:hanging="360"/>
      </w:pPr>
    </w:lvl>
    <w:lvl w:ilvl="4" w:tplc="9EE42F8A">
      <w:start w:val="1"/>
      <w:numFmt w:val="bullet"/>
      <w:lvlText w:val="○"/>
      <w:lvlJc w:val="left"/>
      <w:pPr>
        <w:ind w:left="3600" w:hanging="360"/>
      </w:pPr>
    </w:lvl>
    <w:lvl w:ilvl="5" w:tplc="2F32DC7C">
      <w:start w:val="1"/>
      <w:numFmt w:val="bullet"/>
      <w:lvlText w:val="■"/>
      <w:lvlJc w:val="left"/>
      <w:pPr>
        <w:ind w:left="4320" w:hanging="360"/>
      </w:pPr>
    </w:lvl>
    <w:lvl w:ilvl="6" w:tplc="26D8B2E0">
      <w:start w:val="1"/>
      <w:numFmt w:val="bullet"/>
      <w:lvlText w:val="●"/>
      <w:lvlJc w:val="left"/>
      <w:pPr>
        <w:ind w:left="5040" w:hanging="360"/>
      </w:pPr>
    </w:lvl>
    <w:lvl w:ilvl="7" w:tplc="EE3AE74E">
      <w:start w:val="1"/>
      <w:numFmt w:val="bullet"/>
      <w:lvlText w:val="●"/>
      <w:lvlJc w:val="left"/>
      <w:pPr>
        <w:ind w:left="5760" w:hanging="360"/>
      </w:pPr>
    </w:lvl>
    <w:lvl w:ilvl="8" w:tplc="1956751C">
      <w:start w:val="1"/>
      <w:numFmt w:val="bullet"/>
      <w:lvlText w:val="●"/>
      <w:lvlJc w:val="left"/>
      <w:pPr>
        <w:ind w:left="6480" w:hanging="360"/>
      </w:pPr>
    </w:lvl>
  </w:abstractNum>
  <w:num w:numId="1" w16cid:durableId="3544288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F9E"/>
    <w:rsid w:val="001400F7"/>
    <w:rsid w:val="00215F9E"/>
    <w:rsid w:val="00700452"/>
    <w:rsid w:val="007E3B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F423E"/>
  <w15:docId w15:val="{301DBE83-766D-4243-B9C0-5EAD9B901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1365</Words>
  <Characters>7786</Characters>
  <Application>Microsoft Office Word</Application>
  <DocSecurity>0</DocSecurity>
  <Lines>64</Lines>
  <Paragraphs>18</Paragraphs>
  <ScaleCrop>false</ScaleCrop>
  <Company/>
  <LinksUpToDate>false</LinksUpToDate>
  <CharactersWithSpaces>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 Prasad R R</cp:lastModifiedBy>
  <cp:revision>2</cp:revision>
  <dcterms:created xsi:type="dcterms:W3CDTF">2026-04-09T11:16:00Z</dcterms:created>
  <dcterms:modified xsi:type="dcterms:W3CDTF">2026-04-09T11:20:00Z</dcterms:modified>
</cp:coreProperties>
</file>