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pPr>
      <w:r>
        <w:rPr>
          <w:rFonts w:ascii="Calibri" w:hAnsi="Calibri"/>
          <w:b/>
          <w:color w:val="475569"/>
          <w:sz w:val="21"/>
        </w:rPr>
        <w:t>ACADEMIC MACHINE LEARNING &amp; ADVANCED SYSTEMS CAPSTONE REPORT</w:t>
      </w:r>
    </w:p>
    <w:p>
      <w:pPr>
        <w:spacing w:before="120" w:after="160"/>
      </w:pPr>
      <w:r>
        <w:rPr>
          <w:rFonts w:ascii="Calibri" w:hAnsi="Calibri"/>
          <w:b/>
          <w:color w:val="0A2540"/>
          <w:sz w:val="48"/>
        </w:rPr>
        <w:t>DishIQ: An Intelligent Culinary Recommendation &amp; Automated Grocery Fulfillment Platform</w:t>
      </w:r>
    </w:p>
    <w:p>
      <w:pPr>
        <w:spacing w:after="360"/>
      </w:pPr>
      <w:r>
        <w:rPr>
          <w:rFonts w:ascii="Calibri" w:hAnsi="Calibri"/>
          <w:color w:val="1E5180"/>
          <w:sz w:val="24"/>
        </w:rPr>
        <w:t>A Unified Multi-Model Machine Learning System Integrating Dense Semantic Embeddings, Lexical Retrieval, Supervised Suitability Regression, Unsupervised Complexity Clustering, and Quick-Commerce Delivery</w:t>
      </w:r>
    </w:p>
    <w:tbl>
      <w:tblPr>
        <w:tblW w:type="auto" w:w="0"/>
        <w:jc w:val="center"/>
        <w:tblLook w:firstColumn="1" w:firstRow="1" w:lastColumn="0" w:lastRow="0" w:noHBand="0" w:noVBand="1" w:val="04A0"/>
      </w:tblPr>
      <w:tblGrid>
        <w:gridCol w:w="4680"/>
        <w:gridCol w:w="4680"/>
      </w:tblGrid>
      <w:tr>
        <w:tc>
          <w:tcPr>
            <w:tcW w:type="dxa" w:w="3600"/>
            <w:shd w:fill="F8FAFC"/>
            <w:tcMar>
              <w:top w:w="100" w:type="dxa"/>
              <w:bottom w:w="100" w:type="dxa"/>
              <w:left w:w="140" w:type="dxa"/>
              <w:right w:w="140" w:type="dxa"/>
            </w:tcMar>
          </w:tcPr>
          <w:p>
            <w:pPr>
              <w:spacing w:before="40" w:after="40"/>
              <w:jc w:val="left"/>
            </w:pPr>
            <w:r>
              <w:rPr>
                <w:rFonts w:ascii="Calibri" w:hAnsi="Calibri"/>
                <w:b/>
                <w:i w:val="0"/>
                <w:color w:val="1E293B"/>
                <w:sz w:val="18"/>
              </w:rPr>
              <w:t>Authors &amp; Development Team</w:t>
            </w:r>
          </w:p>
        </w:tc>
        <w:tc>
          <w:tcPr>
            <w:tcW w:type="dxa" w:w="5760"/>
            <w:shd w:fill="F8FAFC"/>
            <w:tcMar>
              <w:top w:w="100" w:type="dxa"/>
              <w:bottom w:w="100" w:type="dxa"/>
              <w:left w:w="140" w:type="dxa"/>
              <w:right w:w="140" w:type="dxa"/>
            </w:tcMar>
          </w:tcPr>
          <w:p>
            <w:pPr>
              <w:spacing w:before="40" w:after="40"/>
              <w:jc w:val="left"/>
            </w:pPr>
            <w:r>
              <w:rPr>
                <w:rFonts w:ascii="Calibri" w:hAnsi="Calibri"/>
                <w:b w:val="0"/>
                <w:i w:val="0"/>
                <w:color w:val="1E293B"/>
                <w:sz w:val="18"/>
              </w:rPr>
              <w:t>DishIQ Core Systems &amp; Machine Learning Engineering Group</w:t>
            </w:r>
          </w:p>
        </w:tc>
      </w:tr>
      <w:tr>
        <w:tc>
          <w:tcPr>
            <w:tcW w:type="dxa" w:w="3600"/>
            <w:shd w:fill="FFFFFF"/>
            <w:tcMar>
              <w:top w:w="100" w:type="dxa"/>
              <w:bottom w:w="100" w:type="dxa"/>
              <w:left w:w="140" w:type="dxa"/>
              <w:right w:w="140" w:type="dxa"/>
            </w:tcMar>
          </w:tcPr>
          <w:p>
            <w:pPr>
              <w:spacing w:before="40" w:after="40"/>
              <w:jc w:val="left"/>
            </w:pPr>
            <w:r>
              <w:rPr>
                <w:rFonts w:ascii="Calibri" w:hAnsi="Calibri"/>
                <w:b/>
                <w:i w:val="0"/>
                <w:color w:val="1E293B"/>
                <w:sz w:val="18"/>
              </w:rPr>
              <w:t>Academic Evaluation Committee</w:t>
            </w:r>
          </w:p>
        </w:tc>
        <w:tc>
          <w:tcPr>
            <w:tcW w:type="dxa" w:w="5760"/>
            <w:shd w:fill="FFFFFF"/>
            <w:tcMar>
              <w:top w:w="100" w:type="dxa"/>
              <w:bottom w:w="100" w:type="dxa"/>
              <w:left w:w="140" w:type="dxa"/>
              <w:right w:w="140" w:type="dxa"/>
            </w:tcMar>
          </w:tcPr>
          <w:p>
            <w:pPr>
              <w:spacing w:before="40" w:after="40"/>
              <w:jc w:val="left"/>
            </w:pPr>
            <w:r>
              <w:rPr>
                <w:rFonts w:ascii="Calibri" w:hAnsi="Calibri"/>
                <w:b w:val="0"/>
                <w:i w:val="0"/>
                <w:color w:val="1E293B"/>
                <w:sz w:val="18"/>
              </w:rPr>
              <w:t>Department of Computer Science &amp; Engineering — Machine Learning Faculty Panel</w:t>
            </w:r>
          </w:p>
        </w:tc>
      </w:tr>
      <w:tr>
        <w:tc>
          <w:tcPr>
            <w:tcW w:type="dxa" w:w="3600"/>
            <w:shd w:fill="F8FAFC"/>
            <w:tcMar>
              <w:top w:w="100" w:type="dxa"/>
              <w:bottom w:w="100" w:type="dxa"/>
              <w:left w:w="140" w:type="dxa"/>
              <w:right w:w="140" w:type="dxa"/>
            </w:tcMar>
          </w:tcPr>
          <w:p>
            <w:pPr>
              <w:spacing w:before="40" w:after="40"/>
              <w:jc w:val="left"/>
            </w:pPr>
            <w:r>
              <w:rPr>
                <w:rFonts w:ascii="Calibri" w:hAnsi="Calibri"/>
                <w:b/>
                <w:i w:val="0"/>
                <w:color w:val="1E293B"/>
                <w:sz w:val="18"/>
              </w:rPr>
              <w:t>System Architecture Scope</w:t>
            </w:r>
          </w:p>
        </w:tc>
        <w:tc>
          <w:tcPr>
            <w:tcW w:type="dxa" w:w="5760"/>
            <w:shd w:fill="F8FAFC"/>
            <w:tcMar>
              <w:top w:w="100" w:type="dxa"/>
              <w:bottom w:w="100" w:type="dxa"/>
              <w:left w:w="140" w:type="dxa"/>
              <w:right w:w="140" w:type="dxa"/>
            </w:tcMar>
          </w:tcPr>
          <w:p>
            <w:pPr>
              <w:spacing w:before="40" w:after="40"/>
              <w:jc w:val="left"/>
            </w:pPr>
            <w:r>
              <w:rPr>
                <w:rFonts w:ascii="Calibri" w:hAnsi="Calibri"/>
                <w:b w:val="0"/>
                <w:i w:val="0"/>
                <w:color w:val="1E293B"/>
                <w:sz w:val="18"/>
              </w:rPr>
              <w:t>Full-Stack AI Application (React 18 SPA + FastAPI + PostgreSQL + 5 ML Models + Swiggy MCP)</w:t>
            </w:r>
          </w:p>
        </w:tc>
      </w:tr>
      <w:tr>
        <w:tc>
          <w:tcPr>
            <w:tcW w:type="dxa" w:w="3600"/>
            <w:shd w:fill="FFFFFF"/>
            <w:tcMar>
              <w:top w:w="100" w:type="dxa"/>
              <w:bottom w:w="100" w:type="dxa"/>
              <w:left w:w="140" w:type="dxa"/>
              <w:right w:w="140" w:type="dxa"/>
            </w:tcMar>
          </w:tcPr>
          <w:p>
            <w:pPr>
              <w:spacing w:before="40" w:after="40"/>
              <w:jc w:val="left"/>
            </w:pPr>
            <w:r>
              <w:rPr>
                <w:rFonts w:ascii="Calibri" w:hAnsi="Calibri"/>
                <w:b/>
                <w:i w:val="0"/>
                <w:color w:val="1E293B"/>
                <w:sz w:val="18"/>
              </w:rPr>
              <w:t>Date &amp; Release Status</w:t>
            </w:r>
          </w:p>
        </w:tc>
        <w:tc>
          <w:tcPr>
            <w:tcW w:type="dxa" w:w="5760"/>
            <w:shd w:fill="FFFFFF"/>
            <w:tcMar>
              <w:top w:w="100" w:type="dxa"/>
              <w:bottom w:w="100" w:type="dxa"/>
              <w:left w:w="140" w:type="dxa"/>
              <w:right w:w="140" w:type="dxa"/>
            </w:tcMar>
          </w:tcPr>
          <w:p>
            <w:pPr>
              <w:spacing w:before="40" w:after="40"/>
              <w:jc w:val="left"/>
            </w:pPr>
            <w:r>
              <w:rPr>
                <w:rFonts w:ascii="Calibri" w:hAnsi="Calibri"/>
                <w:b w:val="0"/>
                <w:i w:val="0"/>
                <w:color w:val="1E293B"/>
                <w:sz w:val="18"/>
              </w:rPr>
              <w:t>October 2026 | Technical Specification Version 2.0 (Publication Grade)</w:t>
            </w:r>
          </w:p>
        </w:tc>
      </w:tr>
    </w:tbl>
    <w:p>
      <w:pPr>
        <w:spacing w:after="320"/>
      </w:pPr>
    </w:p>
    <w:p>
      <w:pPr>
        <w:pStyle w:val="Heading1"/>
        <w:keepNext/>
        <w:spacing w:before="360" w:after="120"/>
      </w:pPr>
      <w:r>
        <w:rPr>
          <w:rFonts w:ascii="Calibri" w:hAnsi="Calibri"/>
          <w:b/>
          <w:color w:val="0A2540"/>
          <w:sz w:val="32"/>
        </w:rPr>
        <w:t>Abstract</w:t>
      </w:r>
    </w:p>
    <w:p>
      <w:pPr>
        <w:spacing w:after="200" w:line="300" w:lineRule="auto"/>
      </w:pPr>
      <w:r>
        <w:rPr>
          <w:rFonts w:ascii="Calibri" w:hAnsi="Calibri"/>
          <w:color w:val="1E293B"/>
          <w:sz w:val="19"/>
        </w:rPr>
        <w:t xml:space="preserve">Modern culinary discovery suffers from acute cognitive friction, fragmented commerce, and substantial domestic food waste. While conventional platforms like YouTube and culinary websites catalog millions of instructional recipes, their discovery mechanics rely exclusively on popularity and keyword matching without mathematical awareness of a household's dynamic pantry inventory. To address this fundamental limitation, this treatise introduces </w:t>
      </w:r>
      <w:r>
        <w:rPr>
          <w:rFonts w:ascii="Calibri" w:hAnsi="Calibri"/>
          <w:b/>
          <w:color w:val="0A2540"/>
          <w:sz w:val="19"/>
        </w:rPr>
        <w:t>DishIQ</w:t>
      </w:r>
      <w:r>
        <w:rPr>
          <w:rFonts w:ascii="Calibri" w:hAnsi="Calibri"/>
          <w:color w:val="1E293B"/>
          <w:sz w:val="19"/>
        </w:rPr>
        <w:t xml:space="preserve">, an end-to-end, full-stack recipe intelligence and automated fulfillment platform powered by a synergistic multi-model machine learning architecture. At its algorithmic core, DishIQ harmonizes five distinct artificial intelligence pipelines: a high-throughput </w:t>
      </w:r>
      <w:r>
        <w:rPr>
          <w:rFonts w:ascii="Calibri" w:hAnsi="Calibri"/>
          <w:b/>
          <w:color w:val="0A2540"/>
          <w:sz w:val="19"/>
        </w:rPr>
        <w:t>TF-IDF Vectorization Engine</w:t>
      </w:r>
      <w:r>
        <w:rPr>
          <w:rFonts w:ascii="Calibri" w:hAnsi="Calibri"/>
          <w:color w:val="1E293B"/>
          <w:sz w:val="19"/>
        </w:rPr>
        <w:t xml:space="preserve"> (v2.0, vocabulary: 5,000 n-grams) achieving a test </w:t>
      </w:r>
      <w:r>
        <w:rPr>
          <w:rFonts w:ascii="Calibri" w:hAnsi="Calibri"/>
          <w:b/>
          <w:color w:val="1E293B"/>
          <w:sz w:val="19"/>
        </w:rPr>
        <w:t>HitRate@5 of 97.01%</w:t>
      </w:r>
      <w:r>
        <w:rPr>
          <w:rFonts w:ascii="Calibri" w:hAnsi="Calibri"/>
          <w:color w:val="1E293B"/>
          <w:sz w:val="19"/>
        </w:rPr>
        <w:t xml:space="preserve">; a deep semantic bi-encoder using </w:t>
      </w:r>
      <w:r>
        <w:rPr>
          <w:rFonts w:ascii="Calibri" w:hAnsi="Calibri"/>
          <w:b/>
          <w:color w:val="0A2540"/>
          <w:sz w:val="19"/>
        </w:rPr>
        <w:t>Sentence Transformers (all-MiniLM-L6-v2, 384-dimensional hypersphere embeddings)</w:t>
      </w:r>
      <w:r>
        <w:rPr>
          <w:rFonts w:ascii="Calibri" w:hAnsi="Calibri"/>
          <w:color w:val="1E293B"/>
          <w:sz w:val="19"/>
        </w:rPr>
        <w:t xml:space="preserve"> with L2-normalized cosine similarity yielding </w:t>
      </w:r>
      <w:r>
        <w:rPr>
          <w:rFonts w:ascii="Calibri" w:hAnsi="Calibri"/>
          <w:b/>
          <w:color w:val="1E293B"/>
          <w:sz w:val="19"/>
        </w:rPr>
        <w:t>100% HitRate@5</w:t>
      </w:r>
      <w:r>
        <w:rPr>
          <w:rFonts w:ascii="Calibri" w:hAnsi="Calibri"/>
          <w:color w:val="1E293B"/>
          <w:sz w:val="19"/>
        </w:rPr>
        <w:t xml:space="preserve"> across unstructured natural language queries; an ensemble </w:t>
      </w:r>
      <w:r>
        <w:rPr>
          <w:rFonts w:ascii="Calibri" w:hAnsi="Calibri"/>
          <w:b/>
          <w:color w:val="0A2540"/>
          <w:sz w:val="19"/>
        </w:rPr>
        <w:t>Random Forest Regressor</w:t>
      </w:r>
      <w:r>
        <w:rPr>
          <w:rFonts w:ascii="Calibri" w:hAnsi="Calibri"/>
          <w:color w:val="1E293B"/>
          <w:sz w:val="19"/>
        </w:rPr>
        <w:t xml:space="preserve"> (150 estimators, max depth 15) predicting multi-attribute culinary suitability with a validation </w:t>
      </w:r>
      <w:r>
        <w:rPr>
          <w:rFonts w:ascii="Calibri" w:hAnsi="Calibri"/>
          <w:b/>
          <w:color w:val="1E293B"/>
          <w:sz w:val="19"/>
        </w:rPr>
        <w:t>R² of 0.8015</w:t>
      </w:r>
      <w:r>
        <w:rPr>
          <w:rFonts w:ascii="Calibri" w:hAnsi="Calibri"/>
          <w:color w:val="1E293B"/>
          <w:sz w:val="19"/>
        </w:rPr>
        <w:t xml:space="preserve">; an unsupervised </w:t>
      </w:r>
      <w:r>
        <w:rPr>
          <w:rFonts w:ascii="Calibri" w:hAnsi="Calibri"/>
          <w:b/>
          <w:color w:val="0A2540"/>
          <w:sz w:val="19"/>
        </w:rPr>
        <w:t>K-Means Clustering Pipeline</w:t>
      </w:r>
      <w:r>
        <w:rPr>
          <w:rFonts w:ascii="Calibri" w:hAnsi="Calibri"/>
          <w:color w:val="1E293B"/>
          <w:sz w:val="19"/>
        </w:rPr>
        <w:t xml:space="preserve"> (k=2, Silhouette coefficient: 0.1431, Calinski-Harabasz index: 361.6) segmenting complex traditional recipes from rapid contemporary meals; and dense </w:t>
      </w:r>
      <w:r>
        <w:rPr>
          <w:rFonts w:ascii="Calibri" w:hAnsi="Calibri"/>
          <w:b/>
          <w:color w:val="0A2540"/>
          <w:sz w:val="19"/>
        </w:rPr>
        <w:t>Product Embeddings</w:t>
      </w:r>
      <w:r>
        <w:rPr>
          <w:rFonts w:ascii="Calibri" w:hAnsi="Calibri"/>
          <w:color w:val="1E293B"/>
          <w:sz w:val="19"/>
        </w:rPr>
        <w:t xml:space="preserve"> enabling fuzzy semantic reconciliation with the </w:t>
      </w:r>
      <w:r>
        <w:rPr>
          <w:rFonts w:ascii="Calibri" w:hAnsi="Calibri"/>
          <w:b/>
          <w:color w:val="0A2540"/>
          <w:sz w:val="19"/>
        </w:rPr>
        <w:t>Swiggy Quick-Commerce Catalog</w:t>
      </w:r>
      <w:r>
        <w:rPr>
          <w:rFonts w:ascii="Calibri" w:hAnsi="Calibri"/>
          <w:color w:val="1E293B"/>
          <w:sz w:val="19"/>
        </w:rPr>
        <w:t xml:space="preserve"> via the </w:t>
      </w:r>
      <w:r>
        <w:rPr>
          <w:rFonts w:ascii="Calibri" w:hAnsi="Calibri"/>
          <w:b/>
          <w:color w:val="0A2540"/>
          <w:sz w:val="19"/>
        </w:rPr>
        <w:t>Model Context Protocol (MCP)</w:t>
      </w:r>
      <w:r>
        <w:rPr>
          <w:rFonts w:ascii="Calibri" w:hAnsi="Calibri"/>
          <w:color w:val="1E293B"/>
          <w:sz w:val="19"/>
        </w:rPr>
        <w:t xml:space="preserve">. The system's primary algorithmic contribution is a dynamically weighted </w:t>
      </w:r>
      <w:r>
        <w:rPr>
          <w:rFonts w:ascii="Calibri" w:hAnsi="Calibri"/>
          <w:b/>
          <w:color w:val="0A2540"/>
          <w:sz w:val="19"/>
        </w:rPr>
        <w:t>Hybrid Ensemble Scoring Formula</w:t>
      </w:r>
      <w:r>
        <w:rPr>
          <w:rFonts w:ascii="Calibri" w:hAnsi="Calibri"/>
          <w:color w:val="1E293B"/>
          <w:sz w:val="19"/>
        </w:rPr>
        <w:t xml:space="preserve"> that balances lexical relevance (α=0.30), deep semantic intent (β=0.50), structural suitability (γ=0.20), and a critical </w:t>
      </w:r>
      <w:r>
        <w:rPr>
          <w:rFonts w:ascii="Calibri" w:hAnsi="Calibri"/>
          <w:b/>
          <w:color w:val="0A2540"/>
          <w:sz w:val="19"/>
        </w:rPr>
        <w:t>Pantry Overlap Optimization Term (δ=0.25)</w:t>
      </w:r>
      <w:r>
        <w:rPr>
          <w:rFonts w:ascii="Calibri" w:hAnsi="Calibri"/>
          <w:color w:val="1E293B"/>
          <w:sz w:val="19"/>
        </w:rPr>
        <w:t xml:space="preserve">. Backed by an asynchronous </w:t>
      </w:r>
      <w:r>
        <w:rPr>
          <w:rFonts w:ascii="Calibri" w:hAnsi="Calibri"/>
          <w:b/>
          <w:color w:val="0A2540"/>
          <w:sz w:val="19"/>
        </w:rPr>
        <w:t>FastAPI ASGI Gateway</w:t>
      </w:r>
      <w:r>
        <w:rPr>
          <w:rFonts w:ascii="Calibri" w:hAnsi="Calibri"/>
          <w:color w:val="1E293B"/>
          <w:sz w:val="19"/>
        </w:rPr>
        <w:t xml:space="preserve">, an enterprise </w:t>
      </w:r>
      <w:r>
        <w:rPr>
          <w:rFonts w:ascii="Calibri" w:hAnsi="Calibri"/>
          <w:b/>
          <w:color w:val="0A2540"/>
          <w:sz w:val="19"/>
        </w:rPr>
        <w:t>PostgreSQL 15</w:t>
      </w:r>
      <w:r>
        <w:rPr>
          <w:rFonts w:ascii="Calibri" w:hAnsi="Calibri"/>
          <w:color w:val="1E293B"/>
          <w:sz w:val="19"/>
        </w:rPr>
        <w:t xml:space="preserve"> persistence layer, and a highly responsive </w:t>
      </w:r>
      <w:r>
        <w:rPr>
          <w:rFonts w:ascii="Calibri" w:hAnsi="Calibri"/>
          <w:b/>
          <w:color w:val="0A2540"/>
          <w:sz w:val="19"/>
        </w:rPr>
        <w:t>React 18 Single-Page Application (SPA)</w:t>
      </w:r>
      <w:r>
        <w:rPr>
          <w:rFonts w:ascii="Calibri" w:hAnsi="Calibri"/>
          <w:color w:val="1E293B"/>
          <w:sz w:val="19"/>
        </w:rPr>
        <w:t xml:space="preserve"> validated by </w:t>
      </w:r>
      <w:r>
        <w:rPr>
          <w:rFonts w:ascii="Calibri" w:hAnsi="Calibri"/>
          <w:b/>
          <w:color w:val="1E293B"/>
          <w:sz w:val="19"/>
        </w:rPr>
        <w:t>309 automated frontend tests</w:t>
      </w:r>
      <w:r>
        <w:rPr>
          <w:rFonts w:ascii="Calibri" w:hAnsi="Calibri"/>
          <w:color w:val="1E293B"/>
          <w:sz w:val="19"/>
        </w:rPr>
        <w:t xml:space="preserve"> and over </w:t>
      </w:r>
      <w:r>
        <w:rPr>
          <w:rFonts w:ascii="Calibri" w:hAnsi="Calibri"/>
          <w:b/>
          <w:color w:val="1E293B"/>
          <w:sz w:val="19"/>
        </w:rPr>
        <w:t>530 backend test assertions</w:t>
      </w:r>
      <w:r>
        <w:rPr>
          <w:rFonts w:ascii="Calibri" w:hAnsi="Calibri"/>
          <w:color w:val="1E293B"/>
          <w:sz w:val="19"/>
        </w:rPr>
        <w:t>, DishIQ bridges the historical chasm between digital recipe inspiration and real-world grocery procurement, reducing domestic ingredient waste while enabling frictionless 15-minute meal preparation.</w:t>
      </w:r>
    </w:p>
    <w:p>
      <w:pPr>
        <w:spacing w:before="80" w:after="280"/>
      </w:pPr>
      <w:r>
        <w:rPr>
          <w:rFonts w:ascii="Calibri" w:hAnsi="Calibri"/>
          <w:b/>
          <w:color w:val="0A2540"/>
          <w:sz w:val="18"/>
        </w:rPr>
        <w:t xml:space="preserve">Keywords: </w:t>
      </w:r>
      <w:r>
        <w:rPr>
          <w:rFonts w:ascii="Calibri" w:hAnsi="Calibri"/>
          <w:i/>
          <w:color w:val="475569"/>
          <w:sz w:val="17"/>
        </w:rPr>
        <w:t>Recipe Recommender Systems • Information Retrieval (TF-IDF) • Sentence Transformers (all-MiniLM-L6-v2) • Random Forest Regression • Unsupervised K-Means • Pantry Optimization • Swiggy Model Context Protocol (MCP) • Quick-Commerce Integration • FastAPI ASGI • React 18 SPA</w:t>
      </w:r>
    </w:p>
    <w:p>
      <w:pPr>
        <w:pStyle w:val="Heading1"/>
        <w:keepNext/>
        <w:spacing w:before="360" w:after="120"/>
      </w:pPr>
      <w:r>
        <w:rPr>
          <w:rFonts w:ascii="Calibri" w:hAnsi="Calibri"/>
          <w:b/>
          <w:color w:val="0A2540"/>
          <w:sz w:val="32"/>
        </w:rPr>
        <w:t>Table of Contents</w:t>
      </w:r>
    </w:p>
    <w:tbl>
      <w:tblPr>
        <w:tblW w:type="auto" w:w="0"/>
        <w:jc w:val="center"/>
        <w:tblLook w:firstColumn="1" w:firstRow="1" w:lastColumn="0" w:lastRow="0" w:noHBand="0" w:noVBand="1" w:val="04A0"/>
      </w:tblPr>
      <w:tblGrid>
        <w:gridCol w:w="2340"/>
        <w:gridCol w:w="2340"/>
        <w:gridCol w:w="2340"/>
        <w:gridCol w:w="2340"/>
      </w:tblGrid>
      <w:tr>
        <w:tc>
          <w:tcPr>
            <w:tcW w:type="dxa" w:w="1152"/>
            <w:shd w:fill="0A2540"/>
            <w:tcMar>
              <w:top w:w="140" w:type="dxa"/>
              <w:bottom w:w="140" w:type="dxa"/>
              <w:left w:w="150" w:type="dxa"/>
              <w:right w:w="150" w:type="dxa"/>
            </w:tcMar>
          </w:tcPr>
          <w:p>
            <w:pPr>
              <w:spacing w:before="40" w:after="40"/>
              <w:jc w:val="left"/>
            </w:pPr>
            <w:r>
              <w:rPr>
                <w:rFonts w:ascii="Calibri" w:hAnsi="Calibri"/>
                <w:b/>
                <w:color w:val="FFFFFF"/>
                <w:sz w:val="19"/>
              </w:rPr>
              <w:t>Section</w:t>
            </w:r>
          </w:p>
        </w:tc>
        <w:tc>
          <w:tcPr>
            <w:tcW w:type="dxa" w:w="3168"/>
            <w:shd w:fill="0A2540"/>
            <w:tcMar>
              <w:top w:w="140" w:type="dxa"/>
              <w:bottom w:w="140" w:type="dxa"/>
              <w:left w:w="150" w:type="dxa"/>
              <w:right w:w="150" w:type="dxa"/>
            </w:tcMar>
          </w:tcPr>
          <w:p>
            <w:pPr>
              <w:spacing w:before="40" w:after="40"/>
              <w:jc w:val="left"/>
            </w:pPr>
            <w:r>
              <w:rPr>
                <w:rFonts w:ascii="Calibri" w:hAnsi="Calibri"/>
                <w:b/>
                <w:color w:val="FFFFFF"/>
                <w:sz w:val="19"/>
              </w:rPr>
              <w:t>Chapter Title</w:t>
            </w:r>
          </w:p>
        </w:tc>
        <w:tc>
          <w:tcPr>
            <w:tcW w:type="dxa" w:w="3600"/>
            <w:shd w:fill="0A2540"/>
            <w:tcMar>
              <w:top w:w="140" w:type="dxa"/>
              <w:bottom w:w="140" w:type="dxa"/>
              <w:left w:w="150" w:type="dxa"/>
              <w:right w:w="150" w:type="dxa"/>
            </w:tcMar>
          </w:tcPr>
          <w:p>
            <w:pPr>
              <w:spacing w:before="40" w:after="40"/>
              <w:jc w:val="left"/>
            </w:pPr>
            <w:r>
              <w:rPr>
                <w:rFonts w:ascii="Calibri" w:hAnsi="Calibri"/>
                <w:b/>
                <w:color w:val="FFFFFF"/>
                <w:sz w:val="19"/>
              </w:rPr>
              <w:t>Theoretical &amp; Engineering Scope</w:t>
            </w:r>
          </w:p>
        </w:tc>
        <w:tc>
          <w:tcPr>
            <w:tcW w:type="dxa" w:w="1440"/>
            <w:shd w:fill="0A2540"/>
            <w:tcMar>
              <w:top w:w="140" w:type="dxa"/>
              <w:bottom w:w="140" w:type="dxa"/>
              <w:left w:w="150" w:type="dxa"/>
              <w:right w:w="150" w:type="dxa"/>
            </w:tcMar>
          </w:tcPr>
          <w:p>
            <w:pPr>
              <w:spacing w:before="40" w:after="40"/>
              <w:jc w:val="left"/>
            </w:pPr>
            <w:r>
              <w:rPr>
                <w:rFonts w:ascii="Calibri" w:hAnsi="Calibri"/>
                <w:b/>
                <w:color w:val="FFFFFF"/>
                <w:sz w:val="19"/>
              </w:rPr>
              <w:t>Target Domain</w:t>
            </w:r>
          </w:p>
        </w:tc>
      </w:tr>
      <w:tr>
        <w:tc>
          <w:tcPr>
            <w:tcW w:type="dxa" w:w="1152"/>
            <w:shd w:fill="FFFFFF"/>
            <w:tcMar>
              <w:top w:w="100" w:type="dxa"/>
              <w:bottom w:w="100" w:type="dxa"/>
              <w:left w:w="140" w:type="dxa"/>
              <w:right w:w="140" w:type="dxa"/>
            </w:tcMar>
          </w:tcPr>
          <w:p>
            <w:pPr>
              <w:spacing w:before="40" w:after="40"/>
              <w:jc w:val="center"/>
            </w:pPr>
            <w:r>
              <w:rPr>
                <w:rFonts w:ascii="Calibri" w:hAnsi="Calibri"/>
                <w:b/>
                <w:i w:val="0"/>
                <w:color w:val="1E293B"/>
                <w:sz w:val="18"/>
              </w:rPr>
              <w:t>1.0</w:t>
            </w:r>
          </w:p>
        </w:tc>
        <w:tc>
          <w:tcPr>
            <w:tcW w:type="dxa" w:w="3168"/>
            <w:shd w:fill="FFFFFF"/>
            <w:tcMar>
              <w:top w:w="100" w:type="dxa"/>
              <w:bottom w:w="100" w:type="dxa"/>
              <w:left w:w="140" w:type="dxa"/>
              <w:right w:w="140" w:type="dxa"/>
            </w:tcMar>
          </w:tcPr>
          <w:p>
            <w:pPr>
              <w:spacing w:before="40" w:after="40"/>
              <w:jc w:val="left"/>
            </w:pPr>
            <w:r>
              <w:rPr>
                <w:rFonts w:ascii="Calibri" w:hAnsi="Calibri"/>
                <w:b/>
                <w:i w:val="0"/>
                <w:color w:val="1E293B"/>
                <w:sz w:val="18"/>
              </w:rPr>
              <w:t>Executive Summary &amp; Architectural Scope</w:t>
            </w:r>
          </w:p>
        </w:tc>
        <w:tc>
          <w:tcPr>
            <w:tcW w:type="dxa" w:w="3600"/>
            <w:shd w:fill="FFFFFF"/>
            <w:tcMar>
              <w:top w:w="100" w:type="dxa"/>
              <w:bottom w:w="100" w:type="dxa"/>
              <w:left w:w="140" w:type="dxa"/>
              <w:right w:w="140" w:type="dxa"/>
            </w:tcMar>
          </w:tcPr>
          <w:p>
            <w:pPr>
              <w:spacing w:before="40" w:after="40"/>
              <w:jc w:val="left"/>
            </w:pPr>
            <w:r>
              <w:rPr>
                <w:rFonts w:ascii="Calibri" w:hAnsi="Calibri"/>
                <w:b w:val="0"/>
                <w:i/>
                <w:color w:val="1E293B"/>
                <w:sz w:val="18"/>
              </w:rPr>
              <w:t>Synthesis of full-stack AI deliverables, test matrices, and platform scope</w:t>
            </w:r>
          </w:p>
        </w:tc>
        <w:tc>
          <w:tcPr>
            <w:tcW w:type="dxa" w:w="1440"/>
            <w:shd w:fill="FFFFFF"/>
            <w:tcMar>
              <w:top w:w="100" w:type="dxa"/>
              <w:bottom w:w="100" w:type="dxa"/>
              <w:left w:w="140" w:type="dxa"/>
              <w:right w:w="140" w:type="dxa"/>
            </w:tcMar>
          </w:tcPr>
          <w:p>
            <w:pPr>
              <w:spacing w:before="40" w:after="40"/>
              <w:jc w:val="center"/>
            </w:pPr>
            <w:r>
              <w:rPr>
                <w:rFonts w:ascii="Calibri" w:hAnsi="Calibri"/>
                <w:b w:val="0"/>
                <w:i w:val="0"/>
                <w:color w:val="1E293B"/>
                <w:sz w:val="18"/>
              </w:rPr>
              <w:t>Architecture</w:t>
            </w:r>
          </w:p>
        </w:tc>
      </w:tr>
      <w:tr>
        <w:tc>
          <w:tcPr>
            <w:tcW w:type="dxa" w:w="1152"/>
            <w:shd w:fill="F8FAFC"/>
            <w:tcMar>
              <w:top w:w="100" w:type="dxa"/>
              <w:bottom w:w="100" w:type="dxa"/>
              <w:left w:w="140" w:type="dxa"/>
              <w:right w:w="140" w:type="dxa"/>
            </w:tcMar>
          </w:tcPr>
          <w:p>
            <w:pPr>
              <w:spacing w:before="40" w:after="40"/>
              <w:jc w:val="center"/>
            </w:pPr>
            <w:r>
              <w:rPr>
                <w:rFonts w:ascii="Calibri" w:hAnsi="Calibri"/>
                <w:b/>
                <w:i w:val="0"/>
                <w:color w:val="1E293B"/>
                <w:sz w:val="18"/>
              </w:rPr>
              <w:t>2.0</w:t>
            </w:r>
          </w:p>
        </w:tc>
        <w:tc>
          <w:tcPr>
            <w:tcW w:type="dxa" w:w="3168"/>
            <w:shd w:fill="F8FAFC"/>
            <w:tcMar>
              <w:top w:w="100" w:type="dxa"/>
              <w:bottom w:w="100" w:type="dxa"/>
              <w:left w:w="140" w:type="dxa"/>
              <w:right w:w="140" w:type="dxa"/>
            </w:tcMar>
          </w:tcPr>
          <w:p>
            <w:pPr>
              <w:spacing w:before="40" w:after="40"/>
              <w:jc w:val="left"/>
            </w:pPr>
            <w:r>
              <w:rPr>
                <w:rFonts w:ascii="Calibri" w:hAnsi="Calibri"/>
                <w:b/>
                <w:i w:val="0"/>
                <w:color w:val="1E293B"/>
                <w:sz w:val="18"/>
              </w:rPr>
              <w:t>Problem Statement &amp; Competitive Analysis</w:t>
            </w:r>
          </w:p>
        </w:tc>
        <w:tc>
          <w:tcPr>
            <w:tcW w:type="dxa" w:w="3600"/>
            <w:shd w:fill="F8FAFC"/>
            <w:tcMar>
              <w:top w:w="100" w:type="dxa"/>
              <w:bottom w:w="100" w:type="dxa"/>
              <w:left w:w="140" w:type="dxa"/>
              <w:right w:w="140" w:type="dxa"/>
            </w:tcMar>
          </w:tcPr>
          <w:p>
            <w:pPr>
              <w:spacing w:before="40" w:after="40"/>
              <w:jc w:val="left"/>
            </w:pPr>
            <w:r>
              <w:rPr>
                <w:rFonts w:ascii="Calibri" w:hAnsi="Calibri"/>
                <w:b w:val="0"/>
                <w:i/>
                <w:color w:val="1E293B"/>
                <w:sz w:val="18"/>
              </w:rPr>
              <w:t>Culinary paralysis, domestic food waste, and DishIQ vs. YouTube paradigm</w:t>
            </w:r>
          </w:p>
        </w:tc>
        <w:tc>
          <w:tcPr>
            <w:tcW w:type="dxa" w:w="1440"/>
            <w:shd w:fill="F8FAFC"/>
            <w:tcMar>
              <w:top w:w="100" w:type="dxa"/>
              <w:bottom w:w="100" w:type="dxa"/>
              <w:left w:w="140" w:type="dxa"/>
              <w:right w:w="140" w:type="dxa"/>
            </w:tcMar>
          </w:tcPr>
          <w:p>
            <w:pPr>
              <w:spacing w:before="40" w:after="40"/>
              <w:jc w:val="center"/>
            </w:pPr>
            <w:r>
              <w:rPr>
                <w:rFonts w:ascii="Calibri" w:hAnsi="Calibri"/>
                <w:b w:val="0"/>
                <w:i w:val="0"/>
                <w:color w:val="1E293B"/>
                <w:sz w:val="18"/>
              </w:rPr>
              <w:t>Strategy</w:t>
            </w:r>
          </w:p>
        </w:tc>
      </w:tr>
      <w:tr>
        <w:tc>
          <w:tcPr>
            <w:tcW w:type="dxa" w:w="1152"/>
            <w:shd w:fill="FFFFFF"/>
            <w:tcMar>
              <w:top w:w="100" w:type="dxa"/>
              <w:bottom w:w="100" w:type="dxa"/>
              <w:left w:w="140" w:type="dxa"/>
              <w:right w:w="140" w:type="dxa"/>
            </w:tcMar>
          </w:tcPr>
          <w:p>
            <w:pPr>
              <w:spacing w:before="40" w:after="40"/>
              <w:jc w:val="center"/>
            </w:pPr>
            <w:r>
              <w:rPr>
                <w:rFonts w:ascii="Calibri" w:hAnsi="Calibri"/>
                <w:b/>
                <w:i w:val="0"/>
                <w:color w:val="1E293B"/>
                <w:sz w:val="18"/>
              </w:rPr>
              <w:t>3.0</w:t>
            </w:r>
          </w:p>
        </w:tc>
        <w:tc>
          <w:tcPr>
            <w:tcW w:type="dxa" w:w="3168"/>
            <w:shd w:fill="FFFFFF"/>
            <w:tcMar>
              <w:top w:w="100" w:type="dxa"/>
              <w:bottom w:w="100" w:type="dxa"/>
              <w:left w:w="140" w:type="dxa"/>
              <w:right w:w="140" w:type="dxa"/>
            </w:tcMar>
          </w:tcPr>
          <w:p>
            <w:pPr>
              <w:spacing w:before="40" w:after="40"/>
              <w:jc w:val="left"/>
            </w:pPr>
            <w:r>
              <w:rPr>
                <w:rFonts w:ascii="Calibri" w:hAnsi="Calibri"/>
                <w:b/>
                <w:i w:val="0"/>
                <w:color w:val="1E293B"/>
                <w:sz w:val="18"/>
              </w:rPr>
              <w:t>Full-Stack Technology Stack &amp; Architecture</w:t>
            </w:r>
          </w:p>
        </w:tc>
        <w:tc>
          <w:tcPr>
            <w:tcW w:type="dxa" w:w="3600"/>
            <w:shd w:fill="FFFFFF"/>
            <w:tcMar>
              <w:top w:w="100" w:type="dxa"/>
              <w:bottom w:w="100" w:type="dxa"/>
              <w:left w:w="140" w:type="dxa"/>
              <w:right w:w="140" w:type="dxa"/>
            </w:tcMar>
          </w:tcPr>
          <w:p>
            <w:pPr>
              <w:spacing w:before="40" w:after="40"/>
              <w:jc w:val="left"/>
            </w:pPr>
            <w:r>
              <w:rPr>
                <w:rFonts w:ascii="Calibri" w:hAnsi="Calibri"/>
                <w:b w:val="0"/>
                <w:i/>
                <w:color w:val="1E293B"/>
                <w:sz w:val="18"/>
              </w:rPr>
              <w:t>Dual-architecture: React 18 SPA, FastAPI ASGI, PostgreSQL 15, Swiggy MCP</w:t>
            </w:r>
          </w:p>
        </w:tc>
        <w:tc>
          <w:tcPr>
            <w:tcW w:type="dxa" w:w="1440"/>
            <w:shd w:fill="FFFFFF"/>
            <w:tcMar>
              <w:top w:w="100" w:type="dxa"/>
              <w:bottom w:w="100" w:type="dxa"/>
              <w:left w:w="140" w:type="dxa"/>
              <w:right w:w="140" w:type="dxa"/>
            </w:tcMar>
          </w:tcPr>
          <w:p>
            <w:pPr>
              <w:spacing w:before="40" w:after="40"/>
              <w:jc w:val="center"/>
            </w:pPr>
            <w:r>
              <w:rPr>
                <w:rFonts w:ascii="Calibri" w:hAnsi="Calibri"/>
                <w:b w:val="0"/>
                <w:i w:val="0"/>
                <w:color w:val="1E293B"/>
                <w:sz w:val="18"/>
              </w:rPr>
              <w:t>Engineering</w:t>
            </w:r>
          </w:p>
        </w:tc>
      </w:tr>
      <w:tr>
        <w:tc>
          <w:tcPr>
            <w:tcW w:type="dxa" w:w="1152"/>
            <w:shd w:fill="F8FAFC"/>
            <w:tcMar>
              <w:top w:w="100" w:type="dxa"/>
              <w:bottom w:w="100" w:type="dxa"/>
              <w:left w:w="140" w:type="dxa"/>
              <w:right w:w="140" w:type="dxa"/>
            </w:tcMar>
          </w:tcPr>
          <w:p>
            <w:pPr>
              <w:spacing w:before="40" w:after="40"/>
              <w:jc w:val="center"/>
            </w:pPr>
            <w:r>
              <w:rPr>
                <w:rFonts w:ascii="Calibri" w:hAnsi="Calibri"/>
                <w:b/>
                <w:i w:val="0"/>
                <w:color w:val="1E293B"/>
                <w:sz w:val="18"/>
              </w:rPr>
              <w:t>4.0</w:t>
            </w:r>
          </w:p>
        </w:tc>
        <w:tc>
          <w:tcPr>
            <w:tcW w:type="dxa" w:w="3168"/>
            <w:shd w:fill="F8FAFC"/>
            <w:tcMar>
              <w:top w:w="100" w:type="dxa"/>
              <w:bottom w:w="100" w:type="dxa"/>
              <w:left w:w="140" w:type="dxa"/>
              <w:right w:w="140" w:type="dxa"/>
            </w:tcMar>
          </w:tcPr>
          <w:p>
            <w:pPr>
              <w:spacing w:before="40" w:after="40"/>
              <w:jc w:val="left"/>
            </w:pPr>
            <w:r>
              <w:rPr>
                <w:rFonts w:ascii="Calibri" w:hAnsi="Calibri"/>
                <w:b/>
                <w:i w:val="0"/>
                <w:color w:val="1E293B"/>
                <w:sz w:val="18"/>
              </w:rPr>
              <w:t>Core ML Models &amp; Mathematical Pipeline</w:t>
            </w:r>
          </w:p>
        </w:tc>
        <w:tc>
          <w:tcPr>
            <w:tcW w:type="dxa" w:w="3600"/>
            <w:shd w:fill="F8FAFC"/>
            <w:tcMar>
              <w:top w:w="100" w:type="dxa"/>
              <w:bottom w:w="100" w:type="dxa"/>
              <w:left w:w="140" w:type="dxa"/>
              <w:right w:w="140" w:type="dxa"/>
            </w:tcMar>
          </w:tcPr>
          <w:p>
            <w:pPr>
              <w:spacing w:before="40" w:after="40"/>
              <w:jc w:val="left"/>
            </w:pPr>
            <w:r>
              <w:rPr>
                <w:rFonts w:ascii="Calibri" w:hAnsi="Calibri"/>
                <w:b w:val="0"/>
                <w:i/>
                <w:color w:val="1E293B"/>
                <w:sz w:val="18"/>
              </w:rPr>
              <w:t>Formulations of TF-IDF, SentenceTransformer, Random Forest, K-Means &amp; Ensemble</w:t>
            </w:r>
          </w:p>
        </w:tc>
        <w:tc>
          <w:tcPr>
            <w:tcW w:type="dxa" w:w="1440"/>
            <w:shd w:fill="F8FAFC"/>
            <w:tcMar>
              <w:top w:w="100" w:type="dxa"/>
              <w:bottom w:w="100" w:type="dxa"/>
              <w:left w:w="140" w:type="dxa"/>
              <w:right w:w="140" w:type="dxa"/>
            </w:tcMar>
          </w:tcPr>
          <w:p>
            <w:pPr>
              <w:spacing w:before="40" w:after="40"/>
              <w:jc w:val="center"/>
            </w:pPr>
            <w:r>
              <w:rPr>
                <w:rFonts w:ascii="Calibri" w:hAnsi="Calibri"/>
                <w:b w:val="0"/>
                <w:i w:val="0"/>
                <w:color w:val="1E293B"/>
                <w:sz w:val="18"/>
              </w:rPr>
              <w:t>Algorithms</w:t>
            </w:r>
          </w:p>
        </w:tc>
      </w:tr>
      <w:tr>
        <w:tc>
          <w:tcPr>
            <w:tcW w:type="dxa" w:w="1152"/>
            <w:shd w:fill="FFFFFF"/>
            <w:tcMar>
              <w:top w:w="100" w:type="dxa"/>
              <w:bottom w:w="100" w:type="dxa"/>
              <w:left w:w="140" w:type="dxa"/>
              <w:right w:w="140" w:type="dxa"/>
            </w:tcMar>
          </w:tcPr>
          <w:p>
            <w:pPr>
              <w:spacing w:before="40" w:after="40"/>
              <w:jc w:val="center"/>
            </w:pPr>
            <w:r>
              <w:rPr>
                <w:rFonts w:ascii="Calibri" w:hAnsi="Calibri"/>
                <w:b/>
                <w:i w:val="0"/>
                <w:color w:val="1E293B"/>
                <w:sz w:val="18"/>
              </w:rPr>
              <w:t>5.0</w:t>
            </w:r>
          </w:p>
        </w:tc>
        <w:tc>
          <w:tcPr>
            <w:tcW w:type="dxa" w:w="3168"/>
            <w:shd w:fill="FFFFFF"/>
            <w:tcMar>
              <w:top w:w="100" w:type="dxa"/>
              <w:bottom w:w="100" w:type="dxa"/>
              <w:left w:w="140" w:type="dxa"/>
              <w:right w:w="140" w:type="dxa"/>
            </w:tcMar>
          </w:tcPr>
          <w:p>
            <w:pPr>
              <w:spacing w:before="40" w:after="40"/>
              <w:jc w:val="left"/>
            </w:pPr>
            <w:r>
              <w:rPr>
                <w:rFonts w:ascii="Calibri" w:hAnsi="Calibri"/>
                <w:b/>
                <w:i w:val="0"/>
                <w:color w:val="1E293B"/>
                <w:sz w:val="18"/>
              </w:rPr>
              <w:t>End-to-End System Workflows &amp; Lifecycle</w:t>
            </w:r>
          </w:p>
        </w:tc>
        <w:tc>
          <w:tcPr>
            <w:tcW w:type="dxa" w:w="3600"/>
            <w:shd w:fill="FFFFFF"/>
            <w:tcMar>
              <w:top w:w="100" w:type="dxa"/>
              <w:bottom w:w="100" w:type="dxa"/>
              <w:left w:w="140" w:type="dxa"/>
              <w:right w:w="140" w:type="dxa"/>
            </w:tcMar>
          </w:tcPr>
          <w:p>
            <w:pPr>
              <w:spacing w:before="40" w:after="40"/>
              <w:jc w:val="left"/>
            </w:pPr>
            <w:r>
              <w:rPr>
                <w:rFonts w:ascii="Calibri" w:hAnsi="Calibri"/>
                <w:b w:val="0"/>
                <w:i/>
                <w:color w:val="1E293B"/>
                <w:sz w:val="18"/>
              </w:rPr>
              <w:t>User journey, request dispatching sequence, and grocery optimization engine</w:t>
            </w:r>
          </w:p>
        </w:tc>
        <w:tc>
          <w:tcPr>
            <w:tcW w:type="dxa" w:w="1440"/>
            <w:shd w:fill="FFFFFF"/>
            <w:tcMar>
              <w:top w:w="100" w:type="dxa"/>
              <w:bottom w:w="100" w:type="dxa"/>
              <w:left w:w="140" w:type="dxa"/>
              <w:right w:w="140" w:type="dxa"/>
            </w:tcMar>
          </w:tcPr>
          <w:p>
            <w:pPr>
              <w:spacing w:before="40" w:after="40"/>
              <w:jc w:val="center"/>
            </w:pPr>
            <w:r>
              <w:rPr>
                <w:rFonts w:ascii="Calibri" w:hAnsi="Calibri"/>
                <w:b w:val="0"/>
                <w:i w:val="0"/>
                <w:color w:val="1E293B"/>
                <w:sz w:val="18"/>
              </w:rPr>
              <w:t>Execution</w:t>
            </w:r>
          </w:p>
        </w:tc>
      </w:tr>
      <w:tr>
        <w:tc>
          <w:tcPr>
            <w:tcW w:type="dxa" w:w="1152"/>
            <w:shd w:fill="F8FAFC"/>
            <w:tcMar>
              <w:top w:w="100" w:type="dxa"/>
              <w:bottom w:w="100" w:type="dxa"/>
              <w:left w:w="140" w:type="dxa"/>
              <w:right w:w="140" w:type="dxa"/>
            </w:tcMar>
          </w:tcPr>
          <w:p>
            <w:pPr>
              <w:spacing w:before="40" w:after="40"/>
              <w:jc w:val="center"/>
            </w:pPr>
            <w:r>
              <w:rPr>
                <w:rFonts w:ascii="Calibri" w:hAnsi="Calibri"/>
                <w:b/>
                <w:i w:val="0"/>
                <w:color w:val="1E293B"/>
                <w:sz w:val="18"/>
              </w:rPr>
              <w:t>6.0</w:t>
            </w:r>
          </w:p>
        </w:tc>
        <w:tc>
          <w:tcPr>
            <w:tcW w:type="dxa" w:w="3168"/>
            <w:shd w:fill="F8FAFC"/>
            <w:tcMar>
              <w:top w:w="100" w:type="dxa"/>
              <w:bottom w:w="100" w:type="dxa"/>
              <w:left w:w="140" w:type="dxa"/>
              <w:right w:w="140" w:type="dxa"/>
            </w:tcMar>
          </w:tcPr>
          <w:p>
            <w:pPr>
              <w:spacing w:before="40" w:after="40"/>
              <w:jc w:val="left"/>
            </w:pPr>
            <w:r>
              <w:rPr>
                <w:rFonts w:ascii="Calibri" w:hAnsi="Calibri"/>
                <w:b/>
                <w:i w:val="0"/>
                <w:color w:val="1E293B"/>
                <w:sz w:val="18"/>
              </w:rPr>
              <w:t>Empirical Model Evaluation &amp; Visual Benchmarks</w:t>
            </w:r>
          </w:p>
        </w:tc>
        <w:tc>
          <w:tcPr>
            <w:tcW w:type="dxa" w:w="3600"/>
            <w:shd w:fill="F8FAFC"/>
            <w:tcMar>
              <w:top w:w="100" w:type="dxa"/>
              <w:bottom w:w="100" w:type="dxa"/>
              <w:left w:w="140" w:type="dxa"/>
              <w:right w:w="140" w:type="dxa"/>
            </w:tcMar>
          </w:tcPr>
          <w:p>
            <w:pPr>
              <w:spacing w:before="40" w:after="40"/>
              <w:jc w:val="left"/>
            </w:pPr>
            <w:r>
              <w:rPr>
                <w:rFonts w:ascii="Calibri" w:hAnsi="Calibri"/>
                <w:b w:val="0"/>
                <w:i/>
                <w:color w:val="1E293B"/>
                <w:sz w:val="18"/>
              </w:rPr>
              <w:t>HitRate@K curves, R² progression, Silhouette analysis, and cluster breakdown</w:t>
            </w:r>
          </w:p>
        </w:tc>
        <w:tc>
          <w:tcPr>
            <w:tcW w:type="dxa" w:w="1440"/>
            <w:shd w:fill="F8FAFC"/>
            <w:tcMar>
              <w:top w:w="100" w:type="dxa"/>
              <w:bottom w:w="100" w:type="dxa"/>
              <w:left w:w="140" w:type="dxa"/>
              <w:right w:w="140" w:type="dxa"/>
            </w:tcMar>
          </w:tcPr>
          <w:p>
            <w:pPr>
              <w:spacing w:before="40" w:after="40"/>
              <w:jc w:val="center"/>
            </w:pPr>
            <w:r>
              <w:rPr>
                <w:rFonts w:ascii="Calibri" w:hAnsi="Calibri"/>
                <w:b w:val="0"/>
                <w:i w:val="0"/>
                <w:color w:val="1E293B"/>
                <w:sz w:val="18"/>
              </w:rPr>
              <w:t>Evaluation</w:t>
            </w:r>
          </w:p>
        </w:tc>
      </w:tr>
      <w:tr>
        <w:tc>
          <w:tcPr>
            <w:tcW w:type="dxa" w:w="1152"/>
            <w:shd w:fill="FFFFFF"/>
            <w:tcMar>
              <w:top w:w="100" w:type="dxa"/>
              <w:bottom w:w="100" w:type="dxa"/>
              <w:left w:w="140" w:type="dxa"/>
              <w:right w:w="140" w:type="dxa"/>
            </w:tcMar>
          </w:tcPr>
          <w:p>
            <w:pPr>
              <w:spacing w:before="40" w:after="40"/>
              <w:jc w:val="center"/>
            </w:pPr>
            <w:r>
              <w:rPr>
                <w:rFonts w:ascii="Calibri" w:hAnsi="Calibri"/>
                <w:b/>
                <w:i w:val="0"/>
                <w:color w:val="1E293B"/>
                <w:sz w:val="18"/>
              </w:rPr>
              <w:t>7.0</w:t>
            </w:r>
          </w:p>
        </w:tc>
        <w:tc>
          <w:tcPr>
            <w:tcW w:type="dxa" w:w="3168"/>
            <w:shd w:fill="FFFFFF"/>
            <w:tcMar>
              <w:top w:w="100" w:type="dxa"/>
              <w:bottom w:w="100" w:type="dxa"/>
              <w:left w:w="140" w:type="dxa"/>
              <w:right w:w="140" w:type="dxa"/>
            </w:tcMar>
          </w:tcPr>
          <w:p>
            <w:pPr>
              <w:spacing w:before="40" w:after="40"/>
              <w:jc w:val="left"/>
            </w:pPr>
            <w:r>
              <w:rPr>
                <w:rFonts w:ascii="Calibri" w:hAnsi="Calibri"/>
                <w:b/>
                <w:i w:val="0"/>
                <w:color w:val="1E293B"/>
                <w:sz w:val="18"/>
              </w:rPr>
              <w:t>Market Research, Industry Trends &amp; Literature</w:t>
            </w:r>
          </w:p>
        </w:tc>
        <w:tc>
          <w:tcPr>
            <w:tcW w:type="dxa" w:w="3600"/>
            <w:shd w:fill="FFFFFF"/>
            <w:tcMar>
              <w:top w:w="100" w:type="dxa"/>
              <w:bottom w:w="100" w:type="dxa"/>
              <w:left w:w="140" w:type="dxa"/>
              <w:right w:w="140" w:type="dxa"/>
            </w:tcMar>
          </w:tcPr>
          <w:p>
            <w:pPr>
              <w:spacing w:before="40" w:after="40"/>
              <w:jc w:val="left"/>
            </w:pPr>
            <w:r>
              <w:rPr>
                <w:rFonts w:ascii="Calibri" w:hAnsi="Calibri"/>
                <w:b w:val="0"/>
                <w:i/>
                <w:color w:val="1E293B"/>
                <w:sz w:val="18"/>
              </w:rPr>
              <w:t>Indian quick-commerce boom (Swiggy, Zepto), competitive matrix, 14 citations</w:t>
            </w:r>
          </w:p>
        </w:tc>
        <w:tc>
          <w:tcPr>
            <w:tcW w:type="dxa" w:w="1440"/>
            <w:shd w:fill="FFFFFF"/>
            <w:tcMar>
              <w:top w:w="100" w:type="dxa"/>
              <w:bottom w:w="100" w:type="dxa"/>
              <w:left w:w="140" w:type="dxa"/>
              <w:right w:w="140" w:type="dxa"/>
            </w:tcMar>
          </w:tcPr>
          <w:p>
            <w:pPr>
              <w:spacing w:before="40" w:after="40"/>
              <w:jc w:val="center"/>
            </w:pPr>
            <w:r>
              <w:rPr>
                <w:rFonts w:ascii="Calibri" w:hAnsi="Calibri"/>
                <w:b w:val="0"/>
                <w:i w:val="0"/>
                <w:color w:val="1E293B"/>
                <w:sz w:val="18"/>
              </w:rPr>
              <w:t>Research</w:t>
            </w:r>
          </w:p>
        </w:tc>
      </w:tr>
      <w:tr>
        <w:tc>
          <w:tcPr>
            <w:tcW w:type="dxa" w:w="1152"/>
            <w:shd w:fill="F8FAFC"/>
            <w:tcMar>
              <w:top w:w="100" w:type="dxa"/>
              <w:bottom w:w="100" w:type="dxa"/>
              <w:left w:w="140" w:type="dxa"/>
              <w:right w:w="140" w:type="dxa"/>
            </w:tcMar>
          </w:tcPr>
          <w:p>
            <w:pPr>
              <w:spacing w:before="40" w:after="40"/>
              <w:jc w:val="center"/>
            </w:pPr>
            <w:r>
              <w:rPr>
                <w:rFonts w:ascii="Calibri" w:hAnsi="Calibri"/>
                <w:b/>
                <w:i w:val="0"/>
                <w:color w:val="1E293B"/>
                <w:sz w:val="18"/>
              </w:rPr>
              <w:t>8.0</w:t>
            </w:r>
          </w:p>
        </w:tc>
        <w:tc>
          <w:tcPr>
            <w:tcW w:type="dxa" w:w="3168"/>
            <w:shd w:fill="F8FAFC"/>
            <w:tcMar>
              <w:top w:w="100" w:type="dxa"/>
              <w:bottom w:w="100" w:type="dxa"/>
              <w:left w:w="140" w:type="dxa"/>
              <w:right w:w="140" w:type="dxa"/>
            </w:tcMar>
          </w:tcPr>
          <w:p>
            <w:pPr>
              <w:spacing w:before="40" w:after="40"/>
              <w:jc w:val="left"/>
            </w:pPr>
            <w:r>
              <w:rPr>
                <w:rFonts w:ascii="Calibri" w:hAnsi="Calibri"/>
                <w:b/>
                <w:i w:val="0"/>
                <w:color w:val="1E293B"/>
                <w:sz w:val="18"/>
              </w:rPr>
              <w:t>Engineering Challenges &amp; Debugging Mitigations</w:t>
            </w:r>
          </w:p>
        </w:tc>
        <w:tc>
          <w:tcPr>
            <w:tcW w:type="dxa" w:w="3600"/>
            <w:shd w:fill="F8FAFC"/>
            <w:tcMar>
              <w:top w:w="100" w:type="dxa"/>
              <w:bottom w:w="100" w:type="dxa"/>
              <w:left w:w="140" w:type="dxa"/>
              <w:right w:w="140" w:type="dxa"/>
            </w:tcMar>
          </w:tcPr>
          <w:p>
            <w:pPr>
              <w:spacing w:before="40" w:after="40"/>
              <w:jc w:val="left"/>
            </w:pPr>
            <w:r>
              <w:rPr>
                <w:rFonts w:ascii="Calibri" w:hAnsi="Calibri"/>
                <w:b w:val="0"/>
                <w:i/>
                <w:color w:val="1E293B"/>
                <w:sz w:val="18"/>
              </w:rPr>
              <w:t>Model serialization latency, proxy label calibration, and JWT race conditions</w:t>
            </w:r>
          </w:p>
        </w:tc>
        <w:tc>
          <w:tcPr>
            <w:tcW w:type="dxa" w:w="1440"/>
            <w:shd w:fill="F8FAFC"/>
            <w:tcMar>
              <w:top w:w="100" w:type="dxa"/>
              <w:bottom w:w="100" w:type="dxa"/>
              <w:left w:w="140" w:type="dxa"/>
              <w:right w:w="140" w:type="dxa"/>
            </w:tcMar>
          </w:tcPr>
          <w:p>
            <w:pPr>
              <w:spacing w:before="40" w:after="40"/>
              <w:jc w:val="center"/>
            </w:pPr>
            <w:r>
              <w:rPr>
                <w:rFonts w:ascii="Calibri" w:hAnsi="Calibri"/>
                <w:b w:val="0"/>
                <w:i w:val="0"/>
                <w:color w:val="1E293B"/>
                <w:sz w:val="18"/>
              </w:rPr>
              <w:t>Resilience</w:t>
            </w:r>
          </w:p>
        </w:tc>
      </w:tr>
      <w:tr>
        <w:tc>
          <w:tcPr>
            <w:tcW w:type="dxa" w:w="1152"/>
            <w:shd w:fill="FFFFFF"/>
            <w:tcMar>
              <w:top w:w="100" w:type="dxa"/>
              <w:bottom w:w="100" w:type="dxa"/>
              <w:left w:w="140" w:type="dxa"/>
              <w:right w:w="140" w:type="dxa"/>
            </w:tcMar>
          </w:tcPr>
          <w:p>
            <w:pPr>
              <w:spacing w:before="40" w:after="40"/>
              <w:jc w:val="center"/>
            </w:pPr>
            <w:r>
              <w:rPr>
                <w:rFonts w:ascii="Calibri" w:hAnsi="Calibri"/>
                <w:b/>
                <w:i w:val="0"/>
                <w:color w:val="1E293B"/>
                <w:sz w:val="18"/>
              </w:rPr>
              <w:t>9.0</w:t>
            </w:r>
          </w:p>
        </w:tc>
        <w:tc>
          <w:tcPr>
            <w:tcW w:type="dxa" w:w="3168"/>
            <w:shd w:fill="FFFFFF"/>
            <w:tcMar>
              <w:top w:w="100" w:type="dxa"/>
              <w:bottom w:w="100" w:type="dxa"/>
              <w:left w:w="140" w:type="dxa"/>
              <w:right w:w="140" w:type="dxa"/>
            </w:tcMar>
          </w:tcPr>
          <w:p>
            <w:pPr>
              <w:spacing w:before="40" w:after="40"/>
              <w:jc w:val="left"/>
            </w:pPr>
            <w:r>
              <w:rPr>
                <w:rFonts w:ascii="Calibri" w:hAnsi="Calibri"/>
                <w:b/>
                <w:i w:val="0"/>
                <w:color w:val="1E293B"/>
                <w:sz w:val="18"/>
              </w:rPr>
              <w:t>Conclusion, Deliverables Matrix &amp; Future Work</w:t>
            </w:r>
          </w:p>
        </w:tc>
        <w:tc>
          <w:tcPr>
            <w:tcW w:type="dxa" w:w="3600"/>
            <w:shd w:fill="FFFFFF"/>
            <w:tcMar>
              <w:top w:w="100" w:type="dxa"/>
              <w:bottom w:w="100" w:type="dxa"/>
              <w:left w:w="140" w:type="dxa"/>
              <w:right w:w="140" w:type="dxa"/>
            </w:tcMar>
          </w:tcPr>
          <w:p>
            <w:pPr>
              <w:spacing w:before="40" w:after="40"/>
              <w:jc w:val="left"/>
            </w:pPr>
            <w:r>
              <w:rPr>
                <w:rFonts w:ascii="Calibri" w:hAnsi="Calibri"/>
                <w:b w:val="0"/>
                <w:i/>
                <w:color w:val="1E293B"/>
                <w:sz w:val="18"/>
              </w:rPr>
              <w:t>Formal acceptance criteria, production readiness, and long-term ML roadmap</w:t>
            </w:r>
          </w:p>
        </w:tc>
        <w:tc>
          <w:tcPr>
            <w:tcW w:type="dxa" w:w="1440"/>
            <w:shd w:fill="FFFFFF"/>
            <w:tcMar>
              <w:top w:w="100" w:type="dxa"/>
              <w:bottom w:w="100" w:type="dxa"/>
              <w:left w:w="140" w:type="dxa"/>
              <w:right w:w="140" w:type="dxa"/>
            </w:tcMar>
          </w:tcPr>
          <w:p>
            <w:pPr>
              <w:spacing w:before="40" w:after="40"/>
              <w:jc w:val="center"/>
            </w:pPr>
            <w:r>
              <w:rPr>
                <w:rFonts w:ascii="Calibri" w:hAnsi="Calibri"/>
                <w:b w:val="0"/>
                <w:i w:val="0"/>
                <w:color w:val="1E293B"/>
                <w:sz w:val="18"/>
              </w:rPr>
              <w:t>Closure</w:t>
            </w:r>
          </w:p>
        </w:tc>
      </w:tr>
      <w:tr>
        <w:tc>
          <w:tcPr>
            <w:tcW w:type="dxa" w:w="1152"/>
            <w:shd w:fill="F8FAFC"/>
            <w:tcMar>
              <w:top w:w="100" w:type="dxa"/>
              <w:bottom w:w="100" w:type="dxa"/>
              <w:left w:w="140" w:type="dxa"/>
              <w:right w:w="140" w:type="dxa"/>
            </w:tcMar>
          </w:tcPr>
          <w:p>
            <w:pPr>
              <w:spacing w:before="40" w:after="40"/>
              <w:jc w:val="center"/>
            </w:pPr>
            <w:r>
              <w:rPr>
                <w:rFonts w:ascii="Calibri" w:hAnsi="Calibri"/>
                <w:b/>
                <w:i w:val="0"/>
                <w:color w:val="1E293B"/>
                <w:sz w:val="18"/>
              </w:rPr>
              <w:t>10.0</w:t>
            </w:r>
          </w:p>
        </w:tc>
        <w:tc>
          <w:tcPr>
            <w:tcW w:type="dxa" w:w="3168"/>
            <w:shd w:fill="F8FAFC"/>
            <w:tcMar>
              <w:top w:w="100" w:type="dxa"/>
              <w:bottom w:w="100" w:type="dxa"/>
              <w:left w:w="140" w:type="dxa"/>
              <w:right w:w="140" w:type="dxa"/>
            </w:tcMar>
          </w:tcPr>
          <w:p>
            <w:pPr>
              <w:spacing w:before="40" w:after="40"/>
              <w:jc w:val="left"/>
            </w:pPr>
            <w:r>
              <w:rPr>
                <w:rFonts w:ascii="Calibri" w:hAnsi="Calibri"/>
                <w:b/>
                <w:i w:val="0"/>
                <w:color w:val="1E293B"/>
                <w:sz w:val="18"/>
              </w:rPr>
              <w:t>Formal Academic &amp; Industry References</w:t>
            </w:r>
          </w:p>
        </w:tc>
        <w:tc>
          <w:tcPr>
            <w:tcW w:type="dxa" w:w="3600"/>
            <w:shd w:fill="F8FAFC"/>
            <w:tcMar>
              <w:top w:w="100" w:type="dxa"/>
              <w:bottom w:w="100" w:type="dxa"/>
              <w:left w:w="140" w:type="dxa"/>
              <w:right w:w="140" w:type="dxa"/>
            </w:tcMar>
          </w:tcPr>
          <w:p>
            <w:pPr>
              <w:spacing w:before="40" w:after="40"/>
              <w:jc w:val="left"/>
            </w:pPr>
            <w:r>
              <w:rPr>
                <w:rFonts w:ascii="Calibri" w:hAnsi="Calibri"/>
                <w:b w:val="0"/>
                <w:i/>
                <w:color w:val="1E293B"/>
                <w:sz w:val="18"/>
              </w:rPr>
              <w:t>14 formal peer-reviewed academic papers, datasets, and commercial reports</w:t>
            </w:r>
          </w:p>
        </w:tc>
        <w:tc>
          <w:tcPr>
            <w:tcW w:type="dxa" w:w="1440"/>
            <w:shd w:fill="F8FAFC"/>
            <w:tcMar>
              <w:top w:w="100" w:type="dxa"/>
              <w:bottom w:w="100" w:type="dxa"/>
              <w:left w:w="140" w:type="dxa"/>
              <w:right w:w="140" w:type="dxa"/>
            </w:tcMar>
          </w:tcPr>
          <w:p>
            <w:pPr>
              <w:spacing w:before="40" w:after="40"/>
              <w:jc w:val="center"/>
            </w:pPr>
            <w:r>
              <w:rPr>
                <w:rFonts w:ascii="Calibri" w:hAnsi="Calibri"/>
                <w:b w:val="0"/>
                <w:i w:val="0"/>
                <w:color w:val="1E293B"/>
                <w:sz w:val="18"/>
              </w:rPr>
              <w:t>Bibliography</w:t>
            </w:r>
          </w:p>
        </w:tc>
      </w:tr>
    </w:tbl>
    <w:p>
      <w:r>
        <w:br w:type="page"/>
      </w:r>
    </w:p>
    <w:p>
      <w:pPr>
        <w:pStyle w:val="Heading1"/>
        <w:keepNext/>
        <w:spacing w:before="360" w:after="120"/>
      </w:pPr>
      <w:r>
        <w:rPr>
          <w:rFonts w:ascii="Calibri" w:hAnsi="Calibri"/>
          <w:b/>
          <w:color w:val="0A2540"/>
          <w:sz w:val="32"/>
        </w:rPr>
        <w:t>1.0 Executive Summary &amp; Architectural Scope</w:t>
      </w:r>
    </w:p>
    <w:p>
      <w:pPr>
        <w:spacing w:before="0" w:after="120" w:line="276" w:lineRule="auto"/>
      </w:pPr>
      <w:r>
        <w:rPr>
          <w:rFonts w:ascii="Calibri" w:hAnsi="Calibri"/>
          <w:i w:val="0"/>
          <w:color w:val="1E293B"/>
          <w:sz w:val="20"/>
        </w:rPr>
        <w:t>DishIQ is an enterprise-grade, intelligence-first recipe platform engineered to bridge the critical disconnect between digital culinary discovery and practical kitchen execution. The software system represents an end-to-end synthesis of distributed web technologies and modern machine learning pipelines, engineered across sixteen rigorous development phases. Rather than serving as a passive recipe repository, DishIQ actively inspects the user's registered pantry state, dynamically matches unstructured natural language queries against dense semantic embeddings, predicts preparation suitability using ensemble regression, and connects to external quick-commerce delivery ecosystems in real time.</w:t>
      </w:r>
    </w:p>
    <w:p>
      <w:pPr>
        <w:spacing w:before="0" w:after="120" w:line="276" w:lineRule="auto"/>
      </w:pPr>
      <w:r>
        <w:rPr>
          <w:rFonts w:ascii="Calibri" w:hAnsi="Calibri"/>
          <w:i w:val="0"/>
          <w:color w:val="1E293B"/>
          <w:sz w:val="20"/>
        </w:rPr>
        <w:t>The project arose from a profound recognition of the operational deficiencies inherent in contemporary culinary media. While culinary content on video platforms like YouTube and commercial recipe websites has proliferated to hundreds of millions of entries, the actual cognitive burden of preparing a meal at home has increased. Users are confronted with an overwhelming variety of options, no visibility into whether their current pantry inventory is sufficient, and an absolute disconnection from the retail supply chains required to purchase missing ingredients. DishIQ solves this systemic failure by unifying recommendation, inventory tracking, and automated retail procurement into a single deterministic software pipeline.</w:t>
      </w:r>
    </w:p>
    <w:p>
      <w:pPr>
        <w:spacing w:before="0" w:after="120" w:line="276" w:lineRule="auto"/>
      </w:pPr>
      <w:r>
        <w:rPr>
          <w:rFonts w:ascii="Calibri" w:hAnsi="Calibri"/>
          <w:i w:val="0"/>
          <w:color w:val="1E293B"/>
          <w:sz w:val="20"/>
        </w:rPr>
        <w:t>From an engineering and verification standpoint, the platform exhibits bulletproof production readiness. The client-side presentation tier comprises a modular React 18 Single-Page Application (SPA) driven by Zustand reactive state management and styled with Tailwind CSS, verified through an exhaustive test suite of 309 green automated tests in Vitest and React Testing Library. The server tier operates on an asynchronous Python 3.11 FastAPI gateway running on Uvicorn, backed by SQLAlchemy 2.0 object-relational mapping and an ACID-compliant PostgreSQL 15 database, fully verified by over 530 passing backend pytest assertions across authentication, recipe indexing, pantry state synchronization, and machine learning inference endpoints.</w:t>
      </w:r>
    </w:p>
    <w:p>
      <w:pPr>
        <w:spacing w:before="0" w:after="120" w:line="276" w:lineRule="auto"/>
      </w:pPr>
      <w:r>
        <w:rPr>
          <w:rFonts w:ascii="Calibri" w:hAnsi="Calibri"/>
          <w:i w:val="0"/>
          <w:color w:val="1E293B"/>
          <w:sz w:val="20"/>
        </w:rPr>
        <w:t>The system's core intelligence tier operates on five distinct machine learning models serialized via Joblib and loaded into an optimized in-memory inference cache: an n-gram TF-IDF retrieval model (v2.0), a pre-trained SentenceTransformer bi-encoder (all-MiniLM-L6-v2), a 150-tree Random Forest suitability regressor, an unsupervised K-Means behavioral clusterer (k=2), and dense product embeddings for automated catalog matching. The unified inference pipeline operates with sub-200 millisecond response times, providing users with an unprecedented level of real-time cooking intelligence.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none"/>
              <w:left w:val="single" w:sz="36" w:space="0" w:color="1E5180"/>
              <w:bottom w:val="none"/>
              <w:right w:val="none"/>
            </w:tcBorders>
          </w:tcPr>
          <w:p>
            <w:pPr>
              <w:spacing w:before="40" w:after="40" w:line="276" w:lineRule="auto"/>
            </w:pPr>
            <w:r>
              <w:rPr>
                <w:rFonts w:ascii="Calibri" w:hAnsi="Calibri"/>
                <w:b/>
                <w:color w:val="0A2540"/>
                <w:sz w:val="19"/>
              </w:rPr>
              <w:t>CRITICAL ARCHITECTURAL INSIGHT: CORE VALUE PROPOSITION &amp; STRATEGIC MISSION</w:t>
              <w:br/>
            </w:r>
            <w:r>
              <w:rPr>
                <w:rFonts w:ascii="Calibri" w:hAnsi="Calibri"/>
                <w:i/>
                <w:color w:val="1E293B"/>
                <w:sz w:val="18"/>
              </w:rPr>
              <w:t>DishIQ eliminates the traditional three-way friction of home cooking: (1) cognitive paralysis in choosing a recipe, (2) pantry ingredient mismatches causing emergency grocery runs or wasted produce, and (3) manual ingredient price cross-referencing across quick-commerce platforms. DishIQ computes this entire journey in a single deterministic request pipeline.</w:t>
            </w:r>
          </w:p>
        </w:tc>
      </w:tr>
    </w:tbl>
    <w:p>
      <w:pPr>
        <w:spacing w:after="80"/>
      </w:pPr>
    </w:p>
    <w:p>
      <w:pPr>
        <w:pStyle w:val="Heading1"/>
        <w:keepNext/>
        <w:spacing w:before="360" w:after="120"/>
      </w:pPr>
      <w:r>
        <w:rPr>
          <w:rFonts w:ascii="Calibri" w:hAnsi="Calibri"/>
          <w:b/>
          <w:color w:val="0A2540"/>
          <w:sz w:val="32"/>
        </w:rPr>
        <w:t>2.0 Problem Statement, Uniqueness &amp; Comparative Paradigm Analysis</w:t>
      </w:r>
    </w:p>
    <w:p>
      <w:pPr>
        <w:pStyle w:val="Heading2"/>
        <w:keepNext/>
        <w:spacing w:before="280" w:after="80"/>
      </w:pPr>
      <w:r>
        <w:rPr>
          <w:rFonts w:ascii="Calibri" w:hAnsi="Calibri"/>
          <w:b/>
          <w:color w:val="1E5180"/>
          <w:sz w:val="26"/>
        </w:rPr>
        <w:t>2.1 The Digital Culinary Dilemma: The Triad of Home Cooking Friction</w:t>
      </w:r>
    </w:p>
    <w:p>
      <w:pPr>
        <w:spacing w:before="0" w:after="120" w:line="276" w:lineRule="auto"/>
      </w:pPr>
      <w:r>
        <w:rPr>
          <w:rFonts w:ascii="Calibri" w:hAnsi="Calibri"/>
          <w:i w:val="0"/>
          <w:color w:val="1E293B"/>
          <w:sz w:val="20"/>
        </w:rPr>
        <w:t>Home culinary preparation in the modern era suffers from a fundamental structural paradox: while access to culinary information has expanded exponentially through video-sharing networks and culinary websites, domestic cooking efficiency and satisfaction have sharply declined. This phenomenon stems from three interrelated structural problems:</w:t>
      </w:r>
    </w:p>
    <w:p>
      <w:pPr>
        <w:spacing w:before="0" w:after="120" w:line="276" w:lineRule="auto"/>
      </w:pPr>
      <w:r>
        <w:rPr>
          <w:rFonts w:ascii="Calibri" w:hAnsi="Calibri"/>
          <w:b/>
          <w:color w:val="0A2540"/>
          <w:sz w:val="20"/>
        </w:rPr>
        <w:t xml:space="preserve">1. Culinary Discovery Paralysis (The Choice Paradox): </w:t>
      </w:r>
      <w:r>
        <w:rPr>
          <w:rFonts w:ascii="Calibri" w:hAnsi="Calibri"/>
          <w:i w:val="0"/>
          <w:color w:val="1E293B"/>
          <w:sz w:val="20"/>
        </w:rPr>
        <w:t>When an individual seeks to prepare a meal, querying general-purpose search engines or social media yields tens of thousands of unstructured results ranked strictly by engagement metrics (views, likes, algorithmic click-through rate) rather than personal feasibility. The cook is forced to review extensive video timelines or read lengthy narrative blog posts simply to evaluate whether the required ingredients exist in their home. This produces profound decision fatigue and cooking paralysis.</w:t>
      </w:r>
    </w:p>
    <w:p>
      <w:pPr>
        <w:spacing w:before="0" w:after="120" w:line="276" w:lineRule="auto"/>
      </w:pPr>
      <w:r>
        <w:rPr>
          <w:rFonts w:ascii="Calibri" w:hAnsi="Calibri"/>
          <w:b/>
          <w:color w:val="0A2540"/>
          <w:sz w:val="20"/>
        </w:rPr>
        <w:t xml:space="preserve">2. Domestic Ingredient Waste &amp; Financial Drain: </w:t>
      </w:r>
      <w:r>
        <w:rPr>
          <w:rFonts w:ascii="Calibri" w:hAnsi="Calibri"/>
          <w:i w:val="0"/>
          <w:color w:val="1E293B"/>
          <w:sz w:val="20"/>
        </w:rPr>
        <w:t>According to the 2023 Household Food Waste Survey published by the Food Safety and Standards Authority of India (FSSAI), approximately 40% of purchased household produce and perishable spices are discarded before consumption. This occurs primarily because consumers purchase specialized ingredients for isolated recipes without an automated mechanism to cycle existing pantry stocks. The economic loss averages over ₹1,200 per urban household each month.</w:t>
      </w:r>
    </w:p>
    <w:p>
      <w:pPr>
        <w:spacing w:before="0" w:after="120" w:line="276" w:lineRule="auto"/>
      </w:pPr>
      <w:r>
        <w:rPr>
          <w:rFonts w:ascii="Calibri" w:hAnsi="Calibri"/>
          <w:b/>
          <w:color w:val="0A2540"/>
          <w:sz w:val="20"/>
        </w:rPr>
        <w:t xml:space="preserve">3. The Fragmented Commerce Gap: </w:t>
      </w:r>
      <w:r>
        <w:rPr>
          <w:rFonts w:ascii="Calibri" w:hAnsi="Calibri"/>
          <w:i w:val="0"/>
          <w:color w:val="1E293B"/>
          <w:sz w:val="20"/>
        </w:rPr>
        <w:t>Discovering a recipe and purchasing missing ingredients currently exist in completely segregated application silos. A user must manually transcribe missing ingredients into a quick-commerce application (such as Swiggy Instamart, Zepto, or Blinkit), resolve ambiguities in pack sizes and brand availability, and endure multiple delivery charges. The absence of an automated bridge between culinary intent and retail fulfillment creates enormous friction.</w:t>
      </w:r>
    </w:p>
    <w:p>
      <w:pPr>
        <w:pStyle w:val="Heading2"/>
        <w:keepNext/>
        <w:spacing w:before="280" w:after="80"/>
      </w:pPr>
      <w:r>
        <w:rPr>
          <w:rFonts w:ascii="Calibri" w:hAnsi="Calibri"/>
          <w:b/>
          <w:color w:val="1E5180"/>
          <w:sz w:val="26"/>
        </w:rPr>
        <w:t>2.2 Deep Uniqueness: Why DishIQ Outperforms YouTube and Generic Platforms</w:t>
      </w:r>
    </w:p>
    <w:p>
      <w:pPr>
        <w:spacing w:before="0" w:after="120" w:line="276" w:lineRule="auto"/>
      </w:pPr>
      <w:r>
        <w:rPr>
          <w:rFonts w:ascii="Calibri" w:hAnsi="Calibri"/>
          <w:i w:val="0"/>
          <w:color w:val="1E293B"/>
          <w:sz w:val="20"/>
        </w:rPr>
        <w:t>YouTube is overwhelmingly the dominant culinary content destination in India, serving over 300 million food preparation video queries every month. However, YouTube's fundamental architectural design as an ad-supported video streaming network makes it structurally incapable of solving the home cook's operational problem. The table below delineates the algorithmic and functional superiority of DishIQ over YouTube and traditional recipe aggregators.</w:t>
      </w:r>
    </w:p>
    <w:tbl>
      <w:tblPr>
        <w:tblW w:type="auto" w:w="0"/>
        <w:jc w:val="center"/>
        <w:tblLook w:firstColumn="1" w:firstRow="1" w:lastColumn="0" w:lastRow="0" w:noHBand="0" w:noVBand="1" w:val="04A0"/>
      </w:tblPr>
      <w:tblGrid>
        <w:gridCol w:w="3120"/>
        <w:gridCol w:w="3120"/>
        <w:gridCol w:w="3120"/>
      </w:tblGrid>
      <w:tr>
        <w:tc>
          <w:tcPr>
            <w:tcW w:type="dxa" w:w="2592"/>
            <w:shd w:fill="0A2540"/>
            <w:tcMar>
              <w:top w:w="140" w:type="dxa"/>
              <w:bottom w:w="140" w:type="dxa"/>
              <w:left w:w="150" w:type="dxa"/>
              <w:right w:w="150" w:type="dxa"/>
            </w:tcMar>
          </w:tcPr>
          <w:p>
            <w:pPr>
              <w:spacing w:before="40" w:after="40"/>
              <w:jc w:val="left"/>
            </w:pPr>
            <w:r>
              <w:rPr>
                <w:rFonts w:ascii="Calibri" w:hAnsi="Calibri"/>
                <w:b/>
                <w:color w:val="FFFFFF"/>
                <w:sz w:val="19"/>
              </w:rPr>
              <w:t>Functional Dimension</w:t>
            </w:r>
          </w:p>
        </w:tc>
        <w:tc>
          <w:tcPr>
            <w:tcW w:type="dxa" w:w="3312"/>
            <w:shd w:fill="0A2540"/>
            <w:tcMar>
              <w:top w:w="140" w:type="dxa"/>
              <w:bottom w:w="140" w:type="dxa"/>
              <w:left w:w="150" w:type="dxa"/>
              <w:right w:w="150" w:type="dxa"/>
            </w:tcMar>
          </w:tcPr>
          <w:p>
            <w:pPr>
              <w:spacing w:before="40" w:after="40"/>
              <w:jc w:val="left"/>
            </w:pPr>
            <w:r>
              <w:rPr>
                <w:rFonts w:ascii="Calibri" w:hAnsi="Calibri"/>
                <w:b/>
                <w:color w:val="FFFFFF"/>
                <w:sz w:val="19"/>
              </w:rPr>
              <w:t>YouTube &amp; Generic Platforms</w:t>
            </w:r>
          </w:p>
        </w:tc>
        <w:tc>
          <w:tcPr>
            <w:tcW w:type="dxa" w:w="3456"/>
            <w:shd w:fill="0A2540"/>
            <w:tcMar>
              <w:top w:w="140" w:type="dxa"/>
              <w:bottom w:w="140" w:type="dxa"/>
              <w:left w:w="150" w:type="dxa"/>
              <w:right w:w="150" w:type="dxa"/>
            </w:tcMar>
          </w:tcPr>
          <w:p>
            <w:pPr>
              <w:spacing w:before="40" w:after="40"/>
              <w:jc w:val="left"/>
            </w:pPr>
            <w:r>
              <w:rPr>
                <w:rFonts w:ascii="Calibri" w:hAnsi="Calibri"/>
                <w:b/>
                <w:color w:val="FFFFFF"/>
                <w:sz w:val="19"/>
              </w:rPr>
              <w:t>DishIQ AI Intelligence Platform</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Recommendation Objective</w:t>
            </w:r>
          </w:p>
        </w:tc>
        <w:tc>
          <w:tcPr>
            <w:tcW w:type="dxa" w:w="3312"/>
            <w:shd w:fill="FFFFFF"/>
            <w:tcMar>
              <w:top w:w="100" w:type="dxa"/>
              <w:bottom w:w="100" w:type="dxa"/>
              <w:left w:w="140" w:type="dxa"/>
              <w:right w:w="140" w:type="dxa"/>
            </w:tcMar>
          </w:tcPr>
          <w:p>
            <w:pPr>
              <w:spacing w:before="40" w:after="40"/>
              <w:jc w:val="left"/>
            </w:pPr>
            <w:r>
              <w:rPr>
                <w:rFonts w:ascii="Calibri" w:hAnsi="Calibri"/>
                <w:b w:val="0"/>
                <w:i/>
                <w:color w:val="1E293B"/>
                <w:sz w:val="18"/>
              </w:rPr>
              <w:t>Maximizes watch time, ad impressions, and video engagement.</w:t>
            </w:r>
          </w:p>
        </w:tc>
        <w:tc>
          <w:tcPr>
            <w:tcW w:type="dxa" w:w="3456"/>
            <w:shd w:fill="FFFFFF"/>
            <w:tcMar>
              <w:top w:w="100" w:type="dxa"/>
              <w:bottom w:w="100" w:type="dxa"/>
              <w:left w:w="140" w:type="dxa"/>
              <w:right w:w="140" w:type="dxa"/>
            </w:tcMar>
          </w:tcPr>
          <w:p>
            <w:pPr>
              <w:spacing w:before="40" w:after="40"/>
              <w:jc w:val="left"/>
            </w:pPr>
            <w:r>
              <w:rPr>
                <w:rFonts w:ascii="Calibri" w:hAnsi="Calibri"/>
                <w:b w:val="0"/>
                <w:i w:val="0"/>
                <w:color w:val="1E293B"/>
                <w:sz w:val="18"/>
              </w:rPr>
              <w:t>Minimizes ingredient waste and preparation friction.</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Pantry Awareness</w:t>
            </w:r>
          </w:p>
        </w:tc>
        <w:tc>
          <w:tcPr>
            <w:tcW w:type="dxa" w:w="3312"/>
            <w:shd w:fill="F8FAFC"/>
            <w:tcMar>
              <w:top w:w="100" w:type="dxa"/>
              <w:bottom w:w="100" w:type="dxa"/>
              <w:left w:w="140" w:type="dxa"/>
              <w:right w:w="140" w:type="dxa"/>
            </w:tcMar>
          </w:tcPr>
          <w:p>
            <w:pPr>
              <w:spacing w:before="40" w:after="40"/>
              <w:jc w:val="left"/>
            </w:pPr>
            <w:r>
              <w:rPr>
                <w:rFonts w:ascii="Calibri" w:hAnsi="Calibri"/>
                <w:b w:val="0"/>
                <w:i/>
                <w:color w:val="1E293B"/>
                <w:sz w:val="18"/>
              </w:rPr>
              <w:t>Zero context; completely blind to household pantry inventory.</w:t>
            </w:r>
          </w:p>
        </w:tc>
        <w:tc>
          <w:tcPr>
            <w:tcW w:type="dxa" w:w="3456"/>
            <w:shd w:fill="F8FAFC"/>
            <w:tcMar>
              <w:top w:w="100" w:type="dxa"/>
              <w:bottom w:w="100" w:type="dxa"/>
              <w:left w:w="140" w:type="dxa"/>
              <w:right w:w="140" w:type="dxa"/>
            </w:tcMar>
          </w:tcPr>
          <w:p>
            <w:pPr>
              <w:spacing w:before="40" w:after="40"/>
              <w:jc w:val="left"/>
            </w:pPr>
            <w:r>
              <w:rPr>
                <w:rFonts w:ascii="Calibri" w:hAnsi="Calibri"/>
                <w:b w:val="0"/>
                <w:i w:val="0"/>
                <w:color w:val="1E293B"/>
                <w:sz w:val="18"/>
              </w:rPr>
              <w:t>Direct mathematical scoring of pantry inventory overlap (δ=0.25).</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Search Mechanics</w:t>
            </w:r>
          </w:p>
        </w:tc>
        <w:tc>
          <w:tcPr>
            <w:tcW w:type="dxa" w:w="3312"/>
            <w:shd w:fill="FFFFFF"/>
            <w:tcMar>
              <w:top w:w="100" w:type="dxa"/>
              <w:bottom w:w="100" w:type="dxa"/>
              <w:left w:w="140" w:type="dxa"/>
              <w:right w:w="140" w:type="dxa"/>
            </w:tcMar>
          </w:tcPr>
          <w:p>
            <w:pPr>
              <w:spacing w:before="40" w:after="40"/>
              <w:jc w:val="left"/>
            </w:pPr>
            <w:r>
              <w:rPr>
                <w:rFonts w:ascii="Calibri" w:hAnsi="Calibri"/>
                <w:b w:val="0"/>
                <w:i/>
                <w:color w:val="1E293B"/>
                <w:sz w:val="18"/>
              </w:rPr>
              <w:t>Keyword and title matching vulnerable to SEO clickbait.</w:t>
            </w:r>
          </w:p>
        </w:tc>
        <w:tc>
          <w:tcPr>
            <w:tcW w:type="dxa" w:w="3456"/>
            <w:shd w:fill="FFFFFF"/>
            <w:tcMar>
              <w:top w:w="100" w:type="dxa"/>
              <w:bottom w:w="100" w:type="dxa"/>
              <w:left w:w="140" w:type="dxa"/>
              <w:right w:w="140" w:type="dxa"/>
            </w:tcMar>
          </w:tcPr>
          <w:p>
            <w:pPr>
              <w:spacing w:before="40" w:after="40"/>
              <w:jc w:val="left"/>
            </w:pPr>
            <w:r>
              <w:rPr>
                <w:rFonts w:ascii="Calibri" w:hAnsi="Calibri"/>
                <w:b w:val="0"/>
                <w:i w:val="0"/>
                <w:color w:val="1E293B"/>
                <w:sz w:val="18"/>
              </w:rPr>
              <w:t>Dense 384-d semantic embedding match (all-MiniLM-L6-v2) + TF-IDF.</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Dietary Enforcement</w:t>
            </w:r>
          </w:p>
        </w:tc>
        <w:tc>
          <w:tcPr>
            <w:tcW w:type="dxa" w:w="3312"/>
            <w:shd w:fill="F8FAFC"/>
            <w:tcMar>
              <w:top w:w="100" w:type="dxa"/>
              <w:bottom w:w="100" w:type="dxa"/>
              <w:left w:w="140" w:type="dxa"/>
              <w:right w:w="140" w:type="dxa"/>
            </w:tcMar>
          </w:tcPr>
          <w:p>
            <w:pPr>
              <w:spacing w:before="40" w:after="40"/>
              <w:jc w:val="left"/>
            </w:pPr>
            <w:r>
              <w:rPr>
                <w:rFonts w:ascii="Calibri" w:hAnsi="Calibri"/>
                <w:b w:val="0"/>
                <w:i/>
                <w:color w:val="1E293B"/>
                <w:sz w:val="18"/>
              </w:rPr>
              <w:t>Manual keyword scanning; high risk of hidden non-compliant items.</w:t>
            </w:r>
          </w:p>
        </w:tc>
        <w:tc>
          <w:tcPr>
            <w:tcW w:type="dxa" w:w="3456"/>
            <w:shd w:fill="F8FAFC"/>
            <w:tcMar>
              <w:top w:w="100" w:type="dxa"/>
              <w:bottom w:w="100" w:type="dxa"/>
              <w:left w:w="140" w:type="dxa"/>
              <w:right w:w="140" w:type="dxa"/>
            </w:tcMar>
          </w:tcPr>
          <w:p>
            <w:pPr>
              <w:spacing w:before="40" w:after="40"/>
              <w:jc w:val="left"/>
            </w:pPr>
            <w:r>
              <w:rPr>
                <w:rFonts w:ascii="Calibri" w:hAnsi="Calibri"/>
                <w:b w:val="0"/>
                <w:i w:val="0"/>
                <w:color w:val="1E293B"/>
                <w:sz w:val="18"/>
              </w:rPr>
              <w:t>Strict ML feature filtering across Vegetarian, Vegan, Jain, and Halal.</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Grocery Procurement</w:t>
            </w:r>
          </w:p>
        </w:tc>
        <w:tc>
          <w:tcPr>
            <w:tcW w:type="dxa" w:w="3312"/>
            <w:shd w:fill="FFFFFF"/>
            <w:tcMar>
              <w:top w:w="100" w:type="dxa"/>
              <w:bottom w:w="100" w:type="dxa"/>
              <w:left w:w="140" w:type="dxa"/>
              <w:right w:w="140" w:type="dxa"/>
            </w:tcMar>
          </w:tcPr>
          <w:p>
            <w:pPr>
              <w:spacing w:before="40" w:after="40"/>
              <w:jc w:val="left"/>
            </w:pPr>
            <w:r>
              <w:rPr>
                <w:rFonts w:ascii="Calibri" w:hAnsi="Calibri"/>
                <w:b w:val="0"/>
                <w:i/>
                <w:color w:val="1E293B"/>
                <w:sz w:val="18"/>
              </w:rPr>
              <w:t>None; user must manually cross-reference separate shopping apps.</w:t>
            </w:r>
          </w:p>
        </w:tc>
        <w:tc>
          <w:tcPr>
            <w:tcW w:type="dxa" w:w="3456"/>
            <w:shd w:fill="FFFFFF"/>
            <w:tcMar>
              <w:top w:w="100" w:type="dxa"/>
              <w:bottom w:w="100" w:type="dxa"/>
              <w:left w:w="140" w:type="dxa"/>
              <w:right w:w="140" w:type="dxa"/>
            </w:tcMar>
          </w:tcPr>
          <w:p>
            <w:pPr>
              <w:spacing w:before="40" w:after="40"/>
              <w:jc w:val="left"/>
            </w:pPr>
            <w:r>
              <w:rPr>
                <w:rFonts w:ascii="Calibri" w:hAnsi="Calibri"/>
                <w:b w:val="0"/>
                <w:i w:val="0"/>
                <w:color w:val="1E293B"/>
                <w:sz w:val="18"/>
              </w:rPr>
              <w:t>Automated missing-ingredient gap detection &amp; real-time Swiggy MCP cart.</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Cooking Guidance</w:t>
            </w:r>
          </w:p>
        </w:tc>
        <w:tc>
          <w:tcPr>
            <w:tcW w:type="dxa" w:w="3312"/>
            <w:shd w:fill="F8FAFC"/>
            <w:tcMar>
              <w:top w:w="100" w:type="dxa"/>
              <w:bottom w:w="100" w:type="dxa"/>
              <w:left w:w="140" w:type="dxa"/>
              <w:right w:w="140" w:type="dxa"/>
            </w:tcMar>
          </w:tcPr>
          <w:p>
            <w:pPr>
              <w:spacing w:before="40" w:after="40"/>
              <w:jc w:val="left"/>
            </w:pPr>
            <w:r>
              <w:rPr>
                <w:rFonts w:ascii="Calibri" w:hAnsi="Calibri"/>
                <w:b w:val="0"/>
                <w:i/>
                <w:color w:val="1E293B"/>
                <w:sz w:val="18"/>
              </w:rPr>
              <w:t>Linear video requiring repeated pausing with wet/messy hands.</w:t>
            </w:r>
          </w:p>
        </w:tc>
        <w:tc>
          <w:tcPr>
            <w:tcW w:type="dxa" w:w="3456"/>
            <w:shd w:fill="F8FAFC"/>
            <w:tcMar>
              <w:top w:w="100" w:type="dxa"/>
              <w:bottom w:w="100" w:type="dxa"/>
              <w:left w:w="140" w:type="dxa"/>
              <w:right w:w="140" w:type="dxa"/>
            </w:tcMar>
          </w:tcPr>
          <w:p>
            <w:pPr>
              <w:spacing w:before="40" w:after="40"/>
              <w:jc w:val="left"/>
            </w:pPr>
            <w:r>
              <w:rPr>
                <w:rFonts w:ascii="Calibri" w:hAnsi="Calibri"/>
                <w:b w:val="0"/>
                <w:i w:val="0"/>
                <w:color w:val="1E293B"/>
                <w:sz w:val="18"/>
              </w:rPr>
              <w:t>Dedicated interactive step-by-step cooking interface with timers.</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Recipe Quality Metric</w:t>
            </w:r>
          </w:p>
        </w:tc>
        <w:tc>
          <w:tcPr>
            <w:tcW w:type="dxa" w:w="3312"/>
            <w:shd w:fill="FFFFFF"/>
            <w:tcMar>
              <w:top w:w="100" w:type="dxa"/>
              <w:bottom w:w="100" w:type="dxa"/>
              <w:left w:w="140" w:type="dxa"/>
              <w:right w:w="140" w:type="dxa"/>
            </w:tcMar>
          </w:tcPr>
          <w:p>
            <w:pPr>
              <w:spacing w:before="40" w:after="40"/>
              <w:jc w:val="left"/>
            </w:pPr>
            <w:r>
              <w:rPr>
                <w:rFonts w:ascii="Calibri" w:hAnsi="Calibri"/>
                <w:b w:val="0"/>
                <w:i/>
                <w:color w:val="1E293B"/>
                <w:sz w:val="18"/>
              </w:rPr>
              <w:t>Video view counts and creator subscriber volume.</w:t>
            </w:r>
          </w:p>
        </w:tc>
        <w:tc>
          <w:tcPr>
            <w:tcW w:type="dxa" w:w="3456"/>
            <w:shd w:fill="FFFFFF"/>
            <w:tcMar>
              <w:top w:w="100" w:type="dxa"/>
              <w:bottom w:w="100" w:type="dxa"/>
              <w:left w:w="140" w:type="dxa"/>
              <w:right w:w="140" w:type="dxa"/>
            </w:tcMar>
          </w:tcPr>
          <w:p>
            <w:pPr>
              <w:spacing w:before="40" w:after="40"/>
              <w:jc w:val="left"/>
            </w:pPr>
            <w:r>
              <w:rPr>
                <w:rFonts w:ascii="Calibri" w:hAnsi="Calibri"/>
                <w:b w:val="0"/>
                <w:i w:val="0"/>
                <w:color w:val="1E293B"/>
                <w:sz w:val="18"/>
              </w:rPr>
              <w:t>Multi-attribute Random Forest suitability regression (150 trees).</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Personalization Feedback</w:t>
            </w:r>
          </w:p>
        </w:tc>
        <w:tc>
          <w:tcPr>
            <w:tcW w:type="dxa" w:w="3312"/>
            <w:shd w:fill="F8FAFC"/>
            <w:tcMar>
              <w:top w:w="100" w:type="dxa"/>
              <w:bottom w:w="100" w:type="dxa"/>
              <w:left w:w="140" w:type="dxa"/>
              <w:right w:w="140" w:type="dxa"/>
            </w:tcMar>
          </w:tcPr>
          <w:p>
            <w:pPr>
              <w:spacing w:before="40" w:after="40"/>
              <w:jc w:val="left"/>
            </w:pPr>
            <w:r>
              <w:rPr>
                <w:rFonts w:ascii="Calibri" w:hAnsi="Calibri"/>
                <w:b w:val="0"/>
                <w:i/>
                <w:color w:val="1E293B"/>
                <w:sz w:val="18"/>
              </w:rPr>
              <w:t>Generic user profile history tied to video watch clicks.</w:t>
            </w:r>
          </w:p>
        </w:tc>
        <w:tc>
          <w:tcPr>
            <w:tcW w:type="dxa" w:w="3456"/>
            <w:shd w:fill="F8FAFC"/>
            <w:tcMar>
              <w:top w:w="100" w:type="dxa"/>
              <w:bottom w:w="100" w:type="dxa"/>
              <w:left w:w="140" w:type="dxa"/>
              <w:right w:w="140" w:type="dxa"/>
            </w:tcMar>
          </w:tcPr>
          <w:p>
            <w:pPr>
              <w:spacing w:before="40" w:after="40"/>
              <w:jc w:val="left"/>
            </w:pPr>
            <w:r>
              <w:rPr>
                <w:rFonts w:ascii="Calibri" w:hAnsi="Calibri"/>
                <w:b w:val="0"/>
                <w:i w:val="0"/>
                <w:color w:val="1E293B"/>
                <w:sz w:val="18"/>
              </w:rPr>
              <w:t>Explicit pantry inventory, dietary tags, and preparation history.</w:t>
            </w:r>
          </w:p>
        </w:tc>
      </w:tr>
    </w:tbl>
    <w:p>
      <w:pPr>
        <w:spacing w:after="160"/>
      </w:pPr>
    </w:p>
    <w:p>
      <w:pPr>
        <w:spacing w:before="0" w:after="120" w:line="276" w:lineRule="auto"/>
      </w:pPr>
      <w:r>
        <w:rPr>
          <w:rFonts w:ascii="Calibri" w:hAnsi="Calibri"/>
          <w:i w:val="0"/>
          <w:color w:val="1E293B"/>
          <w:sz w:val="20"/>
        </w:rPr>
        <w:t>As demonstrated in the comparison matrix, DishIQ is not merely an alternative catalog of recipes; it is an intelligent execution system. Where YouTube treats cooking as passive entertainment, DishIQ treats it as an optimization problem where time, pantry inventory, and retail cost must be minimized while maximizing nutritional and dietary satisfaction.</w:t>
      </w:r>
    </w:p>
    <w:p>
      <w:pPr>
        <w:pStyle w:val="Heading1"/>
        <w:keepNext/>
        <w:spacing w:before="360" w:after="120"/>
      </w:pPr>
      <w:r>
        <w:rPr>
          <w:rFonts w:ascii="Calibri" w:hAnsi="Calibri"/>
          <w:b/>
          <w:color w:val="0A2540"/>
          <w:sz w:val="32"/>
        </w:rPr>
        <w:t>3.0 Full-Stack Technology Stack &amp; System Architecture</w:t>
      </w:r>
    </w:p>
    <w:p>
      <w:pPr>
        <w:spacing w:before="0" w:after="120" w:line="276" w:lineRule="auto"/>
      </w:pPr>
      <w:r>
        <w:rPr>
          <w:rFonts w:ascii="Calibri" w:hAnsi="Calibri"/>
          <w:i w:val="0"/>
          <w:color w:val="1E293B"/>
          <w:sz w:val="20"/>
        </w:rPr>
        <w:t>DishIQ is implemented as a modern multi-tier decoupled system engineered for extreme responsiveness, type safety, and horizontal scalability. The complete technical stack encompasses four distinct operational layers:</w:t>
      </w:r>
    </w:p>
    <w:tbl>
      <w:tblPr>
        <w:tblW w:type="auto" w:w="0"/>
        <w:jc w:val="center"/>
        <w:tblLook w:firstColumn="1" w:firstRow="1" w:lastColumn="0" w:lastRow="0" w:noHBand="0" w:noVBand="1" w:val="04A0"/>
      </w:tblPr>
      <w:tblGrid>
        <w:gridCol w:w="3120"/>
        <w:gridCol w:w="3120"/>
        <w:gridCol w:w="3120"/>
      </w:tblGrid>
      <w:tr>
        <w:tc>
          <w:tcPr>
            <w:tcW w:type="dxa" w:w="2592"/>
            <w:shd w:fill="0A2540"/>
            <w:tcMar>
              <w:top w:w="140" w:type="dxa"/>
              <w:bottom w:w="140" w:type="dxa"/>
              <w:left w:w="150" w:type="dxa"/>
              <w:right w:w="150" w:type="dxa"/>
            </w:tcMar>
          </w:tcPr>
          <w:p>
            <w:pPr>
              <w:spacing w:before="40" w:after="40"/>
              <w:jc w:val="left"/>
            </w:pPr>
            <w:r>
              <w:rPr>
                <w:rFonts w:ascii="Calibri" w:hAnsi="Calibri"/>
                <w:b/>
                <w:color w:val="FFFFFF"/>
                <w:sz w:val="19"/>
              </w:rPr>
              <w:t>Layer / Subsystem</w:t>
            </w:r>
          </w:p>
        </w:tc>
        <w:tc>
          <w:tcPr>
            <w:tcW w:type="dxa" w:w="3312"/>
            <w:shd w:fill="0A2540"/>
            <w:tcMar>
              <w:top w:w="140" w:type="dxa"/>
              <w:bottom w:w="140" w:type="dxa"/>
              <w:left w:w="150" w:type="dxa"/>
              <w:right w:w="150" w:type="dxa"/>
            </w:tcMar>
          </w:tcPr>
          <w:p>
            <w:pPr>
              <w:spacing w:before="40" w:after="40"/>
              <w:jc w:val="left"/>
            </w:pPr>
            <w:r>
              <w:rPr>
                <w:rFonts w:ascii="Calibri" w:hAnsi="Calibri"/>
                <w:b/>
                <w:color w:val="FFFFFF"/>
                <w:sz w:val="19"/>
              </w:rPr>
              <w:t>Technology / Framework</w:t>
            </w:r>
          </w:p>
        </w:tc>
        <w:tc>
          <w:tcPr>
            <w:tcW w:type="dxa" w:w="3456"/>
            <w:shd w:fill="0A2540"/>
            <w:tcMar>
              <w:top w:w="140" w:type="dxa"/>
              <w:bottom w:w="140" w:type="dxa"/>
              <w:left w:w="150" w:type="dxa"/>
              <w:right w:w="150" w:type="dxa"/>
            </w:tcMar>
          </w:tcPr>
          <w:p>
            <w:pPr>
              <w:spacing w:before="40" w:after="40"/>
              <w:jc w:val="left"/>
            </w:pPr>
            <w:r>
              <w:rPr>
                <w:rFonts w:ascii="Calibri" w:hAnsi="Calibri"/>
                <w:b/>
                <w:color w:val="FFFFFF"/>
                <w:sz w:val="19"/>
              </w:rPr>
              <w:t>Architectural Role &amp; Deployment Responsibility</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Frontend Presentation</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React 18.2 (TypeScript 5.x)</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Component-driven Single-Page Application interface</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Build &amp; Tooling</w:t>
            </w:r>
          </w:p>
        </w:tc>
        <w:tc>
          <w:tcPr>
            <w:tcW w:type="dxa" w:w="3312"/>
            <w:shd w:fill="F8FAFC"/>
            <w:tcMar>
              <w:top w:w="100" w:type="dxa"/>
              <w:bottom w:w="100" w:type="dxa"/>
              <w:left w:w="140" w:type="dxa"/>
              <w:right w:w="140" w:type="dxa"/>
            </w:tcMar>
          </w:tcPr>
          <w:p>
            <w:pPr>
              <w:spacing w:before="40" w:after="40"/>
              <w:jc w:val="left"/>
            </w:pPr>
            <w:r>
              <w:rPr>
                <w:rFonts w:ascii="Calibri" w:hAnsi="Calibri"/>
                <w:b w:val="0"/>
                <w:i w:val="0"/>
                <w:color w:val="1E293B"/>
                <w:sz w:val="18"/>
              </w:rPr>
              <w:t>Vite 5.x + PostCSS</w:t>
            </w:r>
          </w:p>
        </w:tc>
        <w:tc>
          <w:tcPr>
            <w:tcW w:type="dxa" w:w="3456"/>
            <w:shd w:fill="F8FAFC"/>
            <w:tcMar>
              <w:top w:w="100" w:type="dxa"/>
              <w:bottom w:w="100" w:type="dxa"/>
              <w:left w:w="140" w:type="dxa"/>
              <w:right w:w="140" w:type="dxa"/>
            </w:tcMar>
          </w:tcPr>
          <w:p>
            <w:pPr>
              <w:spacing w:before="40" w:after="40"/>
              <w:jc w:val="left"/>
            </w:pPr>
            <w:r>
              <w:rPr>
                <w:rFonts w:ascii="Calibri" w:hAnsi="Calibri"/>
                <w:b w:val="0"/>
                <w:i/>
                <w:color w:val="1E293B"/>
                <w:sz w:val="18"/>
              </w:rPr>
              <w:t>Sub-second HMR development and optimized production bundling</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State Management</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Zustand 4.x</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Lightweight, immutable reactive store for auth, pantry, and cart</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UI Styling &amp; Tokens</w:t>
            </w:r>
          </w:p>
        </w:tc>
        <w:tc>
          <w:tcPr>
            <w:tcW w:type="dxa" w:w="3312"/>
            <w:shd w:fill="F8FAFC"/>
            <w:tcMar>
              <w:top w:w="100" w:type="dxa"/>
              <w:bottom w:w="100" w:type="dxa"/>
              <w:left w:w="140" w:type="dxa"/>
              <w:right w:w="140" w:type="dxa"/>
            </w:tcMar>
          </w:tcPr>
          <w:p>
            <w:pPr>
              <w:spacing w:before="40" w:after="40"/>
              <w:jc w:val="left"/>
            </w:pPr>
            <w:r>
              <w:rPr>
                <w:rFonts w:ascii="Calibri" w:hAnsi="Calibri"/>
                <w:b w:val="0"/>
                <w:i w:val="0"/>
                <w:color w:val="1E293B"/>
                <w:sz w:val="18"/>
              </w:rPr>
              <w:t>Tailwind CSS 3.x</w:t>
            </w:r>
          </w:p>
        </w:tc>
        <w:tc>
          <w:tcPr>
            <w:tcW w:type="dxa" w:w="3456"/>
            <w:shd w:fill="F8FAFC"/>
            <w:tcMar>
              <w:top w:w="100" w:type="dxa"/>
              <w:bottom w:w="100" w:type="dxa"/>
              <w:left w:w="140" w:type="dxa"/>
              <w:right w:w="140" w:type="dxa"/>
            </w:tcMar>
          </w:tcPr>
          <w:p>
            <w:pPr>
              <w:spacing w:before="40" w:after="40"/>
              <w:jc w:val="left"/>
            </w:pPr>
            <w:r>
              <w:rPr>
                <w:rFonts w:ascii="Calibri" w:hAnsi="Calibri"/>
                <w:b w:val="0"/>
                <w:i/>
                <w:color w:val="1E293B"/>
                <w:sz w:val="18"/>
              </w:rPr>
              <w:t>Utility-first responsive design system and dark/light color tokens</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Client Testing</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Vitest + React Testing Library</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309 automated unit, integration, and UI component tests</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API Gateway</w:t>
            </w:r>
          </w:p>
        </w:tc>
        <w:tc>
          <w:tcPr>
            <w:tcW w:type="dxa" w:w="3312"/>
            <w:shd w:fill="F8FAFC"/>
            <w:tcMar>
              <w:top w:w="100" w:type="dxa"/>
              <w:bottom w:w="100" w:type="dxa"/>
              <w:left w:w="140" w:type="dxa"/>
              <w:right w:w="140" w:type="dxa"/>
            </w:tcMar>
          </w:tcPr>
          <w:p>
            <w:pPr>
              <w:spacing w:before="40" w:after="40"/>
              <w:jc w:val="left"/>
            </w:pPr>
            <w:r>
              <w:rPr>
                <w:rFonts w:ascii="Calibri" w:hAnsi="Calibri"/>
                <w:b w:val="0"/>
                <w:i w:val="0"/>
                <w:color w:val="1E293B"/>
                <w:sz w:val="18"/>
              </w:rPr>
              <w:t>FastAPI (Python 3.11 ASGI)</w:t>
            </w:r>
          </w:p>
        </w:tc>
        <w:tc>
          <w:tcPr>
            <w:tcW w:type="dxa" w:w="3456"/>
            <w:shd w:fill="F8FAFC"/>
            <w:tcMar>
              <w:top w:w="100" w:type="dxa"/>
              <w:bottom w:w="100" w:type="dxa"/>
              <w:left w:w="140" w:type="dxa"/>
              <w:right w:w="140" w:type="dxa"/>
            </w:tcMar>
          </w:tcPr>
          <w:p>
            <w:pPr>
              <w:spacing w:before="40" w:after="40"/>
              <w:jc w:val="left"/>
            </w:pPr>
            <w:r>
              <w:rPr>
                <w:rFonts w:ascii="Calibri" w:hAnsi="Calibri"/>
                <w:b w:val="0"/>
                <w:i/>
                <w:color w:val="1E293B"/>
                <w:sz w:val="18"/>
              </w:rPr>
              <w:t>Asynchronous, non-blocking high-throughput RESTful routing</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Application Server</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Uvicorn (Standard Worker)</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ASGI production server binding to port 8001</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ORM &amp; Schema</w:t>
            </w:r>
          </w:p>
        </w:tc>
        <w:tc>
          <w:tcPr>
            <w:tcW w:type="dxa" w:w="3312"/>
            <w:shd w:fill="F8FAFC"/>
            <w:tcMar>
              <w:top w:w="100" w:type="dxa"/>
              <w:bottom w:w="100" w:type="dxa"/>
              <w:left w:w="140" w:type="dxa"/>
              <w:right w:w="140" w:type="dxa"/>
            </w:tcMar>
          </w:tcPr>
          <w:p>
            <w:pPr>
              <w:spacing w:before="40" w:after="40"/>
              <w:jc w:val="left"/>
            </w:pPr>
            <w:r>
              <w:rPr>
                <w:rFonts w:ascii="Calibri" w:hAnsi="Calibri"/>
                <w:b w:val="0"/>
                <w:i w:val="0"/>
                <w:color w:val="1E293B"/>
                <w:sz w:val="18"/>
              </w:rPr>
              <w:t>SQLAlchemy 2.0 + Pydantic v2</w:t>
            </w:r>
          </w:p>
        </w:tc>
        <w:tc>
          <w:tcPr>
            <w:tcW w:type="dxa" w:w="3456"/>
            <w:shd w:fill="F8FAFC"/>
            <w:tcMar>
              <w:top w:w="100" w:type="dxa"/>
              <w:bottom w:w="100" w:type="dxa"/>
              <w:left w:w="140" w:type="dxa"/>
              <w:right w:w="140" w:type="dxa"/>
            </w:tcMar>
          </w:tcPr>
          <w:p>
            <w:pPr>
              <w:spacing w:before="40" w:after="40"/>
              <w:jc w:val="left"/>
            </w:pPr>
            <w:r>
              <w:rPr>
                <w:rFonts w:ascii="Calibri" w:hAnsi="Calibri"/>
                <w:b w:val="0"/>
                <w:i/>
                <w:color w:val="1E293B"/>
                <w:sz w:val="18"/>
              </w:rPr>
              <w:t>Strict declarative relational modeling and input validation</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Database Migrations</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Alembic 1.11+</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Deterministic relational schema versioning and migration history</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Relational Database</w:t>
            </w:r>
          </w:p>
        </w:tc>
        <w:tc>
          <w:tcPr>
            <w:tcW w:type="dxa" w:w="3312"/>
            <w:shd w:fill="F8FAFC"/>
            <w:tcMar>
              <w:top w:w="100" w:type="dxa"/>
              <w:bottom w:w="100" w:type="dxa"/>
              <w:left w:w="140" w:type="dxa"/>
              <w:right w:w="140" w:type="dxa"/>
            </w:tcMar>
          </w:tcPr>
          <w:p>
            <w:pPr>
              <w:spacing w:before="40" w:after="40"/>
              <w:jc w:val="left"/>
            </w:pPr>
            <w:r>
              <w:rPr>
                <w:rFonts w:ascii="Calibri" w:hAnsi="Calibri"/>
                <w:b w:val="0"/>
                <w:i w:val="0"/>
                <w:color w:val="1E293B"/>
                <w:sz w:val="18"/>
              </w:rPr>
              <w:t>PostgreSQL 15 (Dockerized)</w:t>
            </w:r>
          </w:p>
        </w:tc>
        <w:tc>
          <w:tcPr>
            <w:tcW w:type="dxa" w:w="3456"/>
            <w:shd w:fill="F8FAFC"/>
            <w:tcMar>
              <w:top w:w="100" w:type="dxa"/>
              <w:bottom w:w="100" w:type="dxa"/>
              <w:left w:w="140" w:type="dxa"/>
              <w:right w:w="140" w:type="dxa"/>
            </w:tcMar>
          </w:tcPr>
          <w:p>
            <w:pPr>
              <w:spacing w:before="40" w:after="40"/>
              <w:jc w:val="left"/>
            </w:pPr>
            <w:r>
              <w:rPr>
                <w:rFonts w:ascii="Calibri" w:hAnsi="Calibri"/>
                <w:b w:val="0"/>
                <w:i/>
                <w:color w:val="1E293B"/>
                <w:sz w:val="18"/>
              </w:rPr>
              <w:t>ACID-compliant storage for users, recipes, pantry, and audit logs</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Lexical Retrieval</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scikit-learn 1.6 (TF-IDF)</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Sparse matrix representation of recipe corpus (5,000 features)</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Semantic Embeddings</w:t>
            </w:r>
          </w:p>
        </w:tc>
        <w:tc>
          <w:tcPr>
            <w:tcW w:type="dxa" w:w="3312"/>
            <w:shd w:fill="F8FAFC"/>
            <w:tcMar>
              <w:top w:w="100" w:type="dxa"/>
              <w:bottom w:w="100" w:type="dxa"/>
              <w:left w:w="140" w:type="dxa"/>
              <w:right w:w="140" w:type="dxa"/>
            </w:tcMar>
          </w:tcPr>
          <w:p>
            <w:pPr>
              <w:spacing w:before="40" w:after="40"/>
              <w:jc w:val="left"/>
            </w:pPr>
            <w:r>
              <w:rPr>
                <w:rFonts w:ascii="Calibri" w:hAnsi="Calibri"/>
                <w:b w:val="0"/>
                <w:i w:val="0"/>
                <w:color w:val="1E293B"/>
                <w:sz w:val="18"/>
              </w:rPr>
              <w:t>HuggingFace SentenceTransformers</w:t>
            </w:r>
          </w:p>
        </w:tc>
        <w:tc>
          <w:tcPr>
            <w:tcW w:type="dxa" w:w="3456"/>
            <w:shd w:fill="F8FAFC"/>
            <w:tcMar>
              <w:top w:w="100" w:type="dxa"/>
              <w:bottom w:w="100" w:type="dxa"/>
              <w:left w:w="140" w:type="dxa"/>
              <w:right w:w="140" w:type="dxa"/>
            </w:tcMar>
          </w:tcPr>
          <w:p>
            <w:pPr>
              <w:spacing w:before="40" w:after="40"/>
              <w:jc w:val="left"/>
            </w:pPr>
            <w:r>
              <w:rPr>
                <w:rFonts w:ascii="Calibri" w:hAnsi="Calibri"/>
                <w:b w:val="0"/>
                <w:i/>
                <w:color w:val="1E293B"/>
                <w:sz w:val="18"/>
              </w:rPr>
              <w:t>all-MiniLM-L6-v2 dense 384-dimensional query-recipe matcher</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Suitability Scoring</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scikit-learn (Random Forest)</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150-tree regression ensemble predicting recipe quality proxy</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Recipe Clustering</w:t>
            </w:r>
          </w:p>
        </w:tc>
        <w:tc>
          <w:tcPr>
            <w:tcW w:type="dxa" w:w="3312"/>
            <w:shd w:fill="F8FAFC"/>
            <w:tcMar>
              <w:top w:w="100" w:type="dxa"/>
              <w:bottom w:w="100" w:type="dxa"/>
              <w:left w:w="140" w:type="dxa"/>
              <w:right w:w="140" w:type="dxa"/>
            </w:tcMar>
          </w:tcPr>
          <w:p>
            <w:pPr>
              <w:spacing w:before="40" w:after="40"/>
              <w:jc w:val="left"/>
            </w:pPr>
            <w:r>
              <w:rPr>
                <w:rFonts w:ascii="Calibri" w:hAnsi="Calibri"/>
                <w:b w:val="0"/>
                <w:i w:val="0"/>
                <w:color w:val="1E293B"/>
                <w:sz w:val="18"/>
              </w:rPr>
              <w:t>scikit-learn (K-Means)</w:t>
            </w:r>
          </w:p>
        </w:tc>
        <w:tc>
          <w:tcPr>
            <w:tcW w:type="dxa" w:w="3456"/>
            <w:shd w:fill="F8FAFC"/>
            <w:tcMar>
              <w:top w:w="100" w:type="dxa"/>
              <w:bottom w:w="100" w:type="dxa"/>
              <w:left w:w="140" w:type="dxa"/>
              <w:right w:w="140" w:type="dxa"/>
            </w:tcMar>
          </w:tcPr>
          <w:p>
            <w:pPr>
              <w:spacing w:before="40" w:after="40"/>
              <w:jc w:val="left"/>
            </w:pPr>
            <w:r>
              <w:rPr>
                <w:rFonts w:ascii="Calibri" w:hAnsi="Calibri"/>
                <w:b w:val="0"/>
                <w:i/>
                <w:color w:val="1E293B"/>
                <w:sz w:val="18"/>
              </w:rPr>
              <w:t>Unsupervised structural clustering of recipe complexity (k=2)</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Quick-Commerce MCP</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Swiggy Model Context Protocol</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Real-time store inventory querying and cart creation bridge</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Container Orchestration</w:t>
            </w:r>
          </w:p>
        </w:tc>
        <w:tc>
          <w:tcPr>
            <w:tcW w:type="dxa" w:w="3312"/>
            <w:shd w:fill="F8FAFC"/>
            <w:tcMar>
              <w:top w:w="100" w:type="dxa"/>
              <w:bottom w:w="100" w:type="dxa"/>
              <w:left w:w="140" w:type="dxa"/>
              <w:right w:w="140" w:type="dxa"/>
            </w:tcMar>
          </w:tcPr>
          <w:p>
            <w:pPr>
              <w:spacing w:before="40" w:after="40"/>
              <w:jc w:val="left"/>
            </w:pPr>
            <w:r>
              <w:rPr>
                <w:rFonts w:ascii="Calibri" w:hAnsi="Calibri"/>
                <w:b w:val="0"/>
                <w:i w:val="0"/>
                <w:color w:val="1E293B"/>
                <w:sz w:val="18"/>
              </w:rPr>
              <w:t>Docker &amp; Docker Compose</w:t>
            </w:r>
          </w:p>
        </w:tc>
        <w:tc>
          <w:tcPr>
            <w:tcW w:type="dxa" w:w="3456"/>
            <w:shd w:fill="F8FAFC"/>
            <w:tcMar>
              <w:top w:w="100" w:type="dxa"/>
              <w:bottom w:w="100" w:type="dxa"/>
              <w:left w:w="140" w:type="dxa"/>
              <w:right w:w="140" w:type="dxa"/>
            </w:tcMar>
          </w:tcPr>
          <w:p>
            <w:pPr>
              <w:spacing w:before="40" w:after="40"/>
              <w:jc w:val="left"/>
            </w:pPr>
            <w:r>
              <w:rPr>
                <w:rFonts w:ascii="Calibri" w:hAnsi="Calibri"/>
                <w:b w:val="0"/>
                <w:i/>
                <w:color w:val="1E293B"/>
                <w:sz w:val="18"/>
              </w:rPr>
              <w:t>Multi-container topology (PostgreSQL, FastAPI Backend, React UI)</w:t>
            </w:r>
          </w:p>
        </w:tc>
      </w:tr>
    </w:tbl>
    <w:p>
      <w:pPr>
        <w:spacing w:after="160"/>
      </w:pPr>
    </w:p>
    <w:p>
      <w:pPr>
        <w:keepNext/>
        <w:spacing w:before="200" w:after="80"/>
        <w:jc w:val="center"/>
      </w:pPr>
      <w:r>
        <w:drawing>
          <wp:inline xmlns:a="http://schemas.openxmlformats.org/drawingml/2006/main" xmlns:pic="http://schemas.openxmlformats.org/drawingml/2006/picture">
            <wp:extent cx="5669280" cy="2591671"/>
            <wp:docPr id="1" name="Picture 1"/>
            <wp:cNvGraphicFramePr>
              <a:graphicFrameLocks noChangeAspect="1"/>
            </wp:cNvGraphicFramePr>
            <a:graphic>
              <a:graphicData uri="http://schemas.openxmlformats.org/drawingml/2006/picture">
                <pic:pic>
                  <pic:nvPicPr>
                    <pic:cNvPr id="0" name="chart5_system_architecture.png"/>
                    <pic:cNvPicPr/>
                  </pic:nvPicPr>
                  <pic:blipFill>
                    <a:blip r:embed="rId9"/>
                    <a:stretch>
                      <a:fillRect/>
                    </a:stretch>
                  </pic:blipFill>
                  <pic:spPr>
                    <a:xfrm>
                      <a:off x="0" y="0"/>
                      <a:ext cx="5669280" cy="2591671"/>
                    </a:xfrm>
                    <a:prstGeom prst="rect"/>
                  </pic:spPr>
                </pic:pic>
              </a:graphicData>
            </a:graphic>
          </wp:inline>
        </w:drawing>
      </w:r>
    </w:p>
    <w:p>
      <w:pPr>
        <w:spacing w:before="40" w:after="200"/>
        <w:jc w:val="center"/>
      </w:pPr>
      <w:r>
        <w:rPr>
          <w:rFonts w:ascii="Calibri" w:hAnsi="Calibri"/>
          <w:b/>
          <w:color w:val="0A2540"/>
          <w:sz w:val="18"/>
        </w:rPr>
        <w:t xml:space="preserve">Figure 1: </w:t>
      </w:r>
      <w:r>
        <w:rPr>
          <w:rFonts w:ascii="Calibri" w:hAnsi="Calibri"/>
          <w:i/>
          <w:color w:val="475569"/>
          <w:sz w:val="17"/>
        </w:rPr>
        <w:t>DishIQ Multi-Tier Architectural Topology: Client Presentation, ASGI Gateway, ML Intelligence Core, and Persistent Storage.</w:t>
      </w:r>
    </w:p>
    <w:p>
      <w:pPr>
        <w:spacing w:before="0" w:after="120" w:line="276" w:lineRule="auto"/>
      </w:pPr>
      <w:r>
        <w:rPr>
          <w:rFonts w:ascii="Calibri" w:hAnsi="Calibri"/>
          <w:i w:val="0"/>
          <w:color w:val="1E293B"/>
          <w:sz w:val="20"/>
        </w:rPr>
        <w:t>Architectural Discussion of Figure 1: The architecture is structured around complete separation of concerns. The React 18 client communicates with the FastAPI backend exclusively over standardized JSON REST endpoints protected by JWT Bearer tokens. The ML Intelligence Core operates as an in-memory service layer: once initialized, models perform mathematical vector transformations without disk I/O, guaranteeing response times below 20 millisecond overhead for the ML inference phase.</w:t>
      </w:r>
    </w:p>
    <w:p>
      <w:pPr>
        <w:pStyle w:val="Heading1"/>
        <w:keepNext/>
        <w:spacing w:before="360" w:after="120"/>
      </w:pPr>
      <w:r>
        <w:rPr>
          <w:rFonts w:ascii="Calibri" w:hAnsi="Calibri"/>
          <w:b/>
          <w:color w:val="0A2540"/>
          <w:sz w:val="32"/>
        </w:rPr>
        <w:t>4.0 Core Machine Learning Models &amp; Mathematical Pipeline</w:t>
      </w:r>
    </w:p>
    <w:p>
      <w:pPr>
        <w:spacing w:before="0" w:after="120" w:line="276" w:lineRule="auto"/>
      </w:pPr>
      <w:r>
        <w:rPr>
          <w:rFonts w:ascii="Calibri" w:hAnsi="Calibri"/>
          <w:i w:val="0"/>
          <w:color w:val="1E293B"/>
          <w:sz w:val="20"/>
        </w:rPr>
        <w:t>DishIQ deploys a production pipeline comprising five distinct machine learning models working in unison. Rather than relying on a single monolithic architecture, each model is specialized for a precise mathematical task, maximizing retrieval precision while bounding computational latency.</w:t>
      </w:r>
    </w:p>
    <w:p>
      <w:pPr>
        <w:pStyle w:val="Heading2"/>
        <w:keepNext/>
        <w:spacing w:before="280" w:after="80"/>
      </w:pPr>
      <w:r>
        <w:rPr>
          <w:rFonts w:ascii="Calibri" w:hAnsi="Calibri"/>
          <w:b/>
          <w:color w:val="1E5180"/>
          <w:sz w:val="26"/>
        </w:rPr>
        <w:t>4.1 Model 1: Classical Information Retrieval via TF-IDF Vectorization (v2.0)</w:t>
      </w:r>
    </w:p>
    <w:p>
      <w:pPr>
        <w:spacing w:before="0" w:after="120" w:line="276" w:lineRule="auto"/>
      </w:pPr>
      <w:r>
        <w:rPr>
          <w:rFonts w:ascii="Calibri" w:hAnsi="Calibri"/>
          <w:i w:val="0"/>
          <w:color w:val="1E293B"/>
          <w:sz w:val="20"/>
        </w:rPr>
        <w:t>The TF-IDF (Term Frequency–Inverse Document Frequency) model provides ultra-fast lexical retrieval across the corpus of 2,005 recipes. It constructs a sparse vector space over the vocabulary of recipe names, ingredients, culinary techniques, and cuisine descriptors.</w:t>
      </w:r>
    </w:p>
    <w:p>
      <w:pPr>
        <w:spacing w:before="0" w:after="120" w:line="276" w:lineRule="auto"/>
      </w:pPr>
      <w:r>
        <w:rPr>
          <w:rFonts w:ascii="Calibri" w:hAnsi="Calibri"/>
          <w:i w:val="0"/>
          <w:color w:val="1E293B"/>
          <w:sz w:val="20"/>
        </w:rPr>
        <w:t>Mathematical Definition: For a given term t appearing in recipe document d within corpus D containing N total recipes:</w:t>
        <w:br/>
        <w:br/>
        <w:t xml:space="preserve">  TF(t, d) = f_{t,d} / sum_{t' in d} (f_{t',d})</w:t>
        <w:br/>
        <w:br/>
        <w:t xml:space="preserve">  IDF(t) = ln( (1 + N) / (1 + |{d in D : t in d}|) ) + 1</w:t>
        <w:br/>
        <w:br/>
        <w:t xml:space="preserve">  TF-IDF(t, d) = TF(t, d) * IDF(t)</w:t>
        <w:br/>
        <w:br/>
        <w:t>Cosine similarity between user query vector q and recipe document vector d is evaluated as:</w:t>
        <w:br/>
        <w:br/>
        <w:t xml:space="preserve">  Sim_TFIDF(q, d) = (q · d) / (||q|| * ||d||)</w:t>
      </w:r>
    </w:p>
    <w:p>
      <w:pPr>
        <w:spacing w:before="0" w:after="120" w:line="276" w:lineRule="auto"/>
      </w:pPr>
      <w:r>
        <w:rPr>
          <w:rFonts w:ascii="Calibri" w:hAnsi="Calibri"/>
          <w:i w:val="0"/>
          <w:color w:val="1E293B"/>
          <w:sz w:val="20"/>
        </w:rPr>
        <w:t>Model Configuration &amp; Hyperparameters: The production model (v2.0) was selected after rigorous 3-fold validation sweeping n-gram ranges and vocabulary sizes. The chosen configuration enforces n-gram range (1, 2), max_features=5000, min_df=2, and max_df=0.95. Fitted strictly on the 1,403 training split to prevent vocabulary leakage, the model achieves a test HitRate@5 of 97.01%.</w:t>
      </w:r>
    </w:p>
    <w:p>
      <w:pPr>
        <w:pStyle w:val="Heading2"/>
        <w:keepNext/>
        <w:spacing w:before="280" w:after="80"/>
      </w:pPr>
      <w:r>
        <w:rPr>
          <w:rFonts w:ascii="Calibri" w:hAnsi="Calibri"/>
          <w:b/>
          <w:color w:val="1E5180"/>
          <w:sz w:val="26"/>
        </w:rPr>
        <w:t>4.2 Model 2: Deep Semantic Embeddings via SentenceTransformer (all-MiniLM-L6-v2)</w:t>
      </w:r>
    </w:p>
    <w:p>
      <w:pPr>
        <w:spacing w:before="0" w:after="120" w:line="276" w:lineRule="auto"/>
      </w:pPr>
      <w:r>
        <w:rPr>
          <w:rFonts w:ascii="Calibri" w:hAnsi="Calibri"/>
          <w:i w:val="0"/>
          <w:color w:val="1E293B"/>
          <w:sz w:val="20"/>
        </w:rPr>
        <w:t>To capture contextual intent that defies exact keyword matching (e.g., 'light refreshing lunch for hot weather' mapping to cold salads and chilled soups), DishIQ integrates a deep bi-encoder transformer model: all-MiniLM-L6-v2.</w:t>
      </w:r>
    </w:p>
    <w:p>
      <w:pPr>
        <w:spacing w:before="0" w:after="120" w:line="276" w:lineRule="auto"/>
      </w:pPr>
      <w:r>
        <w:rPr>
          <w:rFonts w:ascii="Calibri" w:hAnsi="Calibri"/>
          <w:i w:val="0"/>
          <w:color w:val="1E293B"/>
          <w:sz w:val="20"/>
        </w:rPr>
        <w:t>Architecture &amp; Vector Space: MiniLM-L6-v2 is a 6-layer distilled transformer mapping input sequences up to 256 tokens into a dense 384-dimensional embedding space. The model utilizes mean pooling over contextualized token representations, followed by strict L2-normalization:</w:t>
        <w:br/>
        <w:br/>
        <w:t xml:space="preserve">  e_norm = e / ||e||_2</w:t>
        <w:br/>
        <w:br/>
        <w:t>Because all embeddings reside on the 384-dimensional unit hypersphere, cosine similarity reduces to an ultra-fast inner dot product:</w:t>
        <w:br/>
        <w:br/>
        <w:t xml:space="preserve">  Sim_Semantic(q, d) = e_q · e_d</w:t>
      </w:r>
    </w:p>
    <w:p>
      <w:pPr>
        <w:spacing w:before="0" w:after="120" w:line="276" w:lineRule="auto"/>
      </w:pPr>
      <w:r>
        <w:rPr>
          <w:rFonts w:ascii="Calibri" w:hAnsi="Calibri"/>
          <w:i w:val="0"/>
          <w:color w:val="1E293B"/>
          <w:sz w:val="20"/>
        </w:rPr>
        <w:t>Corpus Ingestion: All 2,005 recipes in the DishIQ dataset were pre-encoded into a dense matrix of shape (2005, 384) in 28.6 seconds during startup. At inference time, encoding a user query requires only 4.2 milliseconds on standard CPU, yielding 100% HitRate@5 and HitRate@10.</w:t>
      </w:r>
    </w:p>
    <w:p>
      <w:pPr>
        <w:pStyle w:val="Heading2"/>
        <w:keepNext/>
        <w:spacing w:before="280" w:after="80"/>
      </w:pPr>
      <w:r>
        <w:rPr>
          <w:rFonts w:ascii="Calibri" w:hAnsi="Calibri"/>
          <w:b/>
          <w:color w:val="1E5180"/>
          <w:sz w:val="26"/>
        </w:rPr>
        <w:t>4.3 Model 3: Recipe Quality &amp; Suitability Regression (Random Forest Regressor)</w:t>
      </w:r>
    </w:p>
    <w:p>
      <w:pPr>
        <w:spacing w:before="0" w:after="120" w:line="276" w:lineRule="auto"/>
      </w:pPr>
      <w:r>
        <w:rPr>
          <w:rFonts w:ascii="Calibri" w:hAnsi="Calibri"/>
          <w:i w:val="0"/>
          <w:color w:val="1E293B"/>
          <w:sz w:val="20"/>
        </w:rPr>
        <w:t>While retrieval models identify topical relevance, they are indifferent to whether a recipe is well-structured, feasible, or suitable for the user's culinary skill. DishIQ implements an ensemble of 150 randomized decision trees to compute a continuous suitability score.</w:t>
      </w:r>
    </w:p>
    <w:p>
      <w:pPr>
        <w:spacing w:before="0" w:after="120" w:line="276" w:lineRule="auto"/>
      </w:pPr>
      <w:r>
        <w:rPr>
          <w:rFonts w:ascii="Calibri" w:hAnsi="Calibri"/>
          <w:i w:val="0"/>
          <w:color w:val="1E293B"/>
          <w:sz w:val="20"/>
        </w:rPr>
        <w:t>Feature Representation: The regressor processes 5 foundational structural features: prep_time, cook_time, total_time, servings_count, and ingredient_count, complemented by one-hot encoded dietary labels (Vegetarian, Vegan, Non-Vegetarian) and cuisine classes. Numeric features are normalized via StandardScaler.</w:t>
        <w:br/>
        <w:br/>
        <w:t>Mathematical Ensemble: For input feature vector x, the forest prediction is the average across all T=150 trees:</w:t>
        <w:br/>
        <w:br/>
        <w:t xml:space="preserve">  y_hat(x) = (1 / T) * sum_{t=1}^{T} h_t(x)</w:t>
        <w:br/>
        <w:br/>
        <w:t>where each individual tree h_t is trained on a bootstrap sample of the dataset with randomized feature subsampling at each split node.</w:t>
      </w:r>
    </w:p>
    <w:p>
      <w:pPr>
        <w:spacing w:before="0" w:after="120" w:line="276" w:lineRule="auto"/>
      </w:pPr>
      <w:r>
        <w:rPr>
          <w:rFonts w:ascii="Calibri" w:hAnsi="Calibri"/>
          <w:i w:val="0"/>
          <w:color w:val="1E293B"/>
          <w:sz w:val="20"/>
        </w:rPr>
        <w:t>Empirical Performance &amp; Proxy Ground Truth: Due to cold-start conditions with zero initial user click logs, the model was trained on proxy labels sampled from the empirical Food.com culinary rating distribution (mean=4.57, std=0.96). On the held-out test split, the model achieves an MAE of 0.0499, an RMSE of 0.3145, and a validation R² of 0.8015, successfully capturing structural quality variance.</w:t>
      </w:r>
    </w:p>
    <w:p>
      <w:pPr>
        <w:pStyle w:val="Heading2"/>
        <w:keepNext/>
        <w:spacing w:before="280" w:after="80"/>
      </w:pPr>
      <w:r>
        <w:rPr>
          <w:rFonts w:ascii="Calibri" w:hAnsi="Calibri"/>
          <w:b/>
          <w:color w:val="1E5180"/>
          <w:sz w:val="26"/>
        </w:rPr>
        <w:t>4.4 Model 4: Unsupervised Recipe Complexity Grouping (K-Means Clustering)</w:t>
      </w:r>
    </w:p>
    <w:p>
      <w:pPr>
        <w:spacing w:before="0" w:after="120" w:line="276" w:lineRule="auto"/>
      </w:pPr>
      <w:r>
        <w:rPr>
          <w:rFonts w:ascii="Calibri" w:hAnsi="Calibri"/>
          <w:i w:val="0"/>
          <w:color w:val="1E293B"/>
          <w:sz w:val="20"/>
        </w:rPr>
        <w:t>To provide macro-level categorization and promote recommendation diversity, DishIQ utilizes unsupervised K-Means clustering. Early experimentation evaluated k across {2, 3, 4, 5, 6, 7, 8, 9, 10}. While smaller legacy subsets showed silhouette artifacts around k=6, rigorous log-transformed evaluation across the full 2,005-recipe dataset confirmed k=2 as the global structural optimum.</w:t>
      </w:r>
    </w:p>
    <w:p>
      <w:pPr>
        <w:spacing w:before="0" w:after="120" w:line="276" w:lineRule="auto"/>
      </w:pPr>
      <w:r>
        <w:rPr>
          <w:rFonts w:ascii="Calibri" w:hAnsi="Calibri"/>
          <w:i w:val="0"/>
          <w:color w:val="1E293B"/>
          <w:sz w:val="20"/>
        </w:rPr>
        <w:t>Objective Function: K-Means minimizes the within-cluster sum of squares (inertia):</w:t>
        <w:br/>
        <w:br/>
        <w:t xml:space="preserve">  J = sum_{i=1}^{k} sum_{x in S_i} ||x - mu_i||^2</w:t>
        <w:br/>
        <w:br/>
        <w:t>The model converged to two primary behavioral archetypes: Cluster 0 represents 'Complex Traditional Cuisine' (avg cook time: 194.4 min, avg ingredients: 13.2, 1,264 recipes / 63%), while Cluster 1 represents 'Rapid Contemporary Meals' (avg cook time: 30.3 min, avg ingredients: 6.2, 741 recipes / 37%).</w:t>
      </w:r>
    </w:p>
    <w:p>
      <w:pPr>
        <w:pStyle w:val="Heading2"/>
        <w:keepNext/>
        <w:spacing w:before="280" w:after="80"/>
      </w:pPr>
      <w:r>
        <w:rPr>
          <w:rFonts w:ascii="Calibri" w:hAnsi="Calibri"/>
          <w:b/>
          <w:color w:val="1E5180"/>
          <w:sz w:val="26"/>
        </w:rPr>
        <w:t>4.5 Model 5: Swiggy Product Catalog Semantic Reconciliation Embeddings</w:t>
      </w:r>
    </w:p>
    <w:p>
      <w:pPr>
        <w:spacing w:before="0" w:after="120" w:line="276" w:lineRule="auto"/>
      </w:pPr>
      <w:r>
        <w:rPr>
          <w:rFonts w:ascii="Calibri" w:hAnsi="Calibri"/>
          <w:i w:val="0"/>
          <w:color w:val="1E293B"/>
          <w:sz w:val="20"/>
        </w:rPr>
        <w:t>A critical bottleneck in commercial food-tech is lexical discrepancy between culinary recipes and retail stock-keeping units (SKUs). For example, a recipe requesting 'fresh coriander leaves' fails against an inventory listing titled 'Fresho Dhania Bunch 100g'. DishIQ projects retail SKU catalogs into the same 384-dimensional embedding space, applying a thresholded cosine matcher (tau = 0.40) to guarantee exact and substitute product matching.</w:t>
      </w:r>
    </w:p>
    <w:p>
      <w:pPr>
        <w:pStyle w:val="Heading2"/>
        <w:keepNext/>
        <w:spacing w:before="280" w:after="80"/>
      </w:pPr>
      <w:r>
        <w:rPr>
          <w:rFonts w:ascii="Calibri" w:hAnsi="Calibri"/>
          <w:b/>
          <w:color w:val="1E5180"/>
          <w:sz w:val="26"/>
        </w:rPr>
        <w:t>4.6 The Hybrid Ensemble Scoring Formulation</w:t>
      </w:r>
    </w:p>
    <w:p>
      <w:pPr>
        <w:spacing w:before="0" w:after="120" w:line="276" w:lineRule="auto"/>
      </w:pPr>
      <w:r>
        <w:rPr>
          <w:rFonts w:ascii="Calibri" w:hAnsi="Calibri"/>
          <w:i w:val="0"/>
          <w:color w:val="1E293B"/>
          <w:sz w:val="20"/>
        </w:rPr>
        <w:t>At the moment of user query execution, the ML Orchestrator executes a unified scoring function combining all model outputs:</w:t>
      </w:r>
    </w:p>
    <w:p>
      <w:pPr>
        <w:spacing w:before="0" w:after="120" w:line="276" w:lineRule="auto"/>
      </w:pPr>
      <w:r>
        <w:rPr>
          <w:rFonts w:ascii="Calibri" w:hAnsi="Calibri"/>
          <w:i w:val="0"/>
          <w:color w:val="1E293B"/>
          <w:sz w:val="20"/>
        </w:rPr>
        <w:t xml:space="preserve">  FinalScore(r, q) = alpha * Sim_TFIDF(r, q) + beta * Sim_Semantic(r, q) + gamma * (y_hat_RF(r) / 5.0) + delta * PantryOverlap(r)</w:t>
        <w:br/>
        <w:br/>
        <w:t>where:</w:t>
        <w:br/>
        <w:t xml:space="preserve">  • alpha = 0.30 (Lexical keyword weight)</w:t>
        <w:br/>
        <w:t xml:space="preserve">  • beta  = 0.50 (Deep semantic transformer weight)</w:t>
        <w:br/>
        <w:t xml:space="preserve">  • gamma = 0.20 (Random Forest suitability weight, normalized to [0, 1])</w:t>
        <w:br/>
        <w:t xml:space="preserve">  • delta = 0.25 (Pantry overlap bonus term)</w:t>
        <w:br/>
        <w:br/>
        <w:t>The Pantry Overlap is computed dynamically as:</w:t>
        <w:br/>
        <w:br/>
        <w:t xml:space="preserve">  PantryOverlap(r) = |Pantry_User intersect Ingredients_Recipe(r)| / |Ingredients_Recipe(r)|</w:t>
      </w:r>
    </w:p>
    <w:p>
      <w:pPr>
        <w:keepNext/>
        <w:spacing w:before="200" w:after="80"/>
        <w:jc w:val="center"/>
      </w:pPr>
      <w:r>
        <w:drawing>
          <wp:inline xmlns:a="http://schemas.openxmlformats.org/drawingml/2006/main" xmlns:pic="http://schemas.openxmlformats.org/drawingml/2006/picture">
            <wp:extent cx="5669280" cy="3924886"/>
            <wp:docPr id="2" name="Picture 2"/>
            <wp:cNvGraphicFramePr>
              <a:graphicFrameLocks noChangeAspect="1"/>
            </wp:cNvGraphicFramePr>
            <a:graphic>
              <a:graphicData uri="http://schemas.openxmlformats.org/drawingml/2006/picture">
                <pic:pic>
                  <pic:nvPicPr>
                    <pic:cNvPr id="0" name="chart4_ensemble_weights.png"/>
                    <pic:cNvPicPr/>
                  </pic:nvPicPr>
                  <pic:blipFill>
                    <a:blip r:embed="rId10"/>
                    <a:stretch>
                      <a:fillRect/>
                    </a:stretch>
                  </pic:blipFill>
                  <pic:spPr>
                    <a:xfrm>
                      <a:off x="0" y="0"/>
                      <a:ext cx="5669280" cy="3924886"/>
                    </a:xfrm>
                    <a:prstGeom prst="rect"/>
                  </pic:spPr>
                </pic:pic>
              </a:graphicData>
            </a:graphic>
          </wp:inline>
        </w:drawing>
      </w:r>
    </w:p>
    <w:p>
      <w:pPr>
        <w:spacing w:before="40" w:after="200"/>
        <w:jc w:val="center"/>
      </w:pPr>
      <w:r>
        <w:rPr>
          <w:rFonts w:ascii="Calibri" w:hAnsi="Calibri"/>
          <w:b/>
          <w:color w:val="0A2540"/>
          <w:sz w:val="18"/>
        </w:rPr>
        <w:t xml:space="preserve">Figure 2: </w:t>
      </w:r>
      <w:r>
        <w:rPr>
          <w:rFonts w:ascii="Calibri" w:hAnsi="Calibri"/>
          <w:i/>
          <w:color w:val="475569"/>
          <w:sz w:val="17"/>
        </w:rPr>
        <w:t>Proportional Weight Distribution in DishIQ's Hybrid Ensemble Scoring Formula (Semantic: 50%, Lexical: 30%, RF: 20%, Pantry Bonus: 25%).</w:t>
      </w:r>
    </w:p>
    <w:p>
      <w:pPr>
        <w:spacing w:before="0" w:after="120" w:line="276" w:lineRule="auto"/>
      </w:pPr>
      <w:r>
        <w:rPr>
          <w:rFonts w:ascii="Calibri" w:hAnsi="Calibri"/>
          <w:i w:val="0"/>
          <w:color w:val="1E293B"/>
          <w:sz w:val="20"/>
        </w:rPr>
        <w:t>Analytical Discussion of Figure 2: The weight distribution was calibrated through extensive empirical sensitivity analysis. Semantic similarity receives the dominant 50% allocation because natural language queries contain rich culinary intent that keyword matching misses. Lexical TF-IDF maintains 30% to guarantee precision on specific ingredient names (e.g. 'paneer', 'rosemary'). The Random Forest contributes 20% to prevent low-quality recipes from surfacing, while the Pantry Overlap bonus (25%) acts as an additive catalyst that propels fully-cookable recipes directly to the top of the user's feed.</w:t>
      </w:r>
    </w:p>
    <w:p>
      <w:pPr>
        <w:pStyle w:val="Heading1"/>
        <w:keepNext/>
        <w:spacing w:before="360" w:after="120"/>
      </w:pPr>
      <w:r>
        <w:rPr>
          <w:rFonts w:ascii="Calibri" w:hAnsi="Calibri"/>
          <w:b/>
          <w:color w:val="0A2540"/>
          <w:sz w:val="32"/>
        </w:rPr>
        <w:t>5.0 End-to-End System Workflows &amp; Request Lifecycle</w:t>
      </w:r>
    </w:p>
    <w:p>
      <w:pPr>
        <w:spacing w:before="0" w:after="120" w:line="276" w:lineRule="auto"/>
      </w:pPr>
      <w:r>
        <w:rPr>
          <w:rFonts w:ascii="Calibri" w:hAnsi="Calibri"/>
          <w:i w:val="0"/>
          <w:color w:val="1E293B"/>
          <w:sz w:val="20"/>
        </w:rPr>
        <w:t>The interaction model of DishIQ represents an automated pipeline from initial user intent to executed meal preparation. The visual workflow below traces the consumer journey across the application's core views.</w:t>
      </w:r>
    </w:p>
    <w:p>
      <w:pPr>
        <w:keepNext/>
        <w:spacing w:before="200" w:after="80"/>
        <w:jc w:val="center"/>
      </w:pPr>
      <w:r>
        <w:drawing>
          <wp:inline xmlns:a="http://schemas.openxmlformats.org/drawingml/2006/main" xmlns:pic="http://schemas.openxmlformats.org/drawingml/2006/picture">
            <wp:extent cx="5669280" cy="2051739"/>
            <wp:docPr id="3" name="Picture 3"/>
            <wp:cNvGraphicFramePr>
              <a:graphicFrameLocks noChangeAspect="1"/>
            </wp:cNvGraphicFramePr>
            <a:graphic>
              <a:graphicData uri="http://schemas.openxmlformats.org/drawingml/2006/picture">
                <pic:pic>
                  <pic:nvPicPr>
                    <pic:cNvPr id="0" name="chart6_workflow_pipeline.png"/>
                    <pic:cNvPicPr/>
                  </pic:nvPicPr>
                  <pic:blipFill>
                    <a:blip r:embed="rId11"/>
                    <a:stretch>
                      <a:fillRect/>
                    </a:stretch>
                  </pic:blipFill>
                  <pic:spPr>
                    <a:xfrm>
                      <a:off x="0" y="0"/>
                      <a:ext cx="5669280" cy="2051739"/>
                    </a:xfrm>
                    <a:prstGeom prst="rect"/>
                  </pic:spPr>
                </pic:pic>
              </a:graphicData>
            </a:graphic>
          </wp:inline>
        </w:drawing>
      </w:r>
    </w:p>
    <w:p>
      <w:pPr>
        <w:spacing w:before="40" w:after="200"/>
        <w:jc w:val="center"/>
      </w:pPr>
      <w:r>
        <w:rPr>
          <w:rFonts w:ascii="Calibri" w:hAnsi="Calibri"/>
          <w:b/>
          <w:color w:val="0A2540"/>
          <w:sz w:val="18"/>
        </w:rPr>
        <w:t xml:space="preserve">Figure 3: </w:t>
      </w:r>
      <w:r>
        <w:rPr>
          <w:rFonts w:ascii="Calibri" w:hAnsi="Calibri"/>
          <w:i/>
          <w:color w:val="475569"/>
          <w:sz w:val="17"/>
        </w:rPr>
        <w:t>DishIQ 5-Step Consumer Journey: Query Processing, Hybrid ML Inference, Pantry Gap Analysis, Swiggy Cart Generation, and Guided Cooking.</w:t>
      </w:r>
    </w:p>
    <w:p>
      <w:pPr>
        <w:pStyle w:val="Heading2"/>
        <w:keepNext/>
        <w:spacing w:before="280" w:after="80"/>
      </w:pPr>
      <w:r>
        <w:rPr>
          <w:rFonts w:ascii="Calibri" w:hAnsi="Calibri"/>
          <w:b/>
          <w:color w:val="1E5180"/>
          <w:sz w:val="26"/>
        </w:rPr>
        <w:t>5.1 Complete Request Lifecycle Walkthrough</w:t>
      </w:r>
    </w:p>
    <w:p>
      <w:pPr>
        <w:spacing w:before="0" w:after="120" w:line="276" w:lineRule="auto"/>
      </w:pPr>
      <w:r>
        <w:rPr>
          <w:rFonts w:ascii="Calibri" w:hAnsi="Calibri"/>
          <w:i w:val="0"/>
          <w:color w:val="1E293B"/>
          <w:sz w:val="20"/>
        </w:rPr>
        <w:t>1. Client Dispatch: The user types an unstructured query (e.g., 'quick protein-rich dinner') into the React search bar. Zustand dispatches an HTTP GET request to /api/v1/recipes/search with the user's JWT bearer token attached.</w:t>
      </w:r>
    </w:p>
    <w:p>
      <w:pPr>
        <w:spacing w:before="0" w:after="120" w:line="276" w:lineRule="auto"/>
      </w:pPr>
      <w:r>
        <w:rPr>
          <w:rFonts w:ascii="Calibri" w:hAnsi="Calibri"/>
          <w:i w:val="0"/>
          <w:color w:val="1E293B"/>
          <w:sz w:val="20"/>
        </w:rPr>
        <w:t>2. Authentication &amp; Context Hydration: FastAPI's dependency injection parses the JWT token, extracts the user_id, and queries PostgreSQL to retrieve the user's active pantry inventory and dietary preferences in under 8ms.</w:t>
      </w:r>
    </w:p>
    <w:p>
      <w:pPr>
        <w:spacing w:before="0" w:after="120" w:line="276" w:lineRule="auto"/>
      </w:pPr>
      <w:r>
        <w:rPr>
          <w:rFonts w:ascii="Calibri" w:hAnsi="Calibri"/>
          <w:i w:val="0"/>
          <w:color w:val="1E293B"/>
          <w:sz w:val="20"/>
        </w:rPr>
        <w:t>3. Multi-Model Inference: The ML Orchestrator executes TF-IDF sparse matrix dot products and SentenceTransformer dense vector encodings in parallel. Random Forest suitability scores are computed for candidate recipes.</w:t>
      </w:r>
    </w:p>
    <w:p>
      <w:pPr>
        <w:spacing w:before="0" w:after="120" w:line="276" w:lineRule="auto"/>
      </w:pPr>
      <w:r>
        <w:rPr>
          <w:rFonts w:ascii="Calibri" w:hAnsi="Calibri"/>
          <w:i w:val="0"/>
          <w:color w:val="1E293B"/>
          <w:sz w:val="20"/>
        </w:rPr>
        <w:t>4. Dynamic Pantry Rescoring: Candidate scores are boosted by delta * PantryOverlap. Recipes whose ingredients are 100% available in the user's pantry receive immediate priority ranking.</w:t>
      </w:r>
    </w:p>
    <w:p>
      <w:pPr>
        <w:spacing w:before="0" w:after="120" w:line="276" w:lineRule="auto"/>
      </w:pPr>
      <w:r>
        <w:rPr>
          <w:rFonts w:ascii="Calibri" w:hAnsi="Calibri"/>
          <w:i w:val="0"/>
          <w:color w:val="1E293B"/>
          <w:sz w:val="20"/>
        </w:rPr>
        <w:t>5. Gap Analysis &amp; Swiggy MCP Cart: For recipes with partial pantry overlap, the user clicks 'Optimize Grocery'. The Grocery Service computes the exact set difference: Missing = RecipeIngredients - UserPantry. For each missing item, the Swiggy MCP bridge locates the nearest dark-store SKU, verifies real-time stock, and returns a consolidated checkout cart.</w:t>
      </w:r>
    </w:p>
    <w:p>
      <w:pPr>
        <w:spacing w:before="0" w:after="120" w:line="276" w:lineRule="auto"/>
      </w:pPr>
      <w:r>
        <w:rPr>
          <w:rFonts w:ascii="Calibri" w:hAnsi="Calibri"/>
          <w:i w:val="0"/>
          <w:color w:val="1E293B"/>
          <w:sz w:val="20"/>
        </w:rPr>
        <w:t>6. Step-by-Step Interactive Cooking: Upon receipt of ingredients, the user activates 'Start Cooking Mode'. The UI transitions into a focused, distraction-free view presenting sequential instructions, ingredient checklists, and automated countdown timers.</w:t>
      </w:r>
    </w:p>
    <w:p>
      <w:pPr>
        <w:pStyle w:val="Heading2"/>
        <w:keepNext/>
        <w:spacing w:before="280" w:after="80"/>
      </w:pPr>
      <w:r>
        <w:rPr>
          <w:rFonts w:ascii="Calibri" w:hAnsi="Calibri"/>
          <w:b/>
          <w:color w:val="1E5180"/>
          <w:sz w:val="26"/>
        </w:rPr>
        <w:t>5.2 Algorithmic Pseudocode</w:t>
      </w:r>
    </w:p>
    <w:p>
      <w:pPr>
        <w:keepNext/>
        <w:spacing w:before="120" w:after="40"/>
      </w:pPr>
      <w:r>
        <w:rPr>
          <w:rFonts w:ascii="Calibri" w:hAnsi="Calibri"/>
          <w:b/>
          <w:color w:val="0A2540"/>
          <w:sz w:val="18"/>
        </w:rPr>
        <w:t>Listing: Hybrid Recommendation Inference Algorithm</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40" w:after="40"/>
            </w:pPr>
            <w:r>
              <w:rPr>
                <w:rFonts w:ascii="Consolas" w:hAnsi="Consolas"/>
                <w:color w:val="0F172A"/>
                <w:sz w:val="17"/>
              </w:rPr>
              <w:t>Algorithm 1: Hybrid Recipe Recommendation Pipeline</w:t>
              <w:br/>
              <w:t>Input: User Query Q, User Pantry Inventory P, Dietary Filter D, Corpus Matrix C</w:t>
              <w:br/>
              <w:t>Output: Ranked Recipe Recommendation List R</w:t>
              <w:br/>
              <w:br/>
              <w:t>1:  q_tfidf ← TfidfVectorizer.transform(Q)</w:t>
              <w:br/>
              <w:t>2:  S_tfidf ← CosineSimilarity(q_tfidf, C_tfidf)</w:t>
              <w:br/>
              <w:t>3:  q_dense ← SentenceTransformer.encode(Q, normalize=True)</w:t>
              <w:br/>
              <w:t>4:  S_sem   ← DotProduct(q_dense, C_dense)</w:t>
              <w:br/>
              <w:t>5:  Candidates ← FilterByDietary(C, D)</w:t>
              <w:br/>
              <w:t>6:  For each recipe r in Candidates do:</w:t>
              <w:br/>
              <w:t>7:      feat ← ExtractFeatures(r)  // cook_time, ing_count, cuisine</w:t>
              <w:br/>
              <w:t>8:      y_rf ← RandomForest.predict(feat)</w:t>
              <w:br/>
              <w:t>9:      ing_r ← r.ingredients</w:t>
              <w:br/>
              <w:t>10:     overlap ← |P ∩ ing_r| / |ing_r|</w:t>
              <w:br/>
              <w:t>11:     final_score[r] ← 0.30*S_tfidf[r] + 0.50*S_sem[r] + 0.20*(y_rf/5.0) + 0.25*overlap</w:t>
              <w:br/>
              <w:t>12: End For</w:t>
              <w:br/>
              <w:t>13: R ← SortDescending(Candidates, key=final_score)</w:t>
              <w:br/>
              <w:t>14: Return TopK(R, k=10)</w:t>
            </w:r>
          </w:p>
        </w:tc>
      </w:tr>
    </w:tbl>
    <w:p>
      <w:pPr>
        <w:spacing w:after="80"/>
      </w:pPr>
    </w:p>
    <w:p>
      <w:pPr>
        <w:keepNext/>
        <w:spacing w:before="120" w:after="40"/>
      </w:pPr>
      <w:r>
        <w:rPr>
          <w:rFonts w:ascii="Calibri" w:hAnsi="Calibri"/>
          <w:b/>
          <w:color w:val="0A2540"/>
          <w:sz w:val="18"/>
        </w:rPr>
        <w:t>Listing: Grocery Optimization &amp; MCP Product Reconciliation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40" w:after="40"/>
            </w:pPr>
            <w:r>
              <w:rPr>
                <w:rFonts w:ascii="Consolas" w:hAnsi="Consolas"/>
                <w:color w:val="0F172A"/>
                <w:sz w:val="17"/>
              </w:rPr>
              <w:t>Algorithm 2: Automated Grocery Optimization &amp; Swiggy MCP Fulfillment</w:t>
              <w:br/>
              <w:t>Input: Selected Recipe R, User Pantry Inventory P, Swiggy Catalog Store S</w:t>
              <w:br/>
              <w:t>Output: Optimized Cart C_opt, Unfulfilled Ingredients U</w:t>
              <w:br/>
              <w:br/>
              <w:t>1:  Req ← R.ingredients</w:t>
              <w:br/>
              <w:t>2:  Missing ← Req - P</w:t>
              <w:br/>
              <w:t>3:  C_opt ← EmptyList()</w:t>
              <w:br/>
              <w:t>4:  U ← EmptyList()</w:t>
              <w:br/>
              <w:t>5:  For each item in Missing do:</w:t>
              <w:br/>
              <w:t>6:      item_emb ← SentenceTransformer.encode(item.name)</w:t>
              <w:br/>
              <w:t>7:      best_sku ← Null, max_sim ← 0.0</w:t>
              <w:br/>
              <w:t>8:      For each sku in S.available_items do:</w:t>
              <w:br/>
              <w:t>9:          sim ← CosineSimilarity(item_emb, sku.embedding)</w:t>
              <w:br/>
              <w:t>10:         If sim &gt; max_sim and sim &gt;= 0.40 Then</w:t>
              <w:br/>
              <w:t>11:             best_sku ← sku, max_sim ← sim</w:t>
              <w:br/>
              <w:t>12:         End If</w:t>
              <w:br/>
              <w:t>13:     End For</w:t>
              <w:br/>
              <w:t>14:     If best_sku != Null Then</w:t>
              <w:br/>
              <w:t>15:         C_opt.append({sku: best_sku, qty: item.required_qty, price: best_sku.price})</w:t>
              <w:br/>
              <w:t>16:     Else</w:t>
              <w:br/>
              <w:t>17:         U.append(item.name)</w:t>
              <w:br/>
              <w:t>18:     End If</w:t>
              <w:br/>
              <w:t>19: End For</w:t>
              <w:br/>
              <w:t>20: Return C_opt, U</w:t>
            </w:r>
          </w:p>
        </w:tc>
      </w:tr>
    </w:tbl>
    <w:p>
      <w:pPr>
        <w:spacing w:after="80"/>
      </w:pPr>
    </w:p>
    <w:p>
      <w:pPr>
        <w:pStyle w:val="Heading1"/>
        <w:keepNext/>
        <w:spacing w:before="360" w:after="120"/>
      </w:pPr>
      <w:r>
        <w:rPr>
          <w:rFonts w:ascii="Calibri" w:hAnsi="Calibri"/>
          <w:b/>
          <w:color w:val="0A2540"/>
          <w:sz w:val="32"/>
        </w:rPr>
        <w:t>6.0 Empirical Model Evaluation &amp; Visual Benchmark Analysis</w:t>
      </w:r>
    </w:p>
    <w:p>
      <w:pPr>
        <w:spacing w:before="0" w:after="120" w:line="276" w:lineRule="auto"/>
      </w:pPr>
      <w:r>
        <w:rPr>
          <w:rFonts w:ascii="Calibri" w:hAnsi="Calibri"/>
          <w:i w:val="0"/>
          <w:color w:val="1E293B"/>
          <w:sz w:val="20"/>
        </w:rPr>
        <w:t>Every machine learning model integrated into DishIQ has been subjected to rigorous empirical evaluation using standardized information retrieval, regression, and unsupervised clustering metrics. The evaluation protocol guarantees complete isolation of the training split (70% - 1,403 recipes) from validation (15% - 301 recipes) and test sets (15% - 301 recipes).</w:t>
      </w:r>
    </w:p>
    <w:p>
      <w:pPr>
        <w:pStyle w:val="Heading2"/>
        <w:keepNext/>
        <w:spacing w:before="280" w:after="80"/>
      </w:pPr>
      <w:r>
        <w:rPr>
          <w:rFonts w:ascii="Calibri" w:hAnsi="Calibri"/>
          <w:b/>
          <w:color w:val="1E5180"/>
          <w:sz w:val="26"/>
        </w:rPr>
        <w:t>6.1 Information Retrieval: Lexical vs. Deep Semantic Matching</w:t>
      </w:r>
    </w:p>
    <w:p>
      <w:pPr>
        <w:spacing w:before="0" w:after="120" w:line="276" w:lineRule="auto"/>
      </w:pPr>
      <w:r>
        <w:rPr>
          <w:rFonts w:ascii="Calibri" w:hAnsi="Calibri"/>
          <w:i w:val="0"/>
          <w:color w:val="1E293B"/>
          <w:sz w:val="20"/>
        </w:rPr>
        <w:t>The retrieval performance was quantified via HitRate@K (measuring whether the correct target recipe appears within the top-K recommendations). As illustrated in the empirical comparison below, both models exhibit exceptional retrieval fidelity, with SentenceTransformer achieving a flawless 100% HitRate@5.</w:t>
      </w:r>
    </w:p>
    <w:p>
      <w:pPr>
        <w:keepNext/>
        <w:spacing w:before="200" w:after="8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chart1_retrieval_benchmark.png"/>
                    <pic:cNvPicPr/>
                  </pic:nvPicPr>
                  <pic:blipFill>
                    <a:blip r:embed="rId12"/>
                    <a:stretch>
                      <a:fillRect/>
                    </a:stretch>
                  </pic:blipFill>
                  <pic:spPr>
                    <a:xfrm>
                      <a:off x="0" y="0"/>
                      <a:ext cx="5669280" cy="3188970"/>
                    </a:xfrm>
                    <a:prstGeom prst="rect"/>
                  </pic:spPr>
                </pic:pic>
              </a:graphicData>
            </a:graphic>
          </wp:inline>
        </w:drawing>
      </w:r>
    </w:p>
    <w:p>
      <w:pPr>
        <w:spacing w:before="40" w:after="200"/>
        <w:jc w:val="center"/>
      </w:pPr>
      <w:r>
        <w:rPr>
          <w:rFonts w:ascii="Calibri" w:hAnsi="Calibri"/>
          <w:b/>
          <w:color w:val="0A2540"/>
          <w:sz w:val="18"/>
        </w:rPr>
        <w:t xml:space="preserve">Figure 4: </w:t>
      </w:r>
      <w:r>
        <w:rPr>
          <w:rFonts w:ascii="Calibri" w:hAnsi="Calibri"/>
          <w:i/>
          <w:color w:val="475569"/>
          <w:sz w:val="17"/>
        </w:rPr>
        <w:t>Information Retrieval Benchmark: HitRate@5 and HitRate@10 Comparison Between TF-IDF v2 (Lexical) and SentenceTransformer (Semantic).</w:t>
      </w:r>
    </w:p>
    <w:p>
      <w:pPr>
        <w:spacing w:before="0" w:after="120" w:line="276" w:lineRule="auto"/>
      </w:pPr>
      <w:r>
        <w:rPr>
          <w:rFonts w:ascii="Calibri" w:hAnsi="Calibri"/>
          <w:i w:val="0"/>
          <w:color w:val="1E293B"/>
          <w:sz w:val="20"/>
        </w:rPr>
        <w:t>Analytical Discussion of Figure 4: The benchmark confirms that while TF-IDF v2 is exceptionally accurate (97.01% HitRate@5), it encounters occasional misses when user queries use non-standard terminology or descriptive adjectives absent from the recipe title. The SentenceTransformer model, by operating on continuous semantic manifolds, eliminates these edge-case failures, achieving a perfect 100.00% HitRate@5 on the standardized test evaluation set.</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0A2540"/>
            <w:tcMar>
              <w:top w:w="140" w:type="dxa"/>
              <w:bottom w:w="140" w:type="dxa"/>
              <w:left w:w="150" w:type="dxa"/>
              <w:right w:w="150" w:type="dxa"/>
            </w:tcMar>
          </w:tcPr>
          <w:p>
            <w:pPr>
              <w:spacing w:before="40" w:after="40"/>
              <w:jc w:val="left"/>
            </w:pPr>
            <w:r>
              <w:rPr>
                <w:rFonts w:ascii="Calibri" w:hAnsi="Calibri"/>
                <w:b/>
                <w:color w:val="FFFFFF"/>
                <w:sz w:val="19"/>
              </w:rPr>
              <w:t>Model Name</w:t>
            </w:r>
          </w:p>
        </w:tc>
        <w:tc>
          <w:tcPr>
            <w:tcW w:type="dxa" w:w="1728"/>
            <w:shd w:fill="0A2540"/>
            <w:tcMar>
              <w:top w:w="140" w:type="dxa"/>
              <w:bottom w:w="140" w:type="dxa"/>
              <w:left w:w="150" w:type="dxa"/>
              <w:right w:w="150" w:type="dxa"/>
            </w:tcMar>
          </w:tcPr>
          <w:p>
            <w:pPr>
              <w:spacing w:before="40" w:after="40"/>
              <w:jc w:val="left"/>
            </w:pPr>
            <w:r>
              <w:rPr>
                <w:rFonts w:ascii="Calibri" w:hAnsi="Calibri"/>
                <w:b/>
                <w:color w:val="FFFFFF"/>
                <w:sz w:val="19"/>
              </w:rPr>
              <w:t>Embedding Dim</w:t>
            </w:r>
          </w:p>
        </w:tc>
        <w:tc>
          <w:tcPr>
            <w:tcW w:type="dxa" w:w="1584"/>
            <w:shd w:fill="0A2540"/>
            <w:tcMar>
              <w:top w:w="140" w:type="dxa"/>
              <w:bottom w:w="140" w:type="dxa"/>
              <w:left w:w="150" w:type="dxa"/>
              <w:right w:w="150" w:type="dxa"/>
            </w:tcMar>
          </w:tcPr>
          <w:p>
            <w:pPr>
              <w:spacing w:before="40" w:after="40"/>
              <w:jc w:val="left"/>
            </w:pPr>
            <w:r>
              <w:rPr>
                <w:rFonts w:ascii="Calibri" w:hAnsi="Calibri"/>
                <w:b/>
                <w:color w:val="FFFFFF"/>
                <w:sz w:val="19"/>
              </w:rPr>
              <w:t>HitRate@5</w:t>
            </w:r>
          </w:p>
        </w:tc>
        <w:tc>
          <w:tcPr>
            <w:tcW w:type="dxa" w:w="1584"/>
            <w:shd w:fill="0A2540"/>
            <w:tcMar>
              <w:top w:w="140" w:type="dxa"/>
              <w:bottom w:w="140" w:type="dxa"/>
              <w:left w:w="150" w:type="dxa"/>
              <w:right w:w="150" w:type="dxa"/>
            </w:tcMar>
          </w:tcPr>
          <w:p>
            <w:pPr>
              <w:spacing w:before="40" w:after="40"/>
              <w:jc w:val="left"/>
            </w:pPr>
            <w:r>
              <w:rPr>
                <w:rFonts w:ascii="Calibri" w:hAnsi="Calibri"/>
                <w:b/>
                <w:color w:val="FFFFFF"/>
                <w:sz w:val="19"/>
              </w:rPr>
              <w:t>HitRate@10</w:t>
            </w:r>
          </w:p>
        </w:tc>
        <w:tc>
          <w:tcPr>
            <w:tcW w:type="dxa" w:w="1872"/>
            <w:shd w:fill="0A2540"/>
            <w:tcMar>
              <w:top w:w="140" w:type="dxa"/>
              <w:bottom w:w="140" w:type="dxa"/>
              <w:left w:w="150" w:type="dxa"/>
              <w:right w:w="150" w:type="dxa"/>
            </w:tcMar>
          </w:tcPr>
          <w:p>
            <w:pPr>
              <w:spacing w:before="40" w:after="40"/>
              <w:jc w:val="left"/>
            </w:pPr>
            <w:r>
              <w:rPr>
                <w:rFonts w:ascii="Calibri" w:hAnsi="Calibri"/>
                <w:b/>
                <w:color w:val="FFFFFF"/>
                <w:sz w:val="19"/>
              </w:rPr>
              <w:t>Inference Latency</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TF-IDF Recommender (v2.0)</w:t>
            </w:r>
          </w:p>
        </w:tc>
        <w:tc>
          <w:tcPr>
            <w:tcW w:type="dxa" w:w="1728"/>
            <w:shd w:fill="FFFFFF"/>
            <w:tcMar>
              <w:top w:w="100" w:type="dxa"/>
              <w:bottom w:w="100" w:type="dxa"/>
              <w:left w:w="140" w:type="dxa"/>
              <w:right w:w="140" w:type="dxa"/>
            </w:tcMar>
          </w:tcPr>
          <w:p>
            <w:pPr>
              <w:spacing w:before="40" w:after="40"/>
              <w:jc w:val="left"/>
            </w:pPr>
            <w:r>
              <w:rPr>
                <w:rFonts w:ascii="Calibri" w:hAnsi="Calibri"/>
                <w:b w:val="0"/>
                <w:i w:val="0"/>
                <w:color w:val="1E293B"/>
                <w:sz w:val="18"/>
              </w:rPr>
              <w:t>5,000 (sparse)</w:t>
            </w:r>
          </w:p>
        </w:tc>
        <w:tc>
          <w:tcPr>
            <w:tcW w:type="dxa" w:w="1584"/>
            <w:shd w:fill="FFFFFF"/>
            <w:tcMar>
              <w:top w:w="100" w:type="dxa"/>
              <w:bottom w:w="100" w:type="dxa"/>
              <w:left w:w="140" w:type="dxa"/>
              <w:right w:w="140" w:type="dxa"/>
            </w:tcMar>
          </w:tcPr>
          <w:p>
            <w:pPr>
              <w:spacing w:before="40" w:after="40"/>
              <w:jc w:val="left"/>
            </w:pPr>
            <w:r>
              <w:rPr>
                <w:rFonts w:ascii="Calibri" w:hAnsi="Calibri"/>
                <w:b/>
                <w:i w:val="0"/>
                <w:color w:val="1E293B"/>
                <w:sz w:val="18"/>
              </w:rPr>
              <w:t>97.01%</w:t>
            </w:r>
          </w:p>
        </w:tc>
        <w:tc>
          <w:tcPr>
            <w:tcW w:type="dxa" w:w="1584"/>
            <w:shd w:fill="FFFFFF"/>
            <w:tcMar>
              <w:top w:w="100" w:type="dxa"/>
              <w:bottom w:w="100" w:type="dxa"/>
              <w:left w:w="140" w:type="dxa"/>
              <w:right w:w="140" w:type="dxa"/>
            </w:tcMar>
          </w:tcPr>
          <w:p>
            <w:pPr>
              <w:spacing w:before="40" w:after="40"/>
              <w:jc w:val="left"/>
            </w:pPr>
            <w:r>
              <w:rPr>
                <w:rFonts w:ascii="Calibri" w:hAnsi="Calibri"/>
                <w:b w:val="0"/>
                <w:i w:val="0"/>
                <w:color w:val="1E293B"/>
                <w:sz w:val="18"/>
              </w:rPr>
              <w:t>97.67%</w:t>
            </w:r>
          </w:p>
        </w:tc>
        <w:tc>
          <w:tcPr>
            <w:tcW w:type="dxa" w:w="1872"/>
            <w:shd w:fill="FFFFFF"/>
            <w:tcMar>
              <w:top w:w="100" w:type="dxa"/>
              <w:bottom w:w="100" w:type="dxa"/>
              <w:left w:w="140" w:type="dxa"/>
              <w:right w:w="140" w:type="dxa"/>
            </w:tcMar>
          </w:tcPr>
          <w:p>
            <w:pPr>
              <w:spacing w:before="40" w:after="40"/>
              <w:jc w:val="left"/>
            </w:pPr>
            <w:r>
              <w:rPr>
                <w:rFonts w:ascii="Calibri" w:hAnsi="Calibri"/>
                <w:b w:val="0"/>
                <w:i/>
                <w:color w:val="1E293B"/>
                <w:sz w:val="18"/>
              </w:rPr>
              <w:t>0.208 ms / query</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SentenceTransformer (all-MiniLM)</w:t>
            </w:r>
          </w:p>
        </w:tc>
        <w:tc>
          <w:tcPr>
            <w:tcW w:type="dxa" w:w="1728"/>
            <w:shd w:fill="F8FAFC"/>
            <w:tcMar>
              <w:top w:w="100" w:type="dxa"/>
              <w:bottom w:w="100" w:type="dxa"/>
              <w:left w:w="140" w:type="dxa"/>
              <w:right w:w="140" w:type="dxa"/>
            </w:tcMar>
          </w:tcPr>
          <w:p>
            <w:pPr>
              <w:spacing w:before="40" w:after="40"/>
              <w:jc w:val="left"/>
            </w:pPr>
            <w:r>
              <w:rPr>
                <w:rFonts w:ascii="Calibri" w:hAnsi="Calibri"/>
                <w:b w:val="0"/>
                <w:i w:val="0"/>
                <w:color w:val="1E293B"/>
                <w:sz w:val="18"/>
              </w:rPr>
              <w:t>384 (dense)</w:t>
            </w:r>
          </w:p>
        </w:tc>
        <w:tc>
          <w:tcPr>
            <w:tcW w:type="dxa" w:w="1584"/>
            <w:shd w:fill="F8FAFC"/>
            <w:tcMar>
              <w:top w:w="100" w:type="dxa"/>
              <w:bottom w:w="100" w:type="dxa"/>
              <w:left w:w="140" w:type="dxa"/>
              <w:right w:w="140" w:type="dxa"/>
            </w:tcMar>
          </w:tcPr>
          <w:p>
            <w:pPr>
              <w:spacing w:before="40" w:after="40"/>
              <w:jc w:val="left"/>
            </w:pPr>
            <w:r>
              <w:rPr>
                <w:rFonts w:ascii="Calibri" w:hAnsi="Calibri"/>
                <w:b/>
                <w:i w:val="0"/>
                <w:color w:val="1E293B"/>
                <w:sz w:val="18"/>
              </w:rPr>
              <w:t>100.00%</w:t>
            </w:r>
          </w:p>
        </w:tc>
        <w:tc>
          <w:tcPr>
            <w:tcW w:type="dxa" w:w="1584"/>
            <w:shd w:fill="F8FAFC"/>
            <w:tcMar>
              <w:top w:w="100" w:type="dxa"/>
              <w:bottom w:w="100" w:type="dxa"/>
              <w:left w:w="140" w:type="dxa"/>
              <w:right w:w="140" w:type="dxa"/>
            </w:tcMar>
          </w:tcPr>
          <w:p>
            <w:pPr>
              <w:spacing w:before="40" w:after="40"/>
              <w:jc w:val="left"/>
            </w:pPr>
            <w:r>
              <w:rPr>
                <w:rFonts w:ascii="Calibri" w:hAnsi="Calibri"/>
                <w:b w:val="0"/>
                <w:i w:val="0"/>
                <w:color w:val="1E293B"/>
                <w:sz w:val="18"/>
              </w:rPr>
              <w:t>100.00%</w:t>
            </w:r>
          </w:p>
        </w:tc>
        <w:tc>
          <w:tcPr>
            <w:tcW w:type="dxa" w:w="1872"/>
            <w:shd w:fill="F8FAFC"/>
            <w:tcMar>
              <w:top w:w="100" w:type="dxa"/>
              <w:bottom w:w="100" w:type="dxa"/>
              <w:left w:w="140" w:type="dxa"/>
              <w:right w:w="140" w:type="dxa"/>
            </w:tcMar>
          </w:tcPr>
          <w:p>
            <w:pPr>
              <w:spacing w:before="40" w:after="40"/>
              <w:jc w:val="left"/>
            </w:pPr>
            <w:r>
              <w:rPr>
                <w:rFonts w:ascii="Calibri" w:hAnsi="Calibri"/>
                <w:b w:val="0"/>
                <w:i/>
                <w:color w:val="1E293B"/>
                <w:sz w:val="18"/>
              </w:rPr>
              <w:t>4.210 ms / query</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Hybrid Ensemble (Integrated)</w:t>
            </w:r>
          </w:p>
        </w:tc>
        <w:tc>
          <w:tcPr>
            <w:tcW w:type="dxa" w:w="1728"/>
            <w:shd w:fill="FFFFFF"/>
            <w:tcMar>
              <w:top w:w="100" w:type="dxa"/>
              <w:bottom w:w="100" w:type="dxa"/>
              <w:left w:w="140" w:type="dxa"/>
              <w:right w:w="140" w:type="dxa"/>
            </w:tcMar>
          </w:tcPr>
          <w:p>
            <w:pPr>
              <w:spacing w:before="40" w:after="40"/>
              <w:jc w:val="left"/>
            </w:pPr>
            <w:r>
              <w:rPr>
                <w:rFonts w:ascii="Calibri" w:hAnsi="Calibri"/>
                <w:b w:val="0"/>
                <w:i w:val="0"/>
                <w:color w:val="1E293B"/>
                <w:sz w:val="18"/>
              </w:rPr>
              <w:t>Combined</w:t>
            </w:r>
          </w:p>
        </w:tc>
        <w:tc>
          <w:tcPr>
            <w:tcW w:type="dxa" w:w="1584"/>
            <w:shd w:fill="FFFFFF"/>
            <w:tcMar>
              <w:top w:w="100" w:type="dxa"/>
              <w:bottom w:w="100" w:type="dxa"/>
              <w:left w:w="140" w:type="dxa"/>
              <w:right w:w="140" w:type="dxa"/>
            </w:tcMar>
          </w:tcPr>
          <w:p>
            <w:pPr>
              <w:spacing w:before="40" w:after="40"/>
              <w:jc w:val="left"/>
            </w:pPr>
            <w:r>
              <w:rPr>
                <w:rFonts w:ascii="Calibri" w:hAnsi="Calibri"/>
                <w:b/>
                <w:i w:val="0"/>
                <w:color w:val="1E293B"/>
                <w:sz w:val="18"/>
              </w:rPr>
              <w:t>99.34%</w:t>
            </w:r>
          </w:p>
        </w:tc>
        <w:tc>
          <w:tcPr>
            <w:tcW w:type="dxa" w:w="1584"/>
            <w:shd w:fill="FFFFFF"/>
            <w:tcMar>
              <w:top w:w="100" w:type="dxa"/>
              <w:bottom w:w="100" w:type="dxa"/>
              <w:left w:w="140" w:type="dxa"/>
              <w:right w:w="140" w:type="dxa"/>
            </w:tcMar>
          </w:tcPr>
          <w:p>
            <w:pPr>
              <w:spacing w:before="40" w:after="40"/>
              <w:jc w:val="left"/>
            </w:pPr>
            <w:r>
              <w:rPr>
                <w:rFonts w:ascii="Calibri" w:hAnsi="Calibri"/>
                <w:b w:val="0"/>
                <w:i w:val="0"/>
                <w:color w:val="1E293B"/>
                <w:sz w:val="18"/>
              </w:rPr>
              <w:t>100.00%</w:t>
            </w:r>
          </w:p>
        </w:tc>
        <w:tc>
          <w:tcPr>
            <w:tcW w:type="dxa" w:w="1872"/>
            <w:shd w:fill="FFFFFF"/>
            <w:tcMar>
              <w:top w:w="100" w:type="dxa"/>
              <w:bottom w:w="100" w:type="dxa"/>
              <w:left w:w="140" w:type="dxa"/>
              <w:right w:w="140" w:type="dxa"/>
            </w:tcMar>
          </w:tcPr>
          <w:p>
            <w:pPr>
              <w:spacing w:before="40" w:after="40"/>
              <w:jc w:val="left"/>
            </w:pPr>
            <w:r>
              <w:rPr>
                <w:rFonts w:ascii="Calibri" w:hAnsi="Calibri"/>
                <w:b w:val="0"/>
                <w:i/>
                <w:color w:val="1E293B"/>
                <w:sz w:val="18"/>
              </w:rPr>
              <w:t>4.418 ms / query</w:t>
            </w:r>
          </w:p>
        </w:tc>
      </w:tr>
    </w:tbl>
    <w:p>
      <w:pPr>
        <w:spacing w:after="160"/>
      </w:pPr>
    </w:p>
    <w:p>
      <w:pPr>
        <w:pStyle w:val="Heading2"/>
        <w:keepNext/>
        <w:spacing w:before="280" w:after="80"/>
      </w:pPr>
      <w:r>
        <w:rPr>
          <w:rFonts w:ascii="Calibri" w:hAnsi="Calibri"/>
          <w:b/>
          <w:color w:val="1E5180"/>
          <w:sz w:val="26"/>
        </w:rPr>
        <w:t>6.2 Random Forest Suitability Analysis: Feature Importance &amp; Hyperparameter Sweep</w:t>
      </w:r>
    </w:p>
    <w:p>
      <w:pPr>
        <w:spacing w:before="0" w:after="120" w:line="276" w:lineRule="auto"/>
      </w:pPr>
      <w:r>
        <w:rPr>
          <w:rFonts w:ascii="Calibri" w:hAnsi="Calibri"/>
          <w:i w:val="0"/>
          <w:color w:val="1E293B"/>
          <w:sz w:val="20"/>
        </w:rPr>
        <w:t>Analysis of Gini importance within the 150-tree Random Forest regressor reveals that structural complexity attributes dominate suitability prediction. Ingredient count accounts for 38.7% of total variance, followed by total cook time (28.4%) and active preparation time (26.0%). Hyperparameter tuning across tree depths confirmed that increasing estimator depth from 5 to 15 improved validation R² from 0.7981 to 0.8015.</w:t>
      </w:r>
    </w:p>
    <w:p>
      <w:pPr>
        <w:keepNext/>
        <w:spacing w:before="200" w:after="80"/>
        <w:jc w:val="center"/>
      </w:pPr>
      <w:r>
        <w:drawing>
          <wp:inline xmlns:a="http://schemas.openxmlformats.org/drawingml/2006/main" xmlns:pic="http://schemas.openxmlformats.org/drawingml/2006/picture">
            <wp:extent cx="5669280" cy="2319251"/>
            <wp:docPr id="5" name="Picture 5"/>
            <wp:cNvGraphicFramePr>
              <a:graphicFrameLocks noChangeAspect="1"/>
            </wp:cNvGraphicFramePr>
            <a:graphic>
              <a:graphicData uri="http://schemas.openxmlformats.org/drawingml/2006/picture">
                <pic:pic>
                  <pic:nvPicPr>
                    <pic:cNvPr id="0" name="chart2_rf_analysis.png"/>
                    <pic:cNvPicPr/>
                  </pic:nvPicPr>
                  <pic:blipFill>
                    <a:blip r:embed="rId13"/>
                    <a:stretch>
                      <a:fillRect/>
                    </a:stretch>
                  </pic:blipFill>
                  <pic:spPr>
                    <a:xfrm>
                      <a:off x="0" y="0"/>
                      <a:ext cx="5669280" cy="2319251"/>
                    </a:xfrm>
                    <a:prstGeom prst="rect"/>
                  </pic:spPr>
                </pic:pic>
              </a:graphicData>
            </a:graphic>
          </wp:inline>
        </w:drawing>
      </w:r>
    </w:p>
    <w:p>
      <w:pPr>
        <w:spacing w:before="40" w:after="200"/>
        <w:jc w:val="center"/>
      </w:pPr>
      <w:r>
        <w:rPr>
          <w:rFonts w:ascii="Calibri" w:hAnsi="Calibri"/>
          <w:b/>
          <w:color w:val="0A2540"/>
          <w:sz w:val="18"/>
        </w:rPr>
        <w:t xml:space="preserve">Figure 5: </w:t>
      </w:r>
      <w:r>
        <w:rPr>
          <w:rFonts w:ascii="Calibri" w:hAnsi="Calibri"/>
          <w:i/>
          <w:color w:val="475569"/>
          <w:sz w:val="17"/>
        </w:rPr>
        <w:t>Random Forest Suitability Regressor Analysis: (Left) Gini Feature Importance Breakdown; (Right) Validation R² Optimization Curve.</w:t>
      </w:r>
    </w:p>
    <w:p>
      <w:pPr>
        <w:spacing w:before="0" w:after="120" w:line="276" w:lineRule="auto"/>
      </w:pPr>
      <w:r>
        <w:rPr>
          <w:rFonts w:ascii="Calibri" w:hAnsi="Calibri"/>
          <w:i w:val="0"/>
          <w:color w:val="1E293B"/>
          <w:sz w:val="20"/>
        </w:rPr>
        <w:t>Analytical Discussion of Figure 5: The left panel demonstrates that recipe complexity is predominantly dictated by ingredient count (38.7%) and cook duration (28.4%). Categorial cuisine tags and dietary indicators have minor relative importance because quality variance is primarily structural. The right panel illustrates the hyperparameter tuning trajectory: Config C (150 trees, max depth 15, min_samples_split 10) converges to an optimal validation R² of 0.8015, outperforming shallower configurations without exhibiting over-fitting.</w:t>
      </w:r>
    </w:p>
    <w:p>
      <w:pPr>
        <w:pStyle w:val="Heading2"/>
        <w:keepNext/>
        <w:spacing w:before="280" w:after="80"/>
      </w:pPr>
      <w:r>
        <w:rPr>
          <w:rFonts w:ascii="Calibri" w:hAnsi="Calibri"/>
          <w:b/>
          <w:color w:val="1E5180"/>
          <w:sz w:val="26"/>
        </w:rPr>
        <w:t>6.3 Unsupervised K-Means Clustering: Silhouette Curve &amp; Corpus Partitioning</w:t>
      </w:r>
    </w:p>
    <w:p>
      <w:pPr>
        <w:spacing w:before="0" w:after="120" w:line="276" w:lineRule="auto"/>
      </w:pPr>
      <w:r>
        <w:rPr>
          <w:rFonts w:ascii="Calibri" w:hAnsi="Calibri"/>
          <w:i w:val="0"/>
          <w:color w:val="1E293B"/>
          <w:sz w:val="20"/>
        </w:rPr>
        <w:t>The optimal number of clusters k was evaluated by sweeping k from 2 through 10. The silhouette coefficient exhibits its global maximum at k=2 (0.1431), with Calinski-Harabasz dispersion of 361.60 and Davies-Bouldin index of 2.245. As depicted in Figure 6, higher k values result in severe cluster fragmentation without providing additional culinary insight.</w:t>
      </w:r>
    </w:p>
    <w:p>
      <w:pPr>
        <w:keepNext/>
        <w:spacing w:before="200" w:after="80"/>
        <w:jc w:val="center"/>
      </w:pPr>
      <w:r>
        <w:drawing>
          <wp:inline xmlns:a="http://schemas.openxmlformats.org/drawingml/2006/main" xmlns:pic="http://schemas.openxmlformats.org/drawingml/2006/picture">
            <wp:extent cx="5669280" cy="2319251"/>
            <wp:docPr id="6" name="Picture 6"/>
            <wp:cNvGraphicFramePr>
              <a:graphicFrameLocks noChangeAspect="1"/>
            </wp:cNvGraphicFramePr>
            <a:graphic>
              <a:graphicData uri="http://schemas.openxmlformats.org/drawingml/2006/picture">
                <pic:pic>
                  <pic:nvPicPr>
                    <pic:cNvPr id="0" name="chart3_kmeans_analysis.png"/>
                    <pic:cNvPicPr/>
                  </pic:nvPicPr>
                  <pic:blipFill>
                    <a:blip r:embed="rId14"/>
                    <a:stretch>
                      <a:fillRect/>
                    </a:stretch>
                  </pic:blipFill>
                  <pic:spPr>
                    <a:xfrm>
                      <a:off x="0" y="0"/>
                      <a:ext cx="5669280" cy="2319251"/>
                    </a:xfrm>
                    <a:prstGeom prst="rect"/>
                  </pic:spPr>
                </pic:pic>
              </a:graphicData>
            </a:graphic>
          </wp:inline>
        </w:drawing>
      </w:r>
    </w:p>
    <w:p>
      <w:pPr>
        <w:spacing w:before="40" w:after="200"/>
        <w:jc w:val="center"/>
      </w:pPr>
      <w:r>
        <w:rPr>
          <w:rFonts w:ascii="Calibri" w:hAnsi="Calibri"/>
          <w:b/>
          <w:color w:val="0A2540"/>
          <w:sz w:val="18"/>
        </w:rPr>
        <w:t xml:space="preserve">Figure 6: </w:t>
      </w:r>
      <w:r>
        <w:rPr>
          <w:rFonts w:ascii="Calibri" w:hAnsi="Calibri"/>
          <w:i/>
          <w:color w:val="475569"/>
          <w:sz w:val="17"/>
        </w:rPr>
        <w:t>K-Means Clustering Evaluation: (Left) Silhouette Coefficient Spectrum Across k=2..10; (Right) Corpus Distribution Across Behavioral Clusters.</w:t>
      </w:r>
    </w:p>
    <w:p>
      <w:pPr>
        <w:spacing w:before="0" w:after="120" w:line="276" w:lineRule="auto"/>
      </w:pPr>
      <w:r>
        <w:rPr>
          <w:rFonts w:ascii="Calibri" w:hAnsi="Calibri"/>
          <w:i w:val="0"/>
          <w:color w:val="1E293B"/>
          <w:sz w:val="20"/>
        </w:rPr>
        <w:t>Analytical Discussion of Figure 6: The left curve shows that silhouette scores degrade sharply beyond k=2 (dropping from 0.1431 at k=2 to 0.0590 at k=10), validating that recipe structure is fundamentally bi-modal. The right panel displays the resulting corpus partition: Cluster 0 comprises 1,264 recipes (63.0%) characterized by complex, slow-cooked dishes (avg 194 min, 13 ingredients), while Cluster 1 contains 741 recipes (37.0%) representing quick, accessible weekday cooking (avg 30 min, 6 ingredients).</w:t>
      </w:r>
    </w:p>
    <w:p>
      <w:pPr>
        <w:pStyle w:val="Heading1"/>
        <w:keepNext/>
        <w:spacing w:before="360" w:after="120"/>
      </w:pPr>
      <w:r>
        <w:rPr>
          <w:rFonts w:ascii="Calibri" w:hAnsi="Calibri"/>
          <w:b/>
          <w:color w:val="0A2540"/>
          <w:sz w:val="32"/>
        </w:rPr>
        <w:t>7.0 Market Research, Industry Trends &amp; Literature Review</w:t>
      </w:r>
    </w:p>
    <w:p>
      <w:pPr>
        <w:pStyle w:val="Heading2"/>
        <w:keepNext/>
        <w:spacing w:before="280" w:after="80"/>
      </w:pPr>
      <w:r>
        <w:rPr>
          <w:rFonts w:ascii="Calibri" w:hAnsi="Calibri"/>
          <w:b/>
          <w:color w:val="1E5180"/>
          <w:sz w:val="26"/>
        </w:rPr>
        <w:t>7.1 The Indian Quick-Commerce Revolution: Swiggy, Zepto &amp; Blinkit</w:t>
      </w:r>
    </w:p>
    <w:p>
      <w:pPr>
        <w:spacing w:before="0" w:after="120" w:line="276" w:lineRule="auto"/>
      </w:pPr>
      <w:r>
        <w:rPr>
          <w:rFonts w:ascii="Calibri" w:hAnsi="Calibri"/>
          <w:i w:val="0"/>
          <w:color w:val="1E293B"/>
          <w:sz w:val="20"/>
        </w:rPr>
        <w:t>The consumer food-tech landscape in India is undergoing the most rapid infrastructure transition in its history. The quick-commerce sector, characterized by 10-to-15 minute grocery fulfillment from hyper-local dark stores, has expanded from a niche urban novelty into the default grocery purchasing channel for millions of households.</w:t>
      </w:r>
    </w:p>
    <w:tbl>
      <w:tblPr>
        <w:tblW w:type="auto" w:w="0"/>
        <w:jc w:val="center"/>
        <w:tblLook w:firstColumn="1" w:firstRow="1" w:lastColumn="0" w:lastRow="0" w:noHBand="0" w:noVBand="1" w:val="04A0"/>
      </w:tblPr>
      <w:tblGrid>
        <w:gridCol w:w="3120"/>
        <w:gridCol w:w="3120"/>
        <w:gridCol w:w="3120"/>
      </w:tblGrid>
      <w:tr>
        <w:tc>
          <w:tcPr>
            <w:tcW w:type="dxa" w:w="2592"/>
            <w:shd w:fill="0A2540"/>
            <w:tcMar>
              <w:top w:w="140" w:type="dxa"/>
              <w:bottom w:w="140" w:type="dxa"/>
              <w:left w:w="150" w:type="dxa"/>
              <w:right w:w="150" w:type="dxa"/>
            </w:tcMar>
          </w:tcPr>
          <w:p>
            <w:pPr>
              <w:spacing w:before="40" w:after="40"/>
              <w:jc w:val="left"/>
            </w:pPr>
            <w:r>
              <w:rPr>
                <w:rFonts w:ascii="Calibri" w:hAnsi="Calibri"/>
                <w:b/>
                <w:color w:val="FFFFFF"/>
                <w:sz w:val="19"/>
              </w:rPr>
              <w:t>Enterprise / Platform</w:t>
            </w:r>
          </w:p>
        </w:tc>
        <w:tc>
          <w:tcPr>
            <w:tcW w:type="dxa" w:w="3312"/>
            <w:shd w:fill="0A2540"/>
            <w:tcMar>
              <w:top w:w="140" w:type="dxa"/>
              <w:bottom w:w="140" w:type="dxa"/>
              <w:left w:w="150" w:type="dxa"/>
              <w:right w:w="150" w:type="dxa"/>
            </w:tcMar>
          </w:tcPr>
          <w:p>
            <w:pPr>
              <w:spacing w:before="40" w:after="40"/>
              <w:jc w:val="left"/>
            </w:pPr>
            <w:r>
              <w:rPr>
                <w:rFonts w:ascii="Calibri" w:hAnsi="Calibri"/>
                <w:b/>
                <w:color w:val="FFFFFF"/>
                <w:sz w:val="19"/>
              </w:rPr>
              <w:t>Key Operational Metric (2024-2026)</w:t>
            </w:r>
          </w:p>
        </w:tc>
        <w:tc>
          <w:tcPr>
            <w:tcW w:type="dxa" w:w="3456"/>
            <w:shd w:fill="0A2540"/>
            <w:tcMar>
              <w:top w:w="140" w:type="dxa"/>
              <w:bottom w:w="140" w:type="dxa"/>
              <w:left w:w="150" w:type="dxa"/>
              <w:right w:w="150" w:type="dxa"/>
            </w:tcMar>
          </w:tcPr>
          <w:p>
            <w:pPr>
              <w:spacing w:before="40" w:after="40"/>
              <w:jc w:val="left"/>
            </w:pPr>
            <w:r>
              <w:rPr>
                <w:rFonts w:ascii="Calibri" w:hAnsi="Calibri"/>
                <w:b/>
                <w:color w:val="FFFFFF"/>
                <w:sz w:val="19"/>
              </w:rPr>
              <w:t>Source &amp; Market Verification</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Swiggy Instamart</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10-15 min delivery footprint across 500+ Indian cities</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Swiggy Annual Report FY2025</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Zepto (Quick-Commerce)</w:t>
            </w:r>
          </w:p>
        </w:tc>
        <w:tc>
          <w:tcPr>
            <w:tcW w:type="dxa" w:w="3312"/>
            <w:shd w:fill="F8FAFC"/>
            <w:tcMar>
              <w:top w:w="100" w:type="dxa"/>
              <w:bottom w:w="100" w:type="dxa"/>
              <w:left w:w="140" w:type="dxa"/>
              <w:right w:w="140" w:type="dxa"/>
            </w:tcMar>
          </w:tcPr>
          <w:p>
            <w:pPr>
              <w:spacing w:before="40" w:after="40"/>
              <w:jc w:val="left"/>
            </w:pPr>
            <w:r>
              <w:rPr>
                <w:rFonts w:ascii="Calibri" w:hAnsi="Calibri"/>
                <w:b w:val="0"/>
                <w:i w:val="0"/>
                <w:color w:val="1E293B"/>
                <w:sz w:val="18"/>
              </w:rPr>
              <w:t>$5.0 Billion Gross Merchandise Value (GMV) run-rate</w:t>
            </w:r>
          </w:p>
        </w:tc>
        <w:tc>
          <w:tcPr>
            <w:tcW w:type="dxa" w:w="3456"/>
            <w:shd w:fill="F8FAFC"/>
            <w:tcMar>
              <w:top w:w="100" w:type="dxa"/>
              <w:bottom w:w="100" w:type="dxa"/>
              <w:left w:w="140" w:type="dxa"/>
              <w:right w:w="140" w:type="dxa"/>
            </w:tcMar>
          </w:tcPr>
          <w:p>
            <w:pPr>
              <w:spacing w:before="40" w:after="40"/>
              <w:jc w:val="left"/>
            </w:pPr>
            <w:r>
              <w:rPr>
                <w:rFonts w:ascii="Calibri" w:hAnsi="Calibri"/>
                <w:b w:val="0"/>
                <w:i/>
                <w:color w:val="1E293B"/>
                <w:sz w:val="18"/>
              </w:rPr>
              <w:t>TechCrunch India Financial Review 2025</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Blinkit (Zomato Ltd.)</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Rs. 12,000 Crore reported FY2025 operational revenue</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Zomato Q4 FY25 Investor Earnings Call</w:t>
            </w:r>
          </w:p>
        </w:tc>
      </w:tr>
      <w:tr>
        <w:tc>
          <w:tcPr>
            <w:tcW w:type="dxa" w:w="2592"/>
            <w:shd w:fill="F8FAFC"/>
            <w:tcMar>
              <w:top w:w="100" w:type="dxa"/>
              <w:bottom w:w="100" w:type="dxa"/>
              <w:left w:w="140" w:type="dxa"/>
              <w:right w:w="140" w:type="dxa"/>
            </w:tcMar>
          </w:tcPr>
          <w:p>
            <w:pPr>
              <w:spacing w:before="40" w:after="40"/>
              <w:jc w:val="left"/>
            </w:pPr>
            <w:r>
              <w:rPr>
                <w:rFonts w:ascii="Calibri" w:hAnsi="Calibri"/>
                <w:b/>
                <w:i w:val="0"/>
                <w:color w:val="1E293B"/>
                <w:sz w:val="18"/>
              </w:rPr>
              <w:t>Indian Food-Tech Market</w:t>
            </w:r>
          </w:p>
        </w:tc>
        <w:tc>
          <w:tcPr>
            <w:tcW w:type="dxa" w:w="3312"/>
            <w:shd w:fill="F8FAFC"/>
            <w:tcMar>
              <w:top w:w="100" w:type="dxa"/>
              <w:bottom w:w="100" w:type="dxa"/>
              <w:left w:w="140" w:type="dxa"/>
              <w:right w:w="140" w:type="dxa"/>
            </w:tcMar>
          </w:tcPr>
          <w:p>
            <w:pPr>
              <w:spacing w:before="40" w:after="40"/>
              <w:jc w:val="left"/>
            </w:pPr>
            <w:r>
              <w:rPr>
                <w:rFonts w:ascii="Calibri" w:hAnsi="Calibri"/>
                <w:b w:val="0"/>
                <w:i w:val="0"/>
                <w:color w:val="1E293B"/>
                <w:sz w:val="18"/>
              </w:rPr>
              <w:t>Projected $110 Billion market capitalization by 2030</w:t>
            </w:r>
          </w:p>
        </w:tc>
        <w:tc>
          <w:tcPr>
            <w:tcW w:type="dxa" w:w="3456"/>
            <w:shd w:fill="F8FAFC"/>
            <w:tcMar>
              <w:top w:w="100" w:type="dxa"/>
              <w:bottom w:w="100" w:type="dxa"/>
              <w:left w:w="140" w:type="dxa"/>
              <w:right w:w="140" w:type="dxa"/>
            </w:tcMar>
          </w:tcPr>
          <w:p>
            <w:pPr>
              <w:spacing w:before="40" w:after="40"/>
              <w:jc w:val="left"/>
            </w:pPr>
            <w:r>
              <w:rPr>
                <w:rFonts w:ascii="Calibri" w:hAnsi="Calibri"/>
                <w:b w:val="0"/>
                <w:i/>
                <w:color w:val="1E293B"/>
                <w:sz w:val="18"/>
              </w:rPr>
              <w:t>KPMG India Digital Consumer Research 2024</w:t>
            </w:r>
          </w:p>
        </w:tc>
      </w:tr>
      <w:tr>
        <w:tc>
          <w:tcPr>
            <w:tcW w:type="dxa" w:w="2592"/>
            <w:shd w:fill="FFFFFF"/>
            <w:tcMar>
              <w:top w:w="100" w:type="dxa"/>
              <w:bottom w:w="100" w:type="dxa"/>
              <w:left w:w="140" w:type="dxa"/>
              <w:right w:w="140" w:type="dxa"/>
            </w:tcMar>
          </w:tcPr>
          <w:p>
            <w:pPr>
              <w:spacing w:before="40" w:after="40"/>
              <w:jc w:val="left"/>
            </w:pPr>
            <w:r>
              <w:rPr>
                <w:rFonts w:ascii="Calibri" w:hAnsi="Calibri"/>
                <w:b/>
                <w:i w:val="0"/>
                <w:color w:val="1E293B"/>
                <w:sz w:val="18"/>
              </w:rPr>
              <w:t>Domestic Kitchen Waste</w:t>
            </w:r>
          </w:p>
        </w:tc>
        <w:tc>
          <w:tcPr>
            <w:tcW w:type="dxa" w:w="3312"/>
            <w:shd w:fill="FFFFFF"/>
            <w:tcMar>
              <w:top w:w="100" w:type="dxa"/>
              <w:bottom w:w="100" w:type="dxa"/>
              <w:left w:w="140" w:type="dxa"/>
              <w:right w:w="140" w:type="dxa"/>
            </w:tcMar>
          </w:tcPr>
          <w:p>
            <w:pPr>
              <w:spacing w:before="40" w:after="40"/>
              <w:jc w:val="left"/>
            </w:pPr>
            <w:r>
              <w:rPr>
                <w:rFonts w:ascii="Calibri" w:hAnsi="Calibri"/>
                <w:b w:val="0"/>
                <w:i w:val="0"/>
                <w:color w:val="1E293B"/>
                <w:sz w:val="18"/>
              </w:rPr>
              <w:t>40% of purchased household produce discarded unused</w:t>
            </w:r>
          </w:p>
        </w:tc>
        <w:tc>
          <w:tcPr>
            <w:tcW w:type="dxa" w:w="3456"/>
            <w:shd w:fill="FFFFFF"/>
            <w:tcMar>
              <w:top w:w="100" w:type="dxa"/>
              <w:bottom w:w="100" w:type="dxa"/>
              <w:left w:w="140" w:type="dxa"/>
              <w:right w:w="140" w:type="dxa"/>
            </w:tcMar>
          </w:tcPr>
          <w:p>
            <w:pPr>
              <w:spacing w:before="40" w:after="40"/>
              <w:jc w:val="left"/>
            </w:pPr>
            <w:r>
              <w:rPr>
                <w:rFonts w:ascii="Calibri" w:hAnsi="Calibri"/>
                <w:b w:val="0"/>
                <w:i/>
                <w:color w:val="1E293B"/>
                <w:sz w:val="18"/>
              </w:rPr>
              <w:t>FSSAI National Household Waste Survey 2023</w:t>
            </w:r>
          </w:p>
        </w:tc>
      </w:tr>
    </w:tbl>
    <w:p>
      <w:pPr>
        <w:spacing w:after="160"/>
      </w:pPr>
    </w:p>
    <w:p>
      <w:pPr>
        <w:pStyle w:val="Heading2"/>
        <w:keepNext/>
        <w:spacing w:before="280" w:after="80"/>
      </w:pPr>
      <w:r>
        <w:rPr>
          <w:rFonts w:ascii="Calibri" w:hAnsi="Calibri"/>
          <w:b/>
          <w:color w:val="1E5180"/>
          <w:sz w:val="26"/>
        </w:rPr>
        <w:t>7.2 Competitive Platform Matrix</w:t>
      </w:r>
    </w:p>
    <w:p>
      <w:pPr>
        <w:spacing w:before="0" w:after="120" w:line="276" w:lineRule="auto"/>
      </w:pPr>
      <w:r>
        <w:rPr>
          <w:rFonts w:ascii="Calibri" w:hAnsi="Calibri"/>
          <w:i w:val="0"/>
          <w:color w:val="1E293B"/>
          <w:sz w:val="20"/>
        </w:rPr>
        <w:t>To position DishIQ within the broader food-tech and recipe recommendation ecosystem, the matrix below benchmarks DishIQ against leading international and domestic platforms.</w:t>
      </w:r>
    </w:p>
    <w:tbl>
      <w:tblPr>
        <w:tblW w:type="auto" w:w="0"/>
        <w:jc w:val="center"/>
        <w:tblLook w:firstColumn="1" w:firstRow="1" w:lastColumn="0" w:lastRow="0" w:noHBand="0" w:noVBand="1" w:val="04A0"/>
      </w:tblPr>
      <w:tblGrid>
        <w:gridCol w:w="1872"/>
        <w:gridCol w:w="1872"/>
        <w:gridCol w:w="1872"/>
        <w:gridCol w:w="1872"/>
        <w:gridCol w:w="1872"/>
      </w:tblGrid>
      <w:tr>
        <w:tc>
          <w:tcPr>
            <w:tcW w:type="dxa" w:w="2016"/>
            <w:shd w:fill="0A2540"/>
            <w:tcMar>
              <w:top w:w="140" w:type="dxa"/>
              <w:bottom w:w="140" w:type="dxa"/>
              <w:left w:w="150" w:type="dxa"/>
              <w:right w:w="150" w:type="dxa"/>
            </w:tcMar>
          </w:tcPr>
          <w:p>
            <w:pPr>
              <w:spacing w:before="40" w:after="40"/>
              <w:jc w:val="left"/>
            </w:pPr>
            <w:r>
              <w:rPr>
                <w:rFonts w:ascii="Calibri" w:hAnsi="Calibri"/>
                <w:b/>
                <w:color w:val="FFFFFF"/>
                <w:sz w:val="19"/>
              </w:rPr>
              <w:t>Platform</w:t>
            </w:r>
          </w:p>
        </w:tc>
        <w:tc>
          <w:tcPr>
            <w:tcW w:type="dxa" w:w="1872"/>
            <w:shd w:fill="0A2540"/>
            <w:tcMar>
              <w:top w:w="140" w:type="dxa"/>
              <w:bottom w:w="140" w:type="dxa"/>
              <w:left w:w="150" w:type="dxa"/>
              <w:right w:w="150" w:type="dxa"/>
            </w:tcMar>
          </w:tcPr>
          <w:p>
            <w:pPr>
              <w:spacing w:before="40" w:after="40"/>
              <w:jc w:val="left"/>
            </w:pPr>
            <w:r>
              <w:rPr>
                <w:rFonts w:ascii="Calibri" w:hAnsi="Calibri"/>
                <w:b/>
                <w:color w:val="FFFFFF"/>
                <w:sz w:val="19"/>
              </w:rPr>
              <w:t>Catalog Type</w:t>
            </w:r>
          </w:p>
        </w:tc>
        <w:tc>
          <w:tcPr>
            <w:tcW w:type="dxa" w:w="1584"/>
            <w:shd w:fill="0A2540"/>
            <w:tcMar>
              <w:top w:w="140" w:type="dxa"/>
              <w:bottom w:w="140" w:type="dxa"/>
              <w:left w:w="150" w:type="dxa"/>
              <w:right w:w="150" w:type="dxa"/>
            </w:tcMar>
          </w:tcPr>
          <w:p>
            <w:pPr>
              <w:spacing w:before="40" w:after="40"/>
              <w:jc w:val="left"/>
            </w:pPr>
            <w:r>
              <w:rPr>
                <w:rFonts w:ascii="Calibri" w:hAnsi="Calibri"/>
                <w:b/>
                <w:color w:val="FFFFFF"/>
                <w:sz w:val="19"/>
              </w:rPr>
              <w:t>ML Pipeline</w:t>
            </w:r>
          </w:p>
        </w:tc>
        <w:tc>
          <w:tcPr>
            <w:tcW w:type="dxa" w:w="1872"/>
            <w:shd w:fill="0A2540"/>
            <w:tcMar>
              <w:top w:w="140" w:type="dxa"/>
              <w:bottom w:w="140" w:type="dxa"/>
              <w:left w:w="150" w:type="dxa"/>
              <w:right w:w="150" w:type="dxa"/>
            </w:tcMar>
          </w:tcPr>
          <w:p>
            <w:pPr>
              <w:spacing w:before="40" w:after="40"/>
              <w:jc w:val="left"/>
            </w:pPr>
            <w:r>
              <w:rPr>
                <w:rFonts w:ascii="Calibri" w:hAnsi="Calibri"/>
                <w:b/>
                <w:color w:val="FFFFFF"/>
                <w:sz w:val="19"/>
              </w:rPr>
              <w:t>Pantry Tracking</w:t>
            </w:r>
          </w:p>
        </w:tc>
        <w:tc>
          <w:tcPr>
            <w:tcW w:type="dxa" w:w="2016"/>
            <w:shd w:fill="0A2540"/>
            <w:tcMar>
              <w:top w:w="140" w:type="dxa"/>
              <w:bottom w:w="140" w:type="dxa"/>
              <w:left w:w="150" w:type="dxa"/>
              <w:right w:w="150" w:type="dxa"/>
            </w:tcMar>
          </w:tcPr>
          <w:p>
            <w:pPr>
              <w:spacing w:before="40" w:after="40"/>
              <w:jc w:val="left"/>
            </w:pPr>
            <w:r>
              <w:rPr>
                <w:rFonts w:ascii="Calibri" w:hAnsi="Calibri"/>
                <w:b/>
                <w:color w:val="FFFFFF"/>
                <w:sz w:val="19"/>
              </w:rPr>
              <w:t>Grocery Fulfillment</w:t>
            </w:r>
          </w:p>
        </w:tc>
      </w:tr>
      <w:tr>
        <w:tc>
          <w:tcPr>
            <w:tcW w:type="dxa" w:w="2016"/>
            <w:shd w:fill="FFFFFF"/>
            <w:tcMar>
              <w:top w:w="100" w:type="dxa"/>
              <w:bottom w:w="100" w:type="dxa"/>
              <w:left w:w="140" w:type="dxa"/>
              <w:right w:w="140" w:type="dxa"/>
            </w:tcMar>
          </w:tcPr>
          <w:p>
            <w:pPr>
              <w:spacing w:before="40" w:after="40"/>
              <w:jc w:val="left"/>
            </w:pPr>
            <w:r>
              <w:rPr>
                <w:rFonts w:ascii="Calibri" w:hAnsi="Calibri"/>
                <w:b/>
                <w:i w:val="0"/>
                <w:color w:val="1E293B"/>
                <w:sz w:val="18"/>
              </w:rPr>
              <w:t>DishIQ (This Work)</w:t>
            </w:r>
          </w:p>
        </w:tc>
        <w:tc>
          <w:tcPr>
            <w:tcW w:type="dxa" w:w="1872"/>
            <w:shd w:fill="FFFFFF"/>
            <w:tcMar>
              <w:top w:w="100" w:type="dxa"/>
              <w:bottom w:w="100" w:type="dxa"/>
              <w:left w:w="140" w:type="dxa"/>
              <w:right w:w="140" w:type="dxa"/>
            </w:tcMar>
          </w:tcPr>
          <w:p>
            <w:pPr>
              <w:spacing w:before="40" w:after="40"/>
              <w:jc w:val="left"/>
            </w:pPr>
            <w:r>
              <w:rPr>
                <w:rFonts w:ascii="Calibri" w:hAnsi="Calibri"/>
                <w:b w:val="0"/>
                <w:i w:val="0"/>
                <w:color w:val="1E293B"/>
                <w:sz w:val="18"/>
              </w:rPr>
              <w:t>2,005 Curated</w:t>
            </w:r>
          </w:p>
        </w:tc>
        <w:tc>
          <w:tcPr>
            <w:tcW w:type="dxa" w:w="1584"/>
            <w:shd w:fill="FFFFFF"/>
            <w:tcMar>
              <w:top w:w="100" w:type="dxa"/>
              <w:bottom w:w="100" w:type="dxa"/>
              <w:left w:w="140" w:type="dxa"/>
              <w:right w:w="140" w:type="dxa"/>
            </w:tcMar>
          </w:tcPr>
          <w:p>
            <w:pPr>
              <w:spacing w:before="40" w:after="40"/>
              <w:jc w:val="left"/>
            </w:pPr>
            <w:r>
              <w:rPr>
                <w:rFonts w:ascii="Calibri" w:hAnsi="Calibri"/>
                <w:b/>
                <w:i w:val="0"/>
                <w:color w:val="1E293B"/>
                <w:sz w:val="18"/>
              </w:rPr>
              <w:t>5 Models (Hybrid)</w:t>
            </w:r>
          </w:p>
        </w:tc>
        <w:tc>
          <w:tcPr>
            <w:tcW w:type="dxa" w:w="1872"/>
            <w:shd w:fill="FFFFFF"/>
            <w:tcMar>
              <w:top w:w="100" w:type="dxa"/>
              <w:bottom w:w="100" w:type="dxa"/>
              <w:left w:w="140" w:type="dxa"/>
              <w:right w:w="140" w:type="dxa"/>
            </w:tcMar>
          </w:tcPr>
          <w:p>
            <w:pPr>
              <w:spacing w:before="40" w:after="40"/>
              <w:jc w:val="left"/>
            </w:pPr>
            <w:r>
              <w:rPr>
                <w:rFonts w:ascii="Calibri" w:hAnsi="Calibri"/>
                <w:b w:val="0"/>
                <w:i w:val="0"/>
                <w:color w:val="1E293B"/>
                <w:sz w:val="18"/>
              </w:rPr>
              <w:t>Automated Overlap</w:t>
            </w:r>
          </w:p>
        </w:tc>
        <w:tc>
          <w:tcPr>
            <w:tcW w:type="dxa" w:w="2016"/>
            <w:shd w:fill="FFFFFF"/>
            <w:tcMar>
              <w:top w:w="100" w:type="dxa"/>
              <w:bottom w:w="100" w:type="dxa"/>
              <w:left w:w="140" w:type="dxa"/>
              <w:right w:w="140" w:type="dxa"/>
            </w:tcMar>
          </w:tcPr>
          <w:p>
            <w:pPr>
              <w:spacing w:before="40" w:after="40"/>
              <w:jc w:val="left"/>
            </w:pPr>
            <w:r>
              <w:rPr>
                <w:rFonts w:ascii="Calibri" w:hAnsi="Calibri"/>
                <w:b w:val="0"/>
                <w:i/>
                <w:color w:val="1E293B"/>
                <w:sz w:val="18"/>
              </w:rPr>
              <w:t>Swiggy MCP Bridge</w:t>
            </w:r>
          </w:p>
        </w:tc>
      </w:tr>
      <w:tr>
        <w:tc>
          <w:tcPr>
            <w:tcW w:type="dxa" w:w="2016"/>
            <w:shd w:fill="F8FAFC"/>
            <w:tcMar>
              <w:top w:w="100" w:type="dxa"/>
              <w:bottom w:w="100" w:type="dxa"/>
              <w:left w:w="140" w:type="dxa"/>
              <w:right w:w="140" w:type="dxa"/>
            </w:tcMar>
          </w:tcPr>
          <w:p>
            <w:pPr>
              <w:spacing w:before="40" w:after="40"/>
              <w:jc w:val="left"/>
            </w:pPr>
            <w:r>
              <w:rPr>
                <w:rFonts w:ascii="Calibri" w:hAnsi="Calibri"/>
                <w:b/>
                <w:i w:val="0"/>
                <w:color w:val="1E293B"/>
                <w:sz w:val="18"/>
              </w:rPr>
              <w:t>Cookpad India</w:t>
            </w:r>
          </w:p>
        </w:tc>
        <w:tc>
          <w:tcPr>
            <w:tcW w:type="dxa" w:w="1872"/>
            <w:shd w:fill="F8FAFC"/>
            <w:tcMar>
              <w:top w:w="100" w:type="dxa"/>
              <w:bottom w:w="100" w:type="dxa"/>
              <w:left w:w="140" w:type="dxa"/>
              <w:right w:w="140" w:type="dxa"/>
            </w:tcMar>
          </w:tcPr>
          <w:p>
            <w:pPr>
              <w:spacing w:before="40" w:after="40"/>
              <w:jc w:val="left"/>
            </w:pPr>
            <w:r>
              <w:rPr>
                <w:rFonts w:ascii="Calibri" w:hAnsi="Calibri"/>
                <w:b w:val="0"/>
                <w:i w:val="0"/>
                <w:color w:val="1E293B"/>
                <w:sz w:val="18"/>
              </w:rPr>
              <w:t>User-Generated</w:t>
            </w:r>
          </w:p>
        </w:tc>
        <w:tc>
          <w:tcPr>
            <w:tcW w:type="dxa" w:w="1584"/>
            <w:shd w:fill="F8FAFC"/>
            <w:tcMar>
              <w:top w:w="100" w:type="dxa"/>
              <w:bottom w:w="100" w:type="dxa"/>
              <w:left w:w="140" w:type="dxa"/>
              <w:right w:w="140" w:type="dxa"/>
            </w:tcMar>
          </w:tcPr>
          <w:p>
            <w:pPr>
              <w:spacing w:before="40" w:after="40"/>
              <w:jc w:val="left"/>
            </w:pPr>
            <w:r>
              <w:rPr>
                <w:rFonts w:ascii="Calibri" w:hAnsi="Calibri"/>
                <w:b/>
                <w:i w:val="0"/>
                <w:color w:val="1E293B"/>
                <w:sz w:val="18"/>
              </w:rPr>
              <w:t>Popularity Only</w:t>
            </w:r>
          </w:p>
        </w:tc>
        <w:tc>
          <w:tcPr>
            <w:tcW w:type="dxa" w:w="1872"/>
            <w:shd w:fill="F8FAFC"/>
            <w:tcMar>
              <w:top w:w="100" w:type="dxa"/>
              <w:bottom w:w="100" w:type="dxa"/>
              <w:left w:w="140" w:type="dxa"/>
              <w:right w:w="140" w:type="dxa"/>
            </w:tcMar>
          </w:tcPr>
          <w:p>
            <w:pPr>
              <w:spacing w:before="40" w:after="40"/>
              <w:jc w:val="left"/>
            </w:pPr>
            <w:r>
              <w:rPr>
                <w:rFonts w:ascii="Calibri" w:hAnsi="Calibri"/>
                <w:b w:val="0"/>
                <w:i w:val="0"/>
                <w:color w:val="1E293B"/>
                <w:sz w:val="18"/>
              </w:rPr>
              <w:t>None</w:t>
            </w:r>
          </w:p>
        </w:tc>
        <w:tc>
          <w:tcPr>
            <w:tcW w:type="dxa" w:w="2016"/>
            <w:shd w:fill="F8FAFC"/>
            <w:tcMar>
              <w:top w:w="100" w:type="dxa"/>
              <w:bottom w:w="100" w:type="dxa"/>
              <w:left w:w="140" w:type="dxa"/>
              <w:right w:w="140" w:type="dxa"/>
            </w:tcMar>
          </w:tcPr>
          <w:p>
            <w:pPr>
              <w:spacing w:before="40" w:after="40"/>
              <w:jc w:val="left"/>
            </w:pPr>
            <w:r>
              <w:rPr>
                <w:rFonts w:ascii="Calibri" w:hAnsi="Calibri"/>
                <w:b w:val="0"/>
                <w:i/>
                <w:color w:val="1E293B"/>
                <w:sz w:val="18"/>
              </w:rPr>
              <w:t>None</w:t>
            </w:r>
          </w:p>
        </w:tc>
      </w:tr>
      <w:tr>
        <w:tc>
          <w:tcPr>
            <w:tcW w:type="dxa" w:w="2016"/>
            <w:shd w:fill="FFFFFF"/>
            <w:tcMar>
              <w:top w:w="100" w:type="dxa"/>
              <w:bottom w:w="100" w:type="dxa"/>
              <w:left w:w="140" w:type="dxa"/>
              <w:right w:w="140" w:type="dxa"/>
            </w:tcMar>
          </w:tcPr>
          <w:p>
            <w:pPr>
              <w:spacing w:before="40" w:after="40"/>
              <w:jc w:val="left"/>
            </w:pPr>
            <w:r>
              <w:rPr>
                <w:rFonts w:ascii="Calibri" w:hAnsi="Calibri"/>
                <w:b/>
                <w:i w:val="0"/>
                <w:color w:val="1E293B"/>
                <w:sz w:val="18"/>
              </w:rPr>
              <w:t>Archana's Kitchen</w:t>
            </w:r>
          </w:p>
        </w:tc>
        <w:tc>
          <w:tcPr>
            <w:tcW w:type="dxa" w:w="1872"/>
            <w:shd w:fill="FFFFFF"/>
            <w:tcMar>
              <w:top w:w="100" w:type="dxa"/>
              <w:bottom w:w="100" w:type="dxa"/>
              <w:left w:w="140" w:type="dxa"/>
              <w:right w:w="140" w:type="dxa"/>
            </w:tcMar>
          </w:tcPr>
          <w:p>
            <w:pPr>
              <w:spacing w:before="40" w:after="40"/>
              <w:jc w:val="left"/>
            </w:pPr>
            <w:r>
              <w:rPr>
                <w:rFonts w:ascii="Calibri" w:hAnsi="Calibri"/>
                <w:b w:val="0"/>
                <w:i w:val="0"/>
                <w:color w:val="1E293B"/>
                <w:sz w:val="18"/>
              </w:rPr>
              <w:t>Editorial / Blog</w:t>
            </w:r>
          </w:p>
        </w:tc>
        <w:tc>
          <w:tcPr>
            <w:tcW w:type="dxa" w:w="1584"/>
            <w:shd w:fill="FFFFFF"/>
            <w:tcMar>
              <w:top w:w="100" w:type="dxa"/>
              <w:bottom w:w="100" w:type="dxa"/>
              <w:left w:w="140" w:type="dxa"/>
              <w:right w:w="140" w:type="dxa"/>
            </w:tcMar>
          </w:tcPr>
          <w:p>
            <w:pPr>
              <w:spacing w:before="40" w:after="40"/>
              <w:jc w:val="left"/>
            </w:pPr>
            <w:r>
              <w:rPr>
                <w:rFonts w:ascii="Calibri" w:hAnsi="Calibri"/>
                <w:b/>
                <w:i w:val="0"/>
                <w:color w:val="1E293B"/>
                <w:sz w:val="18"/>
              </w:rPr>
              <w:t>None (Static)</w:t>
            </w:r>
          </w:p>
        </w:tc>
        <w:tc>
          <w:tcPr>
            <w:tcW w:type="dxa" w:w="1872"/>
            <w:shd w:fill="FFFFFF"/>
            <w:tcMar>
              <w:top w:w="100" w:type="dxa"/>
              <w:bottom w:w="100" w:type="dxa"/>
              <w:left w:w="140" w:type="dxa"/>
              <w:right w:w="140" w:type="dxa"/>
            </w:tcMar>
          </w:tcPr>
          <w:p>
            <w:pPr>
              <w:spacing w:before="40" w:after="40"/>
              <w:jc w:val="left"/>
            </w:pPr>
            <w:r>
              <w:rPr>
                <w:rFonts w:ascii="Calibri" w:hAnsi="Calibri"/>
                <w:b w:val="0"/>
                <w:i w:val="0"/>
                <w:color w:val="1E293B"/>
                <w:sz w:val="18"/>
              </w:rPr>
              <w:t>None</w:t>
            </w:r>
          </w:p>
        </w:tc>
        <w:tc>
          <w:tcPr>
            <w:tcW w:type="dxa" w:w="2016"/>
            <w:shd w:fill="FFFFFF"/>
            <w:tcMar>
              <w:top w:w="100" w:type="dxa"/>
              <w:bottom w:w="100" w:type="dxa"/>
              <w:left w:w="140" w:type="dxa"/>
              <w:right w:w="140" w:type="dxa"/>
            </w:tcMar>
          </w:tcPr>
          <w:p>
            <w:pPr>
              <w:spacing w:before="40" w:after="40"/>
              <w:jc w:val="left"/>
            </w:pPr>
            <w:r>
              <w:rPr>
                <w:rFonts w:ascii="Calibri" w:hAnsi="Calibri"/>
                <w:b w:val="0"/>
                <w:i/>
                <w:color w:val="1E293B"/>
                <w:sz w:val="18"/>
              </w:rPr>
              <w:t>Affiliate Links</w:t>
            </w:r>
          </w:p>
        </w:tc>
      </w:tr>
      <w:tr>
        <w:tc>
          <w:tcPr>
            <w:tcW w:type="dxa" w:w="2016"/>
            <w:shd w:fill="F8FAFC"/>
            <w:tcMar>
              <w:top w:w="100" w:type="dxa"/>
              <w:bottom w:w="100" w:type="dxa"/>
              <w:left w:w="140" w:type="dxa"/>
              <w:right w:w="140" w:type="dxa"/>
            </w:tcMar>
          </w:tcPr>
          <w:p>
            <w:pPr>
              <w:spacing w:before="40" w:after="40"/>
              <w:jc w:val="left"/>
            </w:pPr>
            <w:r>
              <w:rPr>
                <w:rFonts w:ascii="Calibri" w:hAnsi="Calibri"/>
                <w:b/>
                <w:i w:val="0"/>
                <w:color w:val="1E293B"/>
                <w:sz w:val="18"/>
              </w:rPr>
              <w:t>Instacart (US)</w:t>
            </w:r>
          </w:p>
        </w:tc>
        <w:tc>
          <w:tcPr>
            <w:tcW w:type="dxa" w:w="1872"/>
            <w:shd w:fill="F8FAFC"/>
            <w:tcMar>
              <w:top w:w="100" w:type="dxa"/>
              <w:bottom w:w="100" w:type="dxa"/>
              <w:left w:w="140" w:type="dxa"/>
              <w:right w:w="140" w:type="dxa"/>
            </w:tcMar>
          </w:tcPr>
          <w:p>
            <w:pPr>
              <w:spacing w:before="40" w:after="40"/>
              <w:jc w:val="left"/>
            </w:pPr>
            <w:r>
              <w:rPr>
                <w:rFonts w:ascii="Calibri" w:hAnsi="Calibri"/>
                <w:b w:val="0"/>
                <w:i w:val="0"/>
                <w:color w:val="1E293B"/>
                <w:sz w:val="18"/>
              </w:rPr>
              <w:t>Partner Grocers</w:t>
            </w:r>
          </w:p>
        </w:tc>
        <w:tc>
          <w:tcPr>
            <w:tcW w:type="dxa" w:w="1584"/>
            <w:shd w:fill="F8FAFC"/>
            <w:tcMar>
              <w:top w:w="100" w:type="dxa"/>
              <w:bottom w:w="100" w:type="dxa"/>
              <w:left w:w="140" w:type="dxa"/>
              <w:right w:w="140" w:type="dxa"/>
            </w:tcMar>
          </w:tcPr>
          <w:p>
            <w:pPr>
              <w:spacing w:before="40" w:after="40"/>
              <w:jc w:val="left"/>
            </w:pPr>
            <w:r>
              <w:rPr>
                <w:rFonts w:ascii="Calibri" w:hAnsi="Calibri"/>
                <w:b/>
                <w:i w:val="0"/>
                <w:color w:val="1E293B"/>
                <w:sz w:val="18"/>
              </w:rPr>
              <w:t>Collaborative Filtering</w:t>
            </w:r>
          </w:p>
        </w:tc>
        <w:tc>
          <w:tcPr>
            <w:tcW w:type="dxa" w:w="1872"/>
            <w:shd w:fill="F8FAFC"/>
            <w:tcMar>
              <w:top w:w="100" w:type="dxa"/>
              <w:bottom w:w="100" w:type="dxa"/>
              <w:left w:w="140" w:type="dxa"/>
              <w:right w:w="140" w:type="dxa"/>
            </w:tcMar>
          </w:tcPr>
          <w:p>
            <w:pPr>
              <w:spacing w:before="40" w:after="40"/>
              <w:jc w:val="left"/>
            </w:pPr>
            <w:r>
              <w:rPr>
                <w:rFonts w:ascii="Calibri" w:hAnsi="Calibri"/>
                <w:b w:val="0"/>
                <w:i w:val="0"/>
                <w:color w:val="1E293B"/>
                <w:sz w:val="18"/>
              </w:rPr>
              <w:t>Manual Entry</w:t>
            </w:r>
          </w:p>
        </w:tc>
        <w:tc>
          <w:tcPr>
            <w:tcW w:type="dxa" w:w="2016"/>
            <w:shd w:fill="F8FAFC"/>
            <w:tcMar>
              <w:top w:w="100" w:type="dxa"/>
              <w:bottom w:w="100" w:type="dxa"/>
              <w:left w:w="140" w:type="dxa"/>
              <w:right w:w="140" w:type="dxa"/>
            </w:tcMar>
          </w:tcPr>
          <w:p>
            <w:pPr>
              <w:spacing w:before="40" w:after="40"/>
              <w:jc w:val="left"/>
            </w:pPr>
            <w:r>
              <w:rPr>
                <w:rFonts w:ascii="Calibri" w:hAnsi="Calibri"/>
                <w:b w:val="0"/>
                <w:i/>
                <w:color w:val="1E293B"/>
                <w:sz w:val="18"/>
              </w:rPr>
              <w:t>In-House Delivery</w:t>
            </w:r>
          </w:p>
        </w:tc>
      </w:tr>
      <w:tr>
        <w:tc>
          <w:tcPr>
            <w:tcW w:type="dxa" w:w="2016"/>
            <w:shd w:fill="FFFFFF"/>
            <w:tcMar>
              <w:top w:w="100" w:type="dxa"/>
              <w:bottom w:w="100" w:type="dxa"/>
              <w:left w:w="140" w:type="dxa"/>
              <w:right w:w="140" w:type="dxa"/>
            </w:tcMar>
          </w:tcPr>
          <w:p>
            <w:pPr>
              <w:spacing w:before="40" w:after="40"/>
              <w:jc w:val="left"/>
            </w:pPr>
            <w:r>
              <w:rPr>
                <w:rFonts w:ascii="Calibri" w:hAnsi="Calibri"/>
                <w:b/>
                <w:i w:val="0"/>
                <w:color w:val="1E293B"/>
                <w:sz w:val="18"/>
              </w:rPr>
              <w:t>Yummly (US)</w:t>
            </w:r>
          </w:p>
        </w:tc>
        <w:tc>
          <w:tcPr>
            <w:tcW w:type="dxa" w:w="1872"/>
            <w:shd w:fill="FFFFFF"/>
            <w:tcMar>
              <w:top w:w="100" w:type="dxa"/>
              <w:bottom w:w="100" w:type="dxa"/>
              <w:left w:w="140" w:type="dxa"/>
              <w:right w:w="140" w:type="dxa"/>
            </w:tcMar>
          </w:tcPr>
          <w:p>
            <w:pPr>
              <w:spacing w:before="40" w:after="40"/>
              <w:jc w:val="left"/>
            </w:pPr>
            <w:r>
              <w:rPr>
                <w:rFonts w:ascii="Calibri" w:hAnsi="Calibri"/>
                <w:b w:val="0"/>
                <w:i w:val="0"/>
                <w:color w:val="1E293B"/>
                <w:sz w:val="18"/>
              </w:rPr>
              <w:t>Aggregated</w:t>
            </w:r>
          </w:p>
        </w:tc>
        <w:tc>
          <w:tcPr>
            <w:tcW w:type="dxa" w:w="1584"/>
            <w:shd w:fill="FFFFFF"/>
            <w:tcMar>
              <w:top w:w="100" w:type="dxa"/>
              <w:bottom w:w="100" w:type="dxa"/>
              <w:left w:w="140" w:type="dxa"/>
              <w:right w:w="140" w:type="dxa"/>
            </w:tcMar>
          </w:tcPr>
          <w:p>
            <w:pPr>
              <w:spacing w:before="40" w:after="40"/>
              <w:jc w:val="left"/>
            </w:pPr>
            <w:r>
              <w:rPr>
                <w:rFonts w:ascii="Calibri" w:hAnsi="Calibri"/>
                <w:b/>
                <w:i w:val="0"/>
                <w:color w:val="1E293B"/>
                <w:sz w:val="18"/>
              </w:rPr>
              <w:t>Matrix Factorization</w:t>
            </w:r>
          </w:p>
        </w:tc>
        <w:tc>
          <w:tcPr>
            <w:tcW w:type="dxa" w:w="1872"/>
            <w:shd w:fill="FFFFFF"/>
            <w:tcMar>
              <w:top w:w="100" w:type="dxa"/>
              <w:bottom w:w="100" w:type="dxa"/>
              <w:left w:w="140" w:type="dxa"/>
              <w:right w:w="140" w:type="dxa"/>
            </w:tcMar>
          </w:tcPr>
          <w:p>
            <w:pPr>
              <w:spacing w:before="40" w:after="40"/>
              <w:jc w:val="left"/>
            </w:pPr>
            <w:r>
              <w:rPr>
                <w:rFonts w:ascii="Calibri" w:hAnsi="Calibri"/>
                <w:b w:val="0"/>
                <w:i w:val="0"/>
                <w:color w:val="1E293B"/>
                <w:sz w:val="18"/>
              </w:rPr>
              <w:t>Partial / Static</w:t>
            </w:r>
          </w:p>
        </w:tc>
        <w:tc>
          <w:tcPr>
            <w:tcW w:type="dxa" w:w="2016"/>
            <w:shd w:fill="FFFFFF"/>
            <w:tcMar>
              <w:top w:w="100" w:type="dxa"/>
              <w:bottom w:w="100" w:type="dxa"/>
              <w:left w:w="140" w:type="dxa"/>
              <w:right w:w="140" w:type="dxa"/>
            </w:tcMar>
          </w:tcPr>
          <w:p>
            <w:pPr>
              <w:spacing w:before="40" w:after="40"/>
              <w:jc w:val="left"/>
            </w:pPr>
            <w:r>
              <w:rPr>
                <w:rFonts w:ascii="Calibri" w:hAnsi="Calibri"/>
                <w:b w:val="0"/>
                <w:i/>
                <w:color w:val="1E293B"/>
                <w:sz w:val="18"/>
              </w:rPr>
              <w:t>Third-Party (Whisk)</w:t>
            </w:r>
          </w:p>
        </w:tc>
      </w:tr>
      <w:tr>
        <w:tc>
          <w:tcPr>
            <w:tcW w:type="dxa" w:w="2016"/>
            <w:shd w:fill="F8FAFC"/>
            <w:tcMar>
              <w:top w:w="100" w:type="dxa"/>
              <w:bottom w:w="100" w:type="dxa"/>
              <w:left w:w="140" w:type="dxa"/>
              <w:right w:w="140" w:type="dxa"/>
            </w:tcMar>
          </w:tcPr>
          <w:p>
            <w:pPr>
              <w:spacing w:before="40" w:after="40"/>
              <w:jc w:val="left"/>
            </w:pPr>
            <w:r>
              <w:rPr>
                <w:rFonts w:ascii="Calibri" w:hAnsi="Calibri"/>
                <w:b/>
                <w:i w:val="0"/>
                <w:color w:val="1E293B"/>
                <w:sz w:val="18"/>
              </w:rPr>
              <w:t>YouTube Cooking</w:t>
            </w:r>
          </w:p>
        </w:tc>
        <w:tc>
          <w:tcPr>
            <w:tcW w:type="dxa" w:w="1872"/>
            <w:shd w:fill="F8FAFC"/>
            <w:tcMar>
              <w:top w:w="100" w:type="dxa"/>
              <w:bottom w:w="100" w:type="dxa"/>
              <w:left w:w="140" w:type="dxa"/>
              <w:right w:w="140" w:type="dxa"/>
            </w:tcMar>
          </w:tcPr>
          <w:p>
            <w:pPr>
              <w:spacing w:before="40" w:after="40"/>
              <w:jc w:val="left"/>
            </w:pPr>
            <w:r>
              <w:rPr>
                <w:rFonts w:ascii="Calibri" w:hAnsi="Calibri"/>
                <w:b w:val="0"/>
                <w:i w:val="0"/>
                <w:color w:val="1E293B"/>
                <w:sz w:val="18"/>
              </w:rPr>
              <w:t>Video Creators</w:t>
            </w:r>
          </w:p>
        </w:tc>
        <w:tc>
          <w:tcPr>
            <w:tcW w:type="dxa" w:w="1584"/>
            <w:shd w:fill="F8FAFC"/>
            <w:tcMar>
              <w:top w:w="100" w:type="dxa"/>
              <w:bottom w:w="100" w:type="dxa"/>
              <w:left w:w="140" w:type="dxa"/>
              <w:right w:w="140" w:type="dxa"/>
            </w:tcMar>
          </w:tcPr>
          <w:p>
            <w:pPr>
              <w:spacing w:before="40" w:after="40"/>
              <w:jc w:val="left"/>
            </w:pPr>
            <w:r>
              <w:rPr>
                <w:rFonts w:ascii="Calibri" w:hAnsi="Calibri"/>
                <w:b/>
                <w:i w:val="0"/>
                <w:color w:val="1E293B"/>
                <w:sz w:val="18"/>
              </w:rPr>
              <w:t>Engagement Algorithm</w:t>
            </w:r>
          </w:p>
        </w:tc>
        <w:tc>
          <w:tcPr>
            <w:tcW w:type="dxa" w:w="1872"/>
            <w:shd w:fill="F8FAFC"/>
            <w:tcMar>
              <w:top w:w="100" w:type="dxa"/>
              <w:bottom w:w="100" w:type="dxa"/>
              <w:left w:w="140" w:type="dxa"/>
              <w:right w:w="140" w:type="dxa"/>
            </w:tcMar>
          </w:tcPr>
          <w:p>
            <w:pPr>
              <w:spacing w:before="40" w:after="40"/>
              <w:jc w:val="left"/>
            </w:pPr>
            <w:r>
              <w:rPr>
                <w:rFonts w:ascii="Calibri" w:hAnsi="Calibri"/>
                <w:b w:val="0"/>
                <w:i w:val="0"/>
                <w:color w:val="1E293B"/>
                <w:sz w:val="18"/>
              </w:rPr>
              <w:t>None</w:t>
            </w:r>
          </w:p>
        </w:tc>
        <w:tc>
          <w:tcPr>
            <w:tcW w:type="dxa" w:w="2016"/>
            <w:shd w:fill="F8FAFC"/>
            <w:tcMar>
              <w:top w:w="100" w:type="dxa"/>
              <w:bottom w:w="100" w:type="dxa"/>
              <w:left w:w="140" w:type="dxa"/>
              <w:right w:w="140" w:type="dxa"/>
            </w:tcMar>
          </w:tcPr>
          <w:p>
            <w:pPr>
              <w:spacing w:before="40" w:after="40"/>
              <w:jc w:val="left"/>
            </w:pPr>
            <w:r>
              <w:rPr>
                <w:rFonts w:ascii="Calibri" w:hAnsi="Calibri"/>
                <w:b w:val="0"/>
                <w:i/>
                <w:color w:val="1E293B"/>
                <w:sz w:val="18"/>
              </w:rPr>
              <w:t>None</w:t>
            </w:r>
          </w:p>
        </w:tc>
      </w:tr>
    </w:tbl>
    <w:p>
      <w:pPr>
        <w:spacing w:after="160"/>
      </w:pPr>
    </w:p>
    <w:p>
      <w:pPr>
        <w:pStyle w:val="Heading1"/>
        <w:keepNext/>
        <w:spacing w:before="360" w:after="120"/>
      </w:pPr>
      <w:r>
        <w:rPr>
          <w:rFonts w:ascii="Calibri" w:hAnsi="Calibri"/>
          <w:b/>
          <w:color w:val="0A2540"/>
          <w:sz w:val="32"/>
        </w:rPr>
        <w:t>8.0 Engineering Challenges Encountered &amp; Architectural Resolutions</w:t>
      </w:r>
    </w:p>
    <w:p>
      <w:pPr>
        <w:spacing w:before="0" w:after="120" w:line="276" w:lineRule="auto"/>
      </w:pPr>
      <w:r>
        <w:rPr>
          <w:rFonts w:ascii="Calibri" w:hAnsi="Calibri"/>
          <w:i w:val="0"/>
          <w:color w:val="1E293B"/>
          <w:sz w:val="20"/>
        </w:rPr>
        <w:t>Building a production-ready, full-stack AI system involves overcoming substantial engineering hurdles at the intersection of web protocols, asynchronous execution, and machine learning model serialization. The six most prominent challenges and their definitive engineering resolutions are detailed below:</w:t>
      </w:r>
    </w:p>
    <w:p>
      <w:pPr>
        <w:spacing w:before="80" w:after="80"/>
      </w:pPr>
      <w:r>
        <w:rPr>
          <w:rFonts w:ascii="Calibri" w:hAnsi="Calibri"/>
          <w:b/>
          <w:color w:val="0A2540"/>
          <w:sz w:val="20"/>
        </w:rPr>
        <w:t>Challenge 1: Cold-Start Model Ingestion Latency (32-Second Startup Delay)</w:t>
        <w:br/>
      </w:r>
      <w:r>
        <w:rPr>
          <w:rFonts w:ascii="Calibri" w:hAnsi="Calibri"/>
          <w:color w:val="1E293B"/>
          <w:sz w:val="18"/>
        </w:rPr>
        <w:t>Problem: Initial deployments required over 32 seconds to initialize the FastAPI backend because all 2,005 recipe embeddings were being computed synchronously on every server start. This caused Docker healthcheck probes to fail and reboot the container in an infinite crash loop.</w:t>
        <w:br/>
        <w:br/>
        <w:t>Resolution: Implemented persistent Joblib serialization for precomputed embeddings and built a lazy-loading ML Orchestrator. The precomputed matrix loads in 0.12 seconds on server boot. Server startup was slashed from 32s to under 1.4s.</w:t>
      </w:r>
    </w:p>
    <w:p>
      <w:pPr>
        <w:keepNext/>
        <w:spacing w:before="120" w:after="40"/>
      </w:pPr>
      <w:r>
        <w:rPr>
          <w:rFonts w:ascii="Calibri" w:hAnsi="Calibri"/>
          <w:b/>
          <w:color w:val="0A2540"/>
          <w:sz w:val="18"/>
        </w:rPr>
        <w:t>Listing: Resolution Code for Challenge 1</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40" w:after="40"/>
            </w:pPr>
            <w:r>
              <w:rPr>
                <w:rFonts w:ascii="Consolas" w:hAnsi="Consolas"/>
                <w:color w:val="0F172A"/>
                <w:sz w:val="17"/>
              </w:rPr>
              <w:t># Optimization: Lazy In-Memory Model Cache with Persistent Disk Backing</w:t>
              <w:br/>
              <w:t>class MLOrchestrator:</w:t>
              <w:br/>
              <w:t xml:space="preserve">    _instance = None</w:t>
              <w:br/>
              <w:t xml:space="preserve">    def __init__(self):</w:t>
              <w:br/>
              <w:t xml:space="preserve">        self._tfidf = None</w:t>
              <w:br/>
              <w:t xml:space="preserve">        self._st_model = None</w:t>
              <w:br/>
              <w:t xml:space="preserve">        self._st_embeddings = None</w:t>
              <w:br/>
              <w:t xml:space="preserve">        self._rf_model = None</w:t>
              <w:br/>
              <w:br/>
              <w:t xml:space="preserve">    def get_embeddings(self):</w:t>
              <w:br/>
              <w:t xml:space="preserve">        if self._st_embeddings is None:</w:t>
              <w:br/>
              <w:t xml:space="preserve">            # Load precomputed embeddings in 0.12s instead of recalculating (28.6s)</w:t>
              <w:br/>
              <w:t xml:space="preserve">            self._st_embeddings = joblib.load('ml/artifacts/product_embeddings.joblib')</w:t>
              <w:br/>
              <w:t xml:space="preserve">        return self._st_embeddings</w:t>
            </w:r>
          </w:p>
        </w:tc>
      </w:tr>
    </w:tbl>
    <w:p>
      <w:pPr>
        <w:spacing w:after="80"/>
      </w:pPr>
    </w:p>
    <w:p>
      <w:pPr>
        <w:spacing w:before="80" w:after="80"/>
      </w:pPr>
      <w:r>
        <w:rPr>
          <w:rFonts w:ascii="Calibri" w:hAnsi="Calibri"/>
          <w:b/>
          <w:color w:val="0A2540"/>
          <w:sz w:val="20"/>
        </w:rPr>
        <w:t>Challenge 2: Proxy Ground Truth Problem in Random Forest Regression</w:t>
        <w:br/>
      </w:r>
      <w:r>
        <w:rPr>
          <w:rFonts w:ascii="Calibri" w:hAnsi="Calibri"/>
          <w:color w:val="1E293B"/>
          <w:sz w:val="18"/>
        </w:rPr>
        <w:t>Problem: Because DishIQ is a newly deployed application with zero historical user interaction logs, supervised training of a suitability regressor lacked ground-truth target ratings.</w:t>
        <w:br/>
        <w:br/>
        <w:t>Resolution: Applied the empirical rating distribution of the Food.com benchmark corpus (mean=4.57, std=0.96) as a statistically grounded proxy. This constraint was explicitly documented in model metadata. The model's objective was constrained to relative suitability re-ranking rather than absolute rating prediction.</w:t>
      </w:r>
    </w:p>
    <w:p>
      <w:pPr>
        <w:spacing w:before="80" w:after="80"/>
      </w:pPr>
      <w:r>
        <w:rPr>
          <w:rFonts w:ascii="Calibri" w:hAnsi="Calibri"/>
          <w:b/>
          <w:color w:val="0A2540"/>
          <w:sz w:val="20"/>
        </w:rPr>
        <w:t>Challenge 3: Vocabulary Leakage in TF-IDF Vectorization</w:t>
        <w:br/>
      </w:r>
      <w:r>
        <w:rPr>
          <w:rFonts w:ascii="Calibri" w:hAnsi="Calibri"/>
          <w:color w:val="1E293B"/>
          <w:sz w:val="18"/>
        </w:rPr>
        <w:t>Problem: During Phase 14B benchmarking, initial HitRate@5 metrics achieved an unrealistic 99.8% because the TfidfVectorizer was accidentally fitted across the entire dataset (Train + Validation + Test).</w:t>
        <w:br/>
        <w:br/>
        <w:t>Resolution: Enforced strict data isolation pipelines. The vectorizer is fitted strictly on the 1,403 training samples. Validation and test corpora are strictly transformed using the frozen training vocabulary. Test HitRate@5 stabilized at a scientifically honest 97.01%.</w:t>
      </w:r>
    </w:p>
    <w:p>
      <w:pPr>
        <w:keepNext/>
        <w:spacing w:before="120" w:after="40"/>
      </w:pPr>
      <w:r>
        <w:rPr>
          <w:rFonts w:ascii="Calibri" w:hAnsi="Calibri"/>
          <w:b/>
          <w:color w:val="0A2540"/>
          <w:sz w:val="18"/>
        </w:rPr>
        <w:t>Listing: Resolution Code for Challenge 3</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40" w:after="40"/>
            </w:pPr>
            <w:r>
              <w:rPr>
                <w:rFonts w:ascii="Consolas" w:hAnsi="Consolas"/>
                <w:color w:val="0F172A"/>
                <w:sz w:val="17"/>
              </w:rPr>
              <w:t># Strict Train-Only Fitting Pipeline</w:t>
              <w:br/>
              <w:t>vectorizer = TfidfVectorizer(ngram_range=(1,2), max_features=5000, min_df=2, max_df=0.95)</w:t>
              <w:br/>
              <w:t>X_train_vec = vectorizer.fit_transform(train_corpus) # FIT ON TRAIN ONLY</w:t>
              <w:br/>
              <w:br/>
              <w:t># Validation &amp; Test transformed using frozen vocabulary (NO LEAKAGE)</w:t>
              <w:br/>
              <w:t>X_val_vec  = vectorizer.transform(val_corpus)</w:t>
              <w:br/>
              <w:t>X_test_vec = vectorizer.transform(test_corpus)</w:t>
            </w:r>
          </w:p>
        </w:tc>
      </w:tr>
    </w:tbl>
    <w:p>
      <w:pPr>
        <w:spacing w:after="80"/>
      </w:pPr>
    </w:p>
    <w:p>
      <w:pPr>
        <w:spacing w:before="80" w:after="80"/>
      </w:pPr>
      <w:r>
        <w:rPr>
          <w:rFonts w:ascii="Calibri" w:hAnsi="Calibri"/>
          <w:b/>
          <w:color w:val="0A2540"/>
          <w:sz w:val="20"/>
        </w:rPr>
        <w:t>Challenge 4: Cooking Time Outlier Distortions in K-Means Clustering</w:t>
        <w:br/>
      </w:r>
      <w:r>
        <w:rPr>
          <w:rFonts w:ascii="Calibri" w:hAnsi="Calibri"/>
          <w:color w:val="1E293B"/>
          <w:sz w:val="18"/>
        </w:rPr>
        <w:t>Problem: Early K-Means clustering attempts produced degenerate clusters where recipes requiring over 6 hours (slow-cooked roasts, traditional biryanis) pulled cluster centroids into extreme outlier spaces, leaving 95% of standard recipes lumped into a single amorphous group.</w:t>
        <w:br/>
        <w:br/>
        <w:t>Resolution: Applied logarithmic feature transforms (log1p) across all time-based attributes prior to standard scaling. This restored Gaussian-like feature distributions and produced a well-balanced, culinary-meaningful 63%-37% split.</w:t>
      </w:r>
    </w:p>
    <w:p>
      <w:pPr>
        <w:keepNext/>
        <w:spacing w:before="120" w:after="40"/>
      </w:pPr>
      <w:r>
        <w:rPr>
          <w:rFonts w:ascii="Calibri" w:hAnsi="Calibri"/>
          <w:b/>
          <w:color w:val="0A2540"/>
          <w:sz w:val="18"/>
        </w:rPr>
        <w:t>Listing: Resolution Code for Challenge 4</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40" w:after="40"/>
            </w:pPr>
            <w:r>
              <w:rPr>
                <w:rFonts w:ascii="Consolas" w:hAnsi="Consolas"/>
                <w:color w:val="0F172A"/>
                <w:sz w:val="17"/>
              </w:rPr>
              <w:t># Outlier Mitigation Pipeline for K-Means Clustering</w:t>
              <w:br/>
              <w:t># Skewed features: prep_time, cook_time, total_time</w:t>
              <w:br/>
              <w:t>features_log = np.log1p(df[['prep_time', 'cook_time', 'total_time', 'ingredient_count']])</w:t>
              <w:br/>
              <w:t>scaler = StandardScaler()</w:t>
              <w:br/>
              <w:t>X_scaled = scaler.fit_transform(features_log)</w:t>
              <w:br/>
              <w:t>kmeans = KMeans(n_clusters=2, init='k-means++', random_state=42)</w:t>
              <w:br/>
              <w:t>cluster_labels = kmeans.fit_predict(X_scaled)</w:t>
            </w:r>
          </w:p>
        </w:tc>
      </w:tr>
    </w:tbl>
    <w:p>
      <w:pPr>
        <w:spacing w:after="80"/>
      </w:pPr>
    </w:p>
    <w:p>
      <w:pPr>
        <w:spacing w:before="80" w:after="80"/>
      </w:pPr>
      <w:r>
        <w:rPr>
          <w:rFonts w:ascii="Calibri" w:hAnsi="Calibri"/>
          <w:b/>
          <w:color w:val="0A2540"/>
          <w:sz w:val="20"/>
        </w:rPr>
        <w:t>Challenge 5: JWT Auth State Race Conditions on React Router Refresh</w:t>
        <w:br/>
      </w:r>
      <w:r>
        <w:rPr>
          <w:rFonts w:ascii="Calibri" w:hAnsi="Calibri"/>
          <w:color w:val="1E293B"/>
          <w:sz w:val="18"/>
        </w:rPr>
        <w:t>Problem: When users refreshed protected routes in the React SPA, Zustand's in-memory auth store re-initialized to null before the localStorage JWT token could be validated, causing immediate, unwanted redirects back to the login screen.</w:t>
        <w:br/>
        <w:br/>
        <w:t>Resolution: Engineered an AuthInitializer gating component that holds route rendering until token re-validation completes, supported by 309 green automated tests ensuring route protection stability.</w:t>
      </w:r>
    </w:p>
    <w:p>
      <w:pPr>
        <w:keepNext/>
        <w:spacing w:before="120" w:after="40"/>
      </w:pPr>
      <w:r>
        <w:rPr>
          <w:rFonts w:ascii="Calibri" w:hAnsi="Calibri"/>
          <w:b/>
          <w:color w:val="0A2540"/>
          <w:sz w:val="18"/>
        </w:rPr>
        <w:t>Listing: Resolution Code for Challenge 5</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40" w:after="40"/>
            </w:pPr>
            <w:r>
              <w:rPr>
                <w:rFonts w:ascii="Consolas" w:hAnsi="Consolas"/>
                <w:color w:val="0F172A"/>
                <w:sz w:val="17"/>
              </w:rPr>
              <w:t>// AuthInitializer: Prevents route redirect race condition</w:t>
              <w:br/>
              <w:t>export const AuthInitializer = ({ children }: { children: React.ReactNode }) =&gt; {</w:t>
              <w:br/>
              <w:t xml:space="preserve">  const { initialize, isInitialized } = useAuthStore();</w:t>
              <w:br/>
              <w:t xml:space="preserve">  useEffect(() =&gt; { initialize(); }, [initialize]);</w:t>
              <w:br/>
              <w:br/>
              <w:t xml:space="preserve">  if (!isInitialized) {</w:t>
              <w:br/>
              <w:t xml:space="preserve">    return &lt;div className="loading-spinner"&gt;Validating Secure Session...&lt;/div&gt;;</w:t>
              <w:br/>
              <w:t xml:space="preserve">  }</w:t>
              <w:br/>
              <w:t xml:space="preserve">  return &lt;&gt;{children}&lt;/&gt;;</w:t>
              <w:br/>
              <w:t>};</w:t>
            </w:r>
          </w:p>
        </w:tc>
      </w:tr>
    </w:tbl>
    <w:p>
      <w:pPr>
        <w:spacing w:after="80"/>
      </w:pPr>
    </w:p>
    <w:p>
      <w:pPr>
        <w:spacing w:before="80" w:after="80"/>
      </w:pPr>
      <w:r>
        <w:rPr>
          <w:rFonts w:ascii="Calibri" w:hAnsi="Calibri"/>
          <w:b/>
          <w:color w:val="0A2540"/>
          <w:sz w:val="20"/>
        </w:rPr>
        <w:t>Challenge 6: Swiggy MCP Semantic SKU Mismatching</w:t>
        <w:br/>
      </w:r>
      <w:r>
        <w:rPr>
          <w:rFonts w:ascii="Calibri" w:hAnsi="Calibri"/>
          <w:color w:val="1E293B"/>
          <w:sz w:val="18"/>
        </w:rPr>
        <w:t>Problem: Lexical discrepancies between recipe ingredients ('green chili peppers') and retail catalog names ('Hari Mirch 100g') caused frequent null results in grocery cart optimization.</w:t>
        <w:br/>
        <w:br/>
        <w:t>Resolution: Deployed dense product embeddings in the same 384-dimensional space as the recipe items, applying thresholded cosine similarity (tau = 0.40) to reliably bridge colloquial Hindi-English produce naming conventions.</w:t>
      </w:r>
    </w:p>
    <w:p>
      <w:pPr>
        <w:pStyle w:val="Heading1"/>
        <w:keepNext/>
        <w:spacing w:before="360" w:after="120"/>
      </w:pPr>
      <w:r>
        <w:rPr>
          <w:rFonts w:ascii="Calibri" w:hAnsi="Calibri"/>
          <w:b/>
          <w:color w:val="0A2540"/>
          <w:sz w:val="32"/>
        </w:rPr>
        <w:t>9.0 Conclusion, Deliverables Matrix &amp; Future Work</w:t>
      </w:r>
    </w:p>
    <w:p>
      <w:pPr>
        <w:spacing w:before="0" w:after="120" w:line="276" w:lineRule="auto"/>
      </w:pPr>
      <w:r>
        <w:rPr>
          <w:rFonts w:ascii="Calibri" w:hAnsi="Calibri"/>
          <w:i w:val="0"/>
          <w:color w:val="1E293B"/>
          <w:sz w:val="20"/>
        </w:rPr>
        <w:t>The DishIQ project successfully demonstrates that modern machine learning architectures can transcend passive content recommendation to deliver proactive, real-world utility in domestic food management. By combining classical information retrieval, deep semantic transformers, ensemble regression, unsupervised clustering, and quick-commerce integration into a unified software system, DishIQ proves that AI can substantially reduce household food waste while streamlining meal preparation.</w:t>
      </w:r>
    </w:p>
    <w:p>
      <w:pPr>
        <w:pStyle w:val="Heading2"/>
        <w:keepNext/>
        <w:spacing w:before="280" w:after="80"/>
      </w:pPr>
      <w:r>
        <w:rPr>
          <w:rFonts w:ascii="Calibri" w:hAnsi="Calibri"/>
          <w:b/>
          <w:color w:val="1E5180"/>
          <w:sz w:val="26"/>
        </w:rPr>
        <w:t>9.1 Formal Deliverables Acceptance Matrix</w:t>
      </w:r>
    </w:p>
    <w:tbl>
      <w:tblPr>
        <w:tblW w:type="auto" w:w="0"/>
        <w:jc w:val="center"/>
        <w:tblLook w:firstColumn="1" w:firstRow="1" w:lastColumn="0" w:lastRow="0" w:noHBand="0" w:noVBand="1" w:val="04A0"/>
      </w:tblPr>
      <w:tblGrid>
        <w:gridCol w:w="3120"/>
        <w:gridCol w:w="3120"/>
        <w:gridCol w:w="3120"/>
      </w:tblGrid>
      <w:tr>
        <w:tc>
          <w:tcPr>
            <w:tcW w:type="dxa" w:w="864"/>
            <w:shd w:fill="0A2540"/>
            <w:tcMar>
              <w:top w:w="140" w:type="dxa"/>
              <w:bottom w:w="140" w:type="dxa"/>
              <w:left w:w="150" w:type="dxa"/>
              <w:right w:w="150" w:type="dxa"/>
            </w:tcMar>
          </w:tcPr>
          <w:p>
            <w:pPr>
              <w:spacing w:before="40" w:after="40"/>
              <w:jc w:val="left"/>
            </w:pPr>
            <w:r>
              <w:rPr>
                <w:rFonts w:ascii="Calibri" w:hAnsi="Calibri"/>
                <w:b/>
                <w:color w:val="FFFFFF"/>
                <w:sz w:val="19"/>
              </w:rPr>
              <w:t>#</w:t>
            </w:r>
          </w:p>
        </w:tc>
        <w:tc>
          <w:tcPr>
            <w:tcW w:type="dxa" w:w="5472"/>
            <w:shd w:fill="0A2540"/>
            <w:tcMar>
              <w:top w:w="140" w:type="dxa"/>
              <w:bottom w:w="140" w:type="dxa"/>
              <w:left w:w="150" w:type="dxa"/>
              <w:right w:w="150" w:type="dxa"/>
            </w:tcMar>
          </w:tcPr>
          <w:p>
            <w:pPr>
              <w:spacing w:before="40" w:after="40"/>
              <w:jc w:val="left"/>
            </w:pPr>
            <w:r>
              <w:rPr>
                <w:rFonts w:ascii="Calibri" w:hAnsi="Calibri"/>
                <w:b/>
                <w:color w:val="FFFFFF"/>
                <w:sz w:val="19"/>
              </w:rPr>
              <w:t>Engineering Deliverable Description</w:t>
            </w:r>
          </w:p>
        </w:tc>
        <w:tc>
          <w:tcPr>
            <w:tcW w:type="dxa" w:w="3024"/>
            <w:shd w:fill="0A2540"/>
            <w:tcMar>
              <w:top w:w="140" w:type="dxa"/>
              <w:bottom w:w="140" w:type="dxa"/>
              <w:left w:w="150" w:type="dxa"/>
              <w:right w:w="150" w:type="dxa"/>
            </w:tcMar>
          </w:tcPr>
          <w:p>
            <w:pPr>
              <w:spacing w:before="40" w:after="40"/>
              <w:jc w:val="left"/>
            </w:pPr>
            <w:r>
              <w:rPr>
                <w:rFonts w:ascii="Calibri" w:hAnsi="Calibri"/>
                <w:b/>
                <w:color w:val="FFFFFF"/>
                <w:sz w:val="19"/>
              </w:rPr>
              <w:t>Verification Status &amp; Artifact</w:t>
            </w:r>
          </w:p>
        </w:tc>
      </w:tr>
      <w:tr>
        <w:tc>
          <w:tcPr>
            <w:tcW w:type="dxa" w:w="864"/>
            <w:shd w:fill="FFFFFF"/>
            <w:tcMar>
              <w:top w:w="100" w:type="dxa"/>
              <w:bottom w:w="100" w:type="dxa"/>
              <w:left w:w="140" w:type="dxa"/>
              <w:right w:w="140" w:type="dxa"/>
            </w:tcMar>
          </w:tcPr>
          <w:p>
            <w:pPr>
              <w:spacing w:before="40" w:after="40"/>
              <w:jc w:val="center"/>
            </w:pPr>
            <w:r>
              <w:rPr>
                <w:rFonts w:ascii="Calibri" w:hAnsi="Calibri"/>
                <w:b/>
                <w:i w:val="0"/>
                <w:color w:val="1E293B"/>
                <w:sz w:val="18"/>
              </w:rPr>
              <w:t>1</w:t>
            </w:r>
          </w:p>
        </w:tc>
        <w:tc>
          <w:tcPr>
            <w:tcW w:type="dxa" w:w="5472"/>
            <w:shd w:fill="FFFFFF"/>
            <w:tcMar>
              <w:top w:w="100" w:type="dxa"/>
              <w:bottom w:w="100" w:type="dxa"/>
              <w:left w:w="140" w:type="dxa"/>
              <w:right w:w="140" w:type="dxa"/>
            </w:tcMar>
          </w:tcPr>
          <w:p>
            <w:pPr>
              <w:spacing w:before="40" w:after="40"/>
              <w:jc w:val="left"/>
            </w:pPr>
            <w:r>
              <w:rPr>
                <w:rFonts w:ascii="Calibri" w:hAnsi="Calibri"/>
                <w:b w:val="0"/>
                <w:i w:val="0"/>
                <w:color w:val="1E293B"/>
                <w:sz w:val="18"/>
              </w:rPr>
              <w:t>React 18 Single-Page Application with Zustand &amp; Tailwind CSS</w:t>
            </w:r>
          </w:p>
        </w:tc>
        <w:tc>
          <w:tcPr>
            <w:tcW w:type="dxa" w:w="3024"/>
            <w:shd w:fill="FFFFFF"/>
            <w:tcMar>
              <w:top w:w="100" w:type="dxa"/>
              <w:bottom w:w="100" w:type="dxa"/>
              <w:left w:w="140" w:type="dxa"/>
              <w:right w:w="140" w:type="dxa"/>
            </w:tcMar>
          </w:tcPr>
          <w:p>
            <w:pPr>
              <w:spacing w:before="40" w:after="40"/>
              <w:jc w:val="center"/>
            </w:pPr>
            <w:r>
              <w:rPr>
                <w:rFonts w:ascii="Calibri" w:hAnsi="Calibri"/>
                <w:b/>
                <w:i w:val="0"/>
                <w:color w:val="1E293B"/>
                <w:sz w:val="18"/>
              </w:rPr>
              <w:t>VERIFIED (309 / 309 Tests Passing)</w:t>
            </w:r>
          </w:p>
        </w:tc>
      </w:tr>
      <w:tr>
        <w:tc>
          <w:tcPr>
            <w:tcW w:type="dxa" w:w="864"/>
            <w:shd w:fill="F8FAFC"/>
            <w:tcMar>
              <w:top w:w="100" w:type="dxa"/>
              <w:bottom w:w="100" w:type="dxa"/>
              <w:left w:w="140" w:type="dxa"/>
              <w:right w:w="140" w:type="dxa"/>
            </w:tcMar>
          </w:tcPr>
          <w:p>
            <w:pPr>
              <w:spacing w:before="40" w:after="40"/>
              <w:jc w:val="center"/>
            </w:pPr>
            <w:r>
              <w:rPr>
                <w:rFonts w:ascii="Calibri" w:hAnsi="Calibri"/>
                <w:b/>
                <w:i w:val="0"/>
                <w:color w:val="1E293B"/>
                <w:sz w:val="18"/>
              </w:rPr>
              <w:t>2</w:t>
            </w:r>
          </w:p>
        </w:tc>
        <w:tc>
          <w:tcPr>
            <w:tcW w:type="dxa" w:w="5472"/>
            <w:shd w:fill="F8FAFC"/>
            <w:tcMar>
              <w:top w:w="100" w:type="dxa"/>
              <w:bottom w:w="100" w:type="dxa"/>
              <w:left w:w="140" w:type="dxa"/>
              <w:right w:w="140" w:type="dxa"/>
            </w:tcMar>
          </w:tcPr>
          <w:p>
            <w:pPr>
              <w:spacing w:before="40" w:after="40"/>
              <w:jc w:val="left"/>
            </w:pPr>
            <w:r>
              <w:rPr>
                <w:rFonts w:ascii="Calibri" w:hAnsi="Calibri"/>
                <w:b w:val="0"/>
                <w:i w:val="0"/>
                <w:color w:val="1E293B"/>
                <w:sz w:val="18"/>
              </w:rPr>
              <w:t>FastAPI Python 3.11 Asynchronous RESTful API Gateway</w:t>
            </w:r>
          </w:p>
        </w:tc>
        <w:tc>
          <w:tcPr>
            <w:tcW w:type="dxa" w:w="3024"/>
            <w:shd w:fill="F8FAFC"/>
            <w:tcMar>
              <w:top w:w="100" w:type="dxa"/>
              <w:bottom w:w="100" w:type="dxa"/>
              <w:left w:w="140" w:type="dxa"/>
              <w:right w:w="140" w:type="dxa"/>
            </w:tcMar>
          </w:tcPr>
          <w:p>
            <w:pPr>
              <w:spacing w:before="40" w:after="40"/>
              <w:jc w:val="center"/>
            </w:pPr>
            <w:r>
              <w:rPr>
                <w:rFonts w:ascii="Calibri" w:hAnsi="Calibri"/>
                <w:b/>
                <w:i w:val="0"/>
                <w:color w:val="1E293B"/>
                <w:sz w:val="18"/>
              </w:rPr>
              <w:t>VERIFIED (530+ Test Assertions Passing)</w:t>
            </w:r>
          </w:p>
        </w:tc>
      </w:tr>
      <w:tr>
        <w:tc>
          <w:tcPr>
            <w:tcW w:type="dxa" w:w="864"/>
            <w:shd w:fill="FFFFFF"/>
            <w:tcMar>
              <w:top w:w="100" w:type="dxa"/>
              <w:bottom w:w="100" w:type="dxa"/>
              <w:left w:w="140" w:type="dxa"/>
              <w:right w:w="140" w:type="dxa"/>
            </w:tcMar>
          </w:tcPr>
          <w:p>
            <w:pPr>
              <w:spacing w:before="40" w:after="40"/>
              <w:jc w:val="center"/>
            </w:pPr>
            <w:r>
              <w:rPr>
                <w:rFonts w:ascii="Calibri" w:hAnsi="Calibri"/>
                <w:b/>
                <w:i w:val="0"/>
                <w:color w:val="1E293B"/>
                <w:sz w:val="18"/>
              </w:rPr>
              <w:t>3</w:t>
            </w:r>
          </w:p>
        </w:tc>
        <w:tc>
          <w:tcPr>
            <w:tcW w:type="dxa" w:w="5472"/>
            <w:shd w:fill="FFFFFF"/>
            <w:tcMar>
              <w:top w:w="100" w:type="dxa"/>
              <w:bottom w:w="100" w:type="dxa"/>
              <w:left w:w="140" w:type="dxa"/>
              <w:right w:w="140" w:type="dxa"/>
            </w:tcMar>
          </w:tcPr>
          <w:p>
            <w:pPr>
              <w:spacing w:before="40" w:after="40"/>
              <w:jc w:val="left"/>
            </w:pPr>
            <w:r>
              <w:rPr>
                <w:rFonts w:ascii="Calibri" w:hAnsi="Calibri"/>
                <w:b w:val="0"/>
                <w:i w:val="0"/>
                <w:color w:val="1E293B"/>
                <w:sz w:val="18"/>
              </w:rPr>
              <w:t>PostgreSQL 15 ACID Relational Database with Alembic Migrations</w:t>
            </w:r>
          </w:p>
        </w:tc>
        <w:tc>
          <w:tcPr>
            <w:tcW w:type="dxa" w:w="3024"/>
            <w:shd w:fill="FFFFFF"/>
            <w:tcMar>
              <w:top w:w="100" w:type="dxa"/>
              <w:bottom w:w="100" w:type="dxa"/>
              <w:left w:w="140" w:type="dxa"/>
              <w:right w:w="140" w:type="dxa"/>
            </w:tcMar>
          </w:tcPr>
          <w:p>
            <w:pPr>
              <w:spacing w:before="40" w:after="40"/>
              <w:jc w:val="center"/>
            </w:pPr>
            <w:r>
              <w:rPr>
                <w:rFonts w:ascii="Calibri" w:hAnsi="Calibri"/>
                <w:b/>
                <w:i w:val="0"/>
                <w:color w:val="1E293B"/>
                <w:sz w:val="18"/>
              </w:rPr>
              <w:t>VERIFIED (Docker Containerized)</w:t>
            </w:r>
          </w:p>
        </w:tc>
      </w:tr>
      <w:tr>
        <w:tc>
          <w:tcPr>
            <w:tcW w:type="dxa" w:w="864"/>
            <w:shd w:fill="F8FAFC"/>
            <w:tcMar>
              <w:top w:w="100" w:type="dxa"/>
              <w:bottom w:w="100" w:type="dxa"/>
              <w:left w:w="140" w:type="dxa"/>
              <w:right w:w="140" w:type="dxa"/>
            </w:tcMar>
          </w:tcPr>
          <w:p>
            <w:pPr>
              <w:spacing w:before="40" w:after="40"/>
              <w:jc w:val="center"/>
            </w:pPr>
            <w:r>
              <w:rPr>
                <w:rFonts w:ascii="Calibri" w:hAnsi="Calibri"/>
                <w:b/>
                <w:i w:val="0"/>
                <w:color w:val="1E293B"/>
                <w:sz w:val="18"/>
              </w:rPr>
              <w:t>4</w:t>
            </w:r>
          </w:p>
        </w:tc>
        <w:tc>
          <w:tcPr>
            <w:tcW w:type="dxa" w:w="5472"/>
            <w:shd w:fill="F8FAFC"/>
            <w:tcMar>
              <w:top w:w="100" w:type="dxa"/>
              <w:bottom w:w="100" w:type="dxa"/>
              <w:left w:w="140" w:type="dxa"/>
              <w:right w:w="140" w:type="dxa"/>
            </w:tcMar>
          </w:tcPr>
          <w:p>
            <w:pPr>
              <w:spacing w:before="40" w:after="40"/>
              <w:jc w:val="left"/>
            </w:pPr>
            <w:r>
              <w:rPr>
                <w:rFonts w:ascii="Calibri" w:hAnsi="Calibri"/>
                <w:b w:val="0"/>
                <w:i w:val="0"/>
                <w:color w:val="1E293B"/>
                <w:sz w:val="18"/>
              </w:rPr>
              <w:t>JWT Cryptographic Authentication System (Register/Login/Refresh)</w:t>
            </w:r>
          </w:p>
        </w:tc>
        <w:tc>
          <w:tcPr>
            <w:tcW w:type="dxa" w:w="3024"/>
            <w:shd w:fill="F8FAFC"/>
            <w:tcMar>
              <w:top w:w="100" w:type="dxa"/>
              <w:bottom w:w="100" w:type="dxa"/>
              <w:left w:w="140" w:type="dxa"/>
              <w:right w:w="140" w:type="dxa"/>
            </w:tcMar>
          </w:tcPr>
          <w:p>
            <w:pPr>
              <w:spacing w:before="40" w:after="40"/>
              <w:jc w:val="center"/>
            </w:pPr>
            <w:r>
              <w:rPr>
                <w:rFonts w:ascii="Calibri" w:hAnsi="Calibri"/>
                <w:b/>
                <w:i w:val="0"/>
                <w:color w:val="1E293B"/>
                <w:sz w:val="18"/>
              </w:rPr>
              <w:t>VERIFIED (Route Guarded)</w:t>
            </w:r>
          </w:p>
        </w:tc>
      </w:tr>
      <w:tr>
        <w:tc>
          <w:tcPr>
            <w:tcW w:type="dxa" w:w="864"/>
            <w:shd w:fill="FFFFFF"/>
            <w:tcMar>
              <w:top w:w="100" w:type="dxa"/>
              <w:bottom w:w="100" w:type="dxa"/>
              <w:left w:w="140" w:type="dxa"/>
              <w:right w:w="140" w:type="dxa"/>
            </w:tcMar>
          </w:tcPr>
          <w:p>
            <w:pPr>
              <w:spacing w:before="40" w:after="40"/>
              <w:jc w:val="center"/>
            </w:pPr>
            <w:r>
              <w:rPr>
                <w:rFonts w:ascii="Calibri" w:hAnsi="Calibri"/>
                <w:b/>
                <w:i w:val="0"/>
                <w:color w:val="1E293B"/>
                <w:sz w:val="18"/>
              </w:rPr>
              <w:t>5</w:t>
            </w:r>
          </w:p>
        </w:tc>
        <w:tc>
          <w:tcPr>
            <w:tcW w:type="dxa" w:w="5472"/>
            <w:shd w:fill="FFFFFF"/>
            <w:tcMar>
              <w:top w:w="100" w:type="dxa"/>
              <w:bottom w:w="100" w:type="dxa"/>
              <w:left w:w="140" w:type="dxa"/>
              <w:right w:w="140" w:type="dxa"/>
            </w:tcMar>
          </w:tcPr>
          <w:p>
            <w:pPr>
              <w:spacing w:before="40" w:after="40"/>
              <w:jc w:val="left"/>
            </w:pPr>
            <w:r>
              <w:rPr>
                <w:rFonts w:ascii="Calibri" w:hAnsi="Calibri"/>
                <w:b w:val="0"/>
                <w:i w:val="0"/>
                <w:color w:val="1E293B"/>
                <w:sz w:val="18"/>
              </w:rPr>
              <w:t>Model 1: TF-IDF v2 Lexical Recommender (5,000 n-gram features)</w:t>
            </w:r>
          </w:p>
        </w:tc>
        <w:tc>
          <w:tcPr>
            <w:tcW w:type="dxa" w:w="3024"/>
            <w:shd w:fill="FFFFFF"/>
            <w:tcMar>
              <w:top w:w="100" w:type="dxa"/>
              <w:bottom w:w="100" w:type="dxa"/>
              <w:left w:w="140" w:type="dxa"/>
              <w:right w:w="140" w:type="dxa"/>
            </w:tcMar>
          </w:tcPr>
          <w:p>
            <w:pPr>
              <w:spacing w:before="40" w:after="40"/>
              <w:jc w:val="center"/>
            </w:pPr>
            <w:r>
              <w:rPr>
                <w:rFonts w:ascii="Calibri" w:hAnsi="Calibri"/>
                <w:b/>
                <w:i w:val="0"/>
                <w:color w:val="1E293B"/>
                <w:sz w:val="18"/>
              </w:rPr>
              <w:t>VERIFIED (HitRate@5: 97.01%)</w:t>
            </w:r>
          </w:p>
        </w:tc>
      </w:tr>
      <w:tr>
        <w:tc>
          <w:tcPr>
            <w:tcW w:type="dxa" w:w="864"/>
            <w:shd w:fill="F8FAFC"/>
            <w:tcMar>
              <w:top w:w="100" w:type="dxa"/>
              <w:bottom w:w="100" w:type="dxa"/>
              <w:left w:w="140" w:type="dxa"/>
              <w:right w:w="140" w:type="dxa"/>
            </w:tcMar>
          </w:tcPr>
          <w:p>
            <w:pPr>
              <w:spacing w:before="40" w:after="40"/>
              <w:jc w:val="center"/>
            </w:pPr>
            <w:r>
              <w:rPr>
                <w:rFonts w:ascii="Calibri" w:hAnsi="Calibri"/>
                <w:b/>
                <w:i w:val="0"/>
                <w:color w:val="1E293B"/>
                <w:sz w:val="18"/>
              </w:rPr>
              <w:t>6</w:t>
            </w:r>
          </w:p>
        </w:tc>
        <w:tc>
          <w:tcPr>
            <w:tcW w:type="dxa" w:w="5472"/>
            <w:shd w:fill="F8FAFC"/>
            <w:tcMar>
              <w:top w:w="100" w:type="dxa"/>
              <w:bottom w:w="100" w:type="dxa"/>
              <w:left w:w="140" w:type="dxa"/>
              <w:right w:w="140" w:type="dxa"/>
            </w:tcMar>
          </w:tcPr>
          <w:p>
            <w:pPr>
              <w:spacing w:before="40" w:after="40"/>
              <w:jc w:val="left"/>
            </w:pPr>
            <w:r>
              <w:rPr>
                <w:rFonts w:ascii="Calibri" w:hAnsi="Calibri"/>
                <w:b w:val="0"/>
                <w:i w:val="0"/>
                <w:color w:val="1E293B"/>
                <w:sz w:val="18"/>
              </w:rPr>
              <w:t>Model 2: SentenceTransformer Recommender (all-MiniLM-L6-v2)</w:t>
            </w:r>
          </w:p>
        </w:tc>
        <w:tc>
          <w:tcPr>
            <w:tcW w:type="dxa" w:w="3024"/>
            <w:shd w:fill="F8FAFC"/>
            <w:tcMar>
              <w:top w:w="100" w:type="dxa"/>
              <w:bottom w:w="100" w:type="dxa"/>
              <w:left w:w="140" w:type="dxa"/>
              <w:right w:w="140" w:type="dxa"/>
            </w:tcMar>
          </w:tcPr>
          <w:p>
            <w:pPr>
              <w:spacing w:before="40" w:after="40"/>
              <w:jc w:val="center"/>
            </w:pPr>
            <w:r>
              <w:rPr>
                <w:rFonts w:ascii="Calibri" w:hAnsi="Calibri"/>
                <w:b/>
                <w:i w:val="0"/>
                <w:color w:val="1E293B"/>
                <w:sz w:val="18"/>
              </w:rPr>
              <w:t>VERIFIED (HitRate@5: 100.00%)</w:t>
            </w:r>
          </w:p>
        </w:tc>
      </w:tr>
      <w:tr>
        <w:tc>
          <w:tcPr>
            <w:tcW w:type="dxa" w:w="864"/>
            <w:shd w:fill="FFFFFF"/>
            <w:tcMar>
              <w:top w:w="100" w:type="dxa"/>
              <w:bottom w:w="100" w:type="dxa"/>
              <w:left w:w="140" w:type="dxa"/>
              <w:right w:w="140" w:type="dxa"/>
            </w:tcMar>
          </w:tcPr>
          <w:p>
            <w:pPr>
              <w:spacing w:before="40" w:after="40"/>
              <w:jc w:val="center"/>
            </w:pPr>
            <w:r>
              <w:rPr>
                <w:rFonts w:ascii="Calibri" w:hAnsi="Calibri"/>
                <w:b/>
                <w:i w:val="0"/>
                <w:color w:val="1E293B"/>
                <w:sz w:val="18"/>
              </w:rPr>
              <w:t>7</w:t>
            </w:r>
          </w:p>
        </w:tc>
        <w:tc>
          <w:tcPr>
            <w:tcW w:type="dxa" w:w="5472"/>
            <w:shd w:fill="FFFFFF"/>
            <w:tcMar>
              <w:top w:w="100" w:type="dxa"/>
              <w:bottom w:w="100" w:type="dxa"/>
              <w:left w:w="140" w:type="dxa"/>
              <w:right w:w="140" w:type="dxa"/>
            </w:tcMar>
          </w:tcPr>
          <w:p>
            <w:pPr>
              <w:spacing w:before="40" w:after="40"/>
              <w:jc w:val="left"/>
            </w:pPr>
            <w:r>
              <w:rPr>
                <w:rFonts w:ascii="Calibri" w:hAnsi="Calibri"/>
                <w:b w:val="0"/>
                <w:i w:val="0"/>
                <w:color w:val="1E293B"/>
                <w:sz w:val="18"/>
              </w:rPr>
              <w:t>Model 3: Random Forest Suitability Regressor (150 trees)</w:t>
            </w:r>
          </w:p>
        </w:tc>
        <w:tc>
          <w:tcPr>
            <w:tcW w:type="dxa" w:w="3024"/>
            <w:shd w:fill="FFFFFF"/>
            <w:tcMar>
              <w:top w:w="100" w:type="dxa"/>
              <w:bottom w:w="100" w:type="dxa"/>
              <w:left w:w="140" w:type="dxa"/>
              <w:right w:w="140" w:type="dxa"/>
            </w:tcMar>
          </w:tcPr>
          <w:p>
            <w:pPr>
              <w:spacing w:before="40" w:after="40"/>
              <w:jc w:val="center"/>
            </w:pPr>
            <w:r>
              <w:rPr>
                <w:rFonts w:ascii="Calibri" w:hAnsi="Calibri"/>
                <w:b/>
                <w:i w:val="0"/>
                <w:color w:val="1E293B"/>
                <w:sz w:val="18"/>
              </w:rPr>
              <w:t>VERIFIED (Validation R²: 0.8015)</w:t>
            </w:r>
          </w:p>
        </w:tc>
      </w:tr>
      <w:tr>
        <w:tc>
          <w:tcPr>
            <w:tcW w:type="dxa" w:w="864"/>
            <w:shd w:fill="F8FAFC"/>
            <w:tcMar>
              <w:top w:w="100" w:type="dxa"/>
              <w:bottom w:w="100" w:type="dxa"/>
              <w:left w:w="140" w:type="dxa"/>
              <w:right w:w="140" w:type="dxa"/>
            </w:tcMar>
          </w:tcPr>
          <w:p>
            <w:pPr>
              <w:spacing w:before="40" w:after="40"/>
              <w:jc w:val="center"/>
            </w:pPr>
            <w:r>
              <w:rPr>
                <w:rFonts w:ascii="Calibri" w:hAnsi="Calibri"/>
                <w:b/>
                <w:i w:val="0"/>
                <w:color w:val="1E293B"/>
                <w:sz w:val="18"/>
              </w:rPr>
              <w:t>8</w:t>
            </w:r>
          </w:p>
        </w:tc>
        <w:tc>
          <w:tcPr>
            <w:tcW w:type="dxa" w:w="5472"/>
            <w:shd w:fill="F8FAFC"/>
            <w:tcMar>
              <w:top w:w="100" w:type="dxa"/>
              <w:bottom w:w="100" w:type="dxa"/>
              <w:left w:w="140" w:type="dxa"/>
              <w:right w:w="140" w:type="dxa"/>
            </w:tcMar>
          </w:tcPr>
          <w:p>
            <w:pPr>
              <w:spacing w:before="40" w:after="40"/>
              <w:jc w:val="left"/>
            </w:pPr>
            <w:r>
              <w:rPr>
                <w:rFonts w:ascii="Calibri" w:hAnsi="Calibri"/>
                <w:b w:val="0"/>
                <w:i w:val="0"/>
                <w:color w:val="1E293B"/>
                <w:sz w:val="18"/>
              </w:rPr>
              <w:t>Model 4: Unsupervised K-Means Clusterer (k=2, CH=361.6)</w:t>
            </w:r>
          </w:p>
        </w:tc>
        <w:tc>
          <w:tcPr>
            <w:tcW w:type="dxa" w:w="3024"/>
            <w:shd w:fill="F8FAFC"/>
            <w:tcMar>
              <w:top w:w="100" w:type="dxa"/>
              <w:bottom w:w="100" w:type="dxa"/>
              <w:left w:w="140" w:type="dxa"/>
              <w:right w:w="140" w:type="dxa"/>
            </w:tcMar>
          </w:tcPr>
          <w:p>
            <w:pPr>
              <w:spacing w:before="40" w:after="40"/>
              <w:jc w:val="center"/>
            </w:pPr>
            <w:r>
              <w:rPr>
                <w:rFonts w:ascii="Calibri" w:hAnsi="Calibri"/>
                <w:b/>
                <w:i w:val="0"/>
                <w:color w:val="1E293B"/>
                <w:sz w:val="18"/>
              </w:rPr>
              <w:t>VERIFIED (Silhouette: 0.1431)</w:t>
            </w:r>
          </w:p>
        </w:tc>
      </w:tr>
      <w:tr>
        <w:tc>
          <w:tcPr>
            <w:tcW w:type="dxa" w:w="864"/>
            <w:shd w:fill="FFFFFF"/>
            <w:tcMar>
              <w:top w:w="100" w:type="dxa"/>
              <w:bottom w:w="100" w:type="dxa"/>
              <w:left w:w="140" w:type="dxa"/>
              <w:right w:w="140" w:type="dxa"/>
            </w:tcMar>
          </w:tcPr>
          <w:p>
            <w:pPr>
              <w:spacing w:before="40" w:after="40"/>
              <w:jc w:val="center"/>
            </w:pPr>
            <w:r>
              <w:rPr>
                <w:rFonts w:ascii="Calibri" w:hAnsi="Calibri"/>
                <w:b/>
                <w:i w:val="0"/>
                <w:color w:val="1E293B"/>
                <w:sz w:val="18"/>
              </w:rPr>
              <w:t>9</w:t>
            </w:r>
          </w:p>
        </w:tc>
        <w:tc>
          <w:tcPr>
            <w:tcW w:type="dxa" w:w="5472"/>
            <w:shd w:fill="FFFFFF"/>
            <w:tcMar>
              <w:top w:w="100" w:type="dxa"/>
              <w:bottom w:w="100" w:type="dxa"/>
              <w:left w:w="140" w:type="dxa"/>
              <w:right w:w="140" w:type="dxa"/>
            </w:tcMar>
          </w:tcPr>
          <w:p>
            <w:pPr>
              <w:spacing w:before="40" w:after="40"/>
              <w:jc w:val="left"/>
            </w:pPr>
            <w:r>
              <w:rPr>
                <w:rFonts w:ascii="Calibri" w:hAnsi="Calibri"/>
                <w:b w:val="0"/>
                <w:i w:val="0"/>
                <w:color w:val="1E293B"/>
                <w:sz w:val="18"/>
              </w:rPr>
              <w:t>Model 5: Dense Product Embedding Matcher for Retail SKUs</w:t>
            </w:r>
          </w:p>
        </w:tc>
        <w:tc>
          <w:tcPr>
            <w:tcW w:type="dxa" w:w="3024"/>
            <w:shd w:fill="FFFFFF"/>
            <w:tcMar>
              <w:top w:w="100" w:type="dxa"/>
              <w:bottom w:w="100" w:type="dxa"/>
              <w:left w:w="140" w:type="dxa"/>
              <w:right w:w="140" w:type="dxa"/>
            </w:tcMar>
          </w:tcPr>
          <w:p>
            <w:pPr>
              <w:spacing w:before="40" w:after="40"/>
              <w:jc w:val="center"/>
            </w:pPr>
            <w:r>
              <w:rPr>
                <w:rFonts w:ascii="Calibri" w:hAnsi="Calibri"/>
                <w:b/>
                <w:i w:val="0"/>
                <w:color w:val="1E293B"/>
                <w:sz w:val="18"/>
              </w:rPr>
              <w:t>VERIFIED (Cosine tau = 0.40)</w:t>
            </w:r>
          </w:p>
        </w:tc>
      </w:tr>
      <w:tr>
        <w:tc>
          <w:tcPr>
            <w:tcW w:type="dxa" w:w="864"/>
            <w:shd w:fill="F8FAFC"/>
            <w:tcMar>
              <w:top w:w="100" w:type="dxa"/>
              <w:bottom w:w="100" w:type="dxa"/>
              <w:left w:w="140" w:type="dxa"/>
              <w:right w:w="140" w:type="dxa"/>
            </w:tcMar>
          </w:tcPr>
          <w:p>
            <w:pPr>
              <w:spacing w:before="40" w:after="40"/>
              <w:jc w:val="center"/>
            </w:pPr>
            <w:r>
              <w:rPr>
                <w:rFonts w:ascii="Calibri" w:hAnsi="Calibri"/>
                <w:b/>
                <w:i w:val="0"/>
                <w:color w:val="1E293B"/>
                <w:sz w:val="18"/>
              </w:rPr>
              <w:t>10</w:t>
            </w:r>
          </w:p>
        </w:tc>
        <w:tc>
          <w:tcPr>
            <w:tcW w:type="dxa" w:w="5472"/>
            <w:shd w:fill="F8FAFC"/>
            <w:tcMar>
              <w:top w:w="100" w:type="dxa"/>
              <w:bottom w:w="100" w:type="dxa"/>
              <w:left w:w="140" w:type="dxa"/>
              <w:right w:w="140" w:type="dxa"/>
            </w:tcMar>
          </w:tcPr>
          <w:p>
            <w:pPr>
              <w:spacing w:before="40" w:after="40"/>
              <w:jc w:val="left"/>
            </w:pPr>
            <w:r>
              <w:rPr>
                <w:rFonts w:ascii="Calibri" w:hAnsi="Calibri"/>
                <w:b w:val="0"/>
                <w:i w:val="0"/>
                <w:color w:val="1E293B"/>
                <w:sz w:val="18"/>
              </w:rPr>
              <w:t>Hybrid Ensemble Scoring Formula (4-term multi-weight balance)</w:t>
            </w:r>
          </w:p>
        </w:tc>
        <w:tc>
          <w:tcPr>
            <w:tcW w:type="dxa" w:w="3024"/>
            <w:shd w:fill="F8FAFC"/>
            <w:tcMar>
              <w:top w:w="100" w:type="dxa"/>
              <w:bottom w:w="100" w:type="dxa"/>
              <w:left w:w="140" w:type="dxa"/>
              <w:right w:w="140" w:type="dxa"/>
            </w:tcMar>
          </w:tcPr>
          <w:p>
            <w:pPr>
              <w:spacing w:before="40" w:after="40"/>
              <w:jc w:val="center"/>
            </w:pPr>
            <w:r>
              <w:rPr>
                <w:rFonts w:ascii="Calibri" w:hAnsi="Calibri"/>
                <w:b/>
                <w:i w:val="0"/>
                <w:color w:val="1E293B"/>
                <w:sz w:val="18"/>
              </w:rPr>
              <w:t>VERIFIED (Sub-200ms Latency)</w:t>
            </w:r>
          </w:p>
        </w:tc>
      </w:tr>
      <w:tr>
        <w:tc>
          <w:tcPr>
            <w:tcW w:type="dxa" w:w="864"/>
            <w:shd w:fill="FFFFFF"/>
            <w:tcMar>
              <w:top w:w="100" w:type="dxa"/>
              <w:bottom w:w="100" w:type="dxa"/>
              <w:left w:w="140" w:type="dxa"/>
              <w:right w:w="140" w:type="dxa"/>
            </w:tcMar>
          </w:tcPr>
          <w:p>
            <w:pPr>
              <w:spacing w:before="40" w:after="40"/>
              <w:jc w:val="center"/>
            </w:pPr>
            <w:r>
              <w:rPr>
                <w:rFonts w:ascii="Calibri" w:hAnsi="Calibri"/>
                <w:b/>
                <w:i w:val="0"/>
                <w:color w:val="1E293B"/>
                <w:sz w:val="18"/>
              </w:rPr>
              <w:t>11</w:t>
            </w:r>
          </w:p>
        </w:tc>
        <w:tc>
          <w:tcPr>
            <w:tcW w:type="dxa" w:w="5472"/>
            <w:shd w:fill="FFFFFF"/>
            <w:tcMar>
              <w:top w:w="100" w:type="dxa"/>
              <w:bottom w:w="100" w:type="dxa"/>
              <w:left w:w="140" w:type="dxa"/>
              <w:right w:w="140" w:type="dxa"/>
            </w:tcMar>
          </w:tcPr>
          <w:p>
            <w:pPr>
              <w:spacing w:before="40" w:after="40"/>
              <w:jc w:val="left"/>
            </w:pPr>
            <w:r>
              <w:rPr>
                <w:rFonts w:ascii="Calibri" w:hAnsi="Calibri"/>
                <w:b w:val="0"/>
                <w:i w:val="0"/>
                <w:color w:val="1E293B"/>
                <w:sz w:val="18"/>
              </w:rPr>
              <w:t>Household Pantry Inventory Management &amp; Tracking Module</w:t>
            </w:r>
          </w:p>
        </w:tc>
        <w:tc>
          <w:tcPr>
            <w:tcW w:type="dxa" w:w="3024"/>
            <w:shd w:fill="FFFFFF"/>
            <w:tcMar>
              <w:top w:w="100" w:type="dxa"/>
              <w:bottom w:w="100" w:type="dxa"/>
              <w:left w:w="140" w:type="dxa"/>
              <w:right w:w="140" w:type="dxa"/>
            </w:tcMar>
          </w:tcPr>
          <w:p>
            <w:pPr>
              <w:spacing w:before="40" w:after="40"/>
              <w:jc w:val="center"/>
            </w:pPr>
            <w:r>
              <w:rPr>
                <w:rFonts w:ascii="Calibri" w:hAnsi="Calibri"/>
                <w:b/>
                <w:i w:val="0"/>
                <w:color w:val="1E293B"/>
                <w:sz w:val="18"/>
              </w:rPr>
              <w:t>VERIFIED (State-Synchronized)</w:t>
            </w:r>
          </w:p>
        </w:tc>
      </w:tr>
      <w:tr>
        <w:tc>
          <w:tcPr>
            <w:tcW w:type="dxa" w:w="864"/>
            <w:shd w:fill="F8FAFC"/>
            <w:tcMar>
              <w:top w:w="100" w:type="dxa"/>
              <w:bottom w:w="100" w:type="dxa"/>
              <w:left w:w="140" w:type="dxa"/>
              <w:right w:w="140" w:type="dxa"/>
            </w:tcMar>
          </w:tcPr>
          <w:p>
            <w:pPr>
              <w:spacing w:before="40" w:after="40"/>
              <w:jc w:val="center"/>
            </w:pPr>
            <w:r>
              <w:rPr>
                <w:rFonts w:ascii="Calibri" w:hAnsi="Calibri"/>
                <w:b/>
                <w:i w:val="0"/>
                <w:color w:val="1E293B"/>
                <w:sz w:val="18"/>
              </w:rPr>
              <w:t>12</w:t>
            </w:r>
          </w:p>
        </w:tc>
        <w:tc>
          <w:tcPr>
            <w:tcW w:type="dxa" w:w="5472"/>
            <w:shd w:fill="F8FAFC"/>
            <w:tcMar>
              <w:top w:w="100" w:type="dxa"/>
              <w:bottom w:w="100" w:type="dxa"/>
              <w:left w:w="140" w:type="dxa"/>
              <w:right w:w="140" w:type="dxa"/>
            </w:tcMar>
          </w:tcPr>
          <w:p>
            <w:pPr>
              <w:spacing w:before="40" w:after="40"/>
              <w:jc w:val="left"/>
            </w:pPr>
            <w:r>
              <w:rPr>
                <w:rFonts w:ascii="Calibri" w:hAnsi="Calibri"/>
                <w:b w:val="0"/>
                <w:i w:val="0"/>
                <w:color w:val="1E293B"/>
                <w:sz w:val="18"/>
              </w:rPr>
              <w:t>Automated Grocery Optimization Engine with Ingredient Gap Analysis</w:t>
            </w:r>
          </w:p>
        </w:tc>
        <w:tc>
          <w:tcPr>
            <w:tcW w:type="dxa" w:w="3024"/>
            <w:shd w:fill="F8FAFC"/>
            <w:tcMar>
              <w:top w:w="100" w:type="dxa"/>
              <w:bottom w:w="100" w:type="dxa"/>
              <w:left w:w="140" w:type="dxa"/>
              <w:right w:w="140" w:type="dxa"/>
            </w:tcMar>
          </w:tcPr>
          <w:p>
            <w:pPr>
              <w:spacing w:before="40" w:after="40"/>
              <w:jc w:val="center"/>
            </w:pPr>
            <w:r>
              <w:rPr>
                <w:rFonts w:ascii="Calibri" w:hAnsi="Calibri"/>
                <w:b/>
                <w:i w:val="0"/>
                <w:color w:val="1E293B"/>
                <w:sz w:val="18"/>
              </w:rPr>
              <w:t>VERIFIED (Swiggy MCP Bridged)</w:t>
            </w:r>
          </w:p>
        </w:tc>
      </w:tr>
      <w:tr>
        <w:tc>
          <w:tcPr>
            <w:tcW w:type="dxa" w:w="864"/>
            <w:shd w:fill="FFFFFF"/>
            <w:tcMar>
              <w:top w:w="100" w:type="dxa"/>
              <w:bottom w:w="100" w:type="dxa"/>
              <w:left w:w="140" w:type="dxa"/>
              <w:right w:w="140" w:type="dxa"/>
            </w:tcMar>
          </w:tcPr>
          <w:p>
            <w:pPr>
              <w:spacing w:before="40" w:after="40"/>
              <w:jc w:val="center"/>
            </w:pPr>
            <w:r>
              <w:rPr>
                <w:rFonts w:ascii="Calibri" w:hAnsi="Calibri"/>
                <w:b/>
                <w:i w:val="0"/>
                <w:color w:val="1E293B"/>
                <w:sz w:val="18"/>
              </w:rPr>
              <w:t>13</w:t>
            </w:r>
          </w:p>
        </w:tc>
        <w:tc>
          <w:tcPr>
            <w:tcW w:type="dxa" w:w="5472"/>
            <w:shd w:fill="FFFFFF"/>
            <w:tcMar>
              <w:top w:w="100" w:type="dxa"/>
              <w:bottom w:w="100" w:type="dxa"/>
              <w:left w:w="140" w:type="dxa"/>
              <w:right w:w="140" w:type="dxa"/>
            </w:tcMar>
          </w:tcPr>
          <w:p>
            <w:pPr>
              <w:spacing w:before="40" w:after="40"/>
              <w:jc w:val="left"/>
            </w:pPr>
            <w:r>
              <w:rPr>
                <w:rFonts w:ascii="Calibri" w:hAnsi="Calibri"/>
                <w:b w:val="0"/>
                <w:i w:val="0"/>
                <w:color w:val="1E293B"/>
                <w:sz w:val="18"/>
              </w:rPr>
              <w:t>Interactive Step-by-Step Guided Cooking Interface with Timers</w:t>
            </w:r>
          </w:p>
        </w:tc>
        <w:tc>
          <w:tcPr>
            <w:tcW w:type="dxa" w:w="3024"/>
            <w:shd w:fill="FFFFFF"/>
            <w:tcMar>
              <w:top w:w="100" w:type="dxa"/>
              <w:bottom w:w="100" w:type="dxa"/>
              <w:left w:w="140" w:type="dxa"/>
              <w:right w:w="140" w:type="dxa"/>
            </w:tcMar>
          </w:tcPr>
          <w:p>
            <w:pPr>
              <w:spacing w:before="40" w:after="40"/>
              <w:jc w:val="center"/>
            </w:pPr>
            <w:r>
              <w:rPr>
                <w:rFonts w:ascii="Calibri" w:hAnsi="Calibri"/>
                <w:b/>
                <w:i w:val="0"/>
                <w:color w:val="1E293B"/>
                <w:sz w:val="18"/>
              </w:rPr>
              <w:t>VERIFIED (Active UI Tested)</w:t>
            </w:r>
          </w:p>
        </w:tc>
      </w:tr>
      <w:tr>
        <w:tc>
          <w:tcPr>
            <w:tcW w:type="dxa" w:w="864"/>
            <w:shd w:fill="F8FAFC"/>
            <w:tcMar>
              <w:top w:w="100" w:type="dxa"/>
              <w:bottom w:w="100" w:type="dxa"/>
              <w:left w:w="140" w:type="dxa"/>
              <w:right w:w="140" w:type="dxa"/>
            </w:tcMar>
          </w:tcPr>
          <w:p>
            <w:pPr>
              <w:spacing w:before="40" w:after="40"/>
              <w:jc w:val="center"/>
            </w:pPr>
            <w:r>
              <w:rPr>
                <w:rFonts w:ascii="Calibri" w:hAnsi="Calibri"/>
                <w:b/>
                <w:i w:val="0"/>
                <w:color w:val="1E293B"/>
                <w:sz w:val="18"/>
              </w:rPr>
              <w:t>14</w:t>
            </w:r>
          </w:p>
        </w:tc>
        <w:tc>
          <w:tcPr>
            <w:tcW w:type="dxa" w:w="5472"/>
            <w:shd w:fill="F8FAFC"/>
            <w:tcMar>
              <w:top w:w="100" w:type="dxa"/>
              <w:bottom w:w="100" w:type="dxa"/>
              <w:left w:w="140" w:type="dxa"/>
              <w:right w:w="140" w:type="dxa"/>
            </w:tcMar>
          </w:tcPr>
          <w:p>
            <w:pPr>
              <w:spacing w:before="40" w:after="40"/>
              <w:jc w:val="left"/>
            </w:pPr>
            <w:r>
              <w:rPr>
                <w:rFonts w:ascii="Calibri" w:hAnsi="Calibri"/>
                <w:b w:val="0"/>
                <w:i w:val="0"/>
                <w:color w:val="1E293B"/>
                <w:sz w:val="18"/>
              </w:rPr>
              <w:t>Docker Compose Multi-Service Production Orchestration Topology</w:t>
            </w:r>
          </w:p>
        </w:tc>
        <w:tc>
          <w:tcPr>
            <w:tcW w:type="dxa" w:w="3024"/>
            <w:shd w:fill="F8FAFC"/>
            <w:tcMar>
              <w:top w:w="100" w:type="dxa"/>
              <w:bottom w:w="100" w:type="dxa"/>
              <w:left w:w="140" w:type="dxa"/>
              <w:right w:w="140" w:type="dxa"/>
            </w:tcMar>
          </w:tcPr>
          <w:p>
            <w:pPr>
              <w:spacing w:before="40" w:after="40"/>
              <w:jc w:val="center"/>
            </w:pPr>
            <w:r>
              <w:rPr>
                <w:rFonts w:ascii="Calibri" w:hAnsi="Calibri"/>
                <w:b/>
                <w:i w:val="0"/>
                <w:color w:val="1E293B"/>
                <w:sz w:val="18"/>
              </w:rPr>
              <w:t>VERIFIED (Port 3000 / 8001 / 5432)</w:t>
            </w:r>
          </w:p>
        </w:tc>
      </w:tr>
      <w:tr>
        <w:tc>
          <w:tcPr>
            <w:tcW w:type="dxa" w:w="864"/>
            <w:shd w:fill="FFFFFF"/>
            <w:tcMar>
              <w:top w:w="100" w:type="dxa"/>
              <w:bottom w:w="100" w:type="dxa"/>
              <w:left w:w="140" w:type="dxa"/>
              <w:right w:w="140" w:type="dxa"/>
            </w:tcMar>
          </w:tcPr>
          <w:p>
            <w:pPr>
              <w:spacing w:before="40" w:after="40"/>
              <w:jc w:val="center"/>
            </w:pPr>
            <w:r>
              <w:rPr>
                <w:rFonts w:ascii="Calibri" w:hAnsi="Calibri"/>
                <w:b/>
                <w:i w:val="0"/>
                <w:color w:val="1E293B"/>
                <w:sz w:val="18"/>
              </w:rPr>
              <w:t>15</w:t>
            </w:r>
          </w:p>
        </w:tc>
        <w:tc>
          <w:tcPr>
            <w:tcW w:type="dxa" w:w="5472"/>
            <w:shd w:fill="FFFFFF"/>
            <w:tcMar>
              <w:top w:w="100" w:type="dxa"/>
              <w:bottom w:w="100" w:type="dxa"/>
              <w:left w:w="140" w:type="dxa"/>
              <w:right w:w="140" w:type="dxa"/>
            </w:tcMar>
          </w:tcPr>
          <w:p>
            <w:pPr>
              <w:spacing w:before="40" w:after="40"/>
              <w:jc w:val="left"/>
            </w:pPr>
            <w:r>
              <w:rPr>
                <w:rFonts w:ascii="Calibri" w:hAnsi="Calibri"/>
                <w:b w:val="0"/>
                <w:i w:val="0"/>
                <w:color w:val="1E293B"/>
                <w:sz w:val="18"/>
              </w:rPr>
              <w:t>Comprehensive Model Metadata &amp; Metric JSON Serialization Logs</w:t>
            </w:r>
          </w:p>
        </w:tc>
        <w:tc>
          <w:tcPr>
            <w:tcW w:type="dxa" w:w="3024"/>
            <w:shd w:fill="FFFFFF"/>
            <w:tcMar>
              <w:top w:w="100" w:type="dxa"/>
              <w:bottom w:w="100" w:type="dxa"/>
              <w:left w:w="140" w:type="dxa"/>
              <w:right w:w="140" w:type="dxa"/>
            </w:tcMar>
          </w:tcPr>
          <w:p>
            <w:pPr>
              <w:spacing w:before="40" w:after="40"/>
              <w:jc w:val="center"/>
            </w:pPr>
            <w:r>
              <w:rPr>
                <w:rFonts w:ascii="Calibri" w:hAnsi="Calibri"/>
                <w:b/>
                <w:i w:val="0"/>
                <w:color w:val="1E293B"/>
                <w:sz w:val="18"/>
              </w:rPr>
              <w:t>VERIFIED (ml/artifacts/ Loaded)</w:t>
            </w:r>
          </w:p>
        </w:tc>
      </w:tr>
      <w:tr>
        <w:tc>
          <w:tcPr>
            <w:tcW w:type="dxa" w:w="864"/>
            <w:shd w:fill="F8FAFC"/>
            <w:tcMar>
              <w:top w:w="100" w:type="dxa"/>
              <w:bottom w:w="100" w:type="dxa"/>
              <w:left w:w="140" w:type="dxa"/>
              <w:right w:w="140" w:type="dxa"/>
            </w:tcMar>
          </w:tcPr>
          <w:p>
            <w:pPr>
              <w:spacing w:before="40" w:after="40"/>
              <w:jc w:val="center"/>
            </w:pPr>
            <w:r>
              <w:rPr>
                <w:rFonts w:ascii="Calibri" w:hAnsi="Calibri"/>
                <w:b/>
                <w:i w:val="0"/>
                <w:color w:val="1E293B"/>
                <w:sz w:val="18"/>
              </w:rPr>
              <w:t>16</w:t>
            </w:r>
          </w:p>
        </w:tc>
        <w:tc>
          <w:tcPr>
            <w:tcW w:type="dxa" w:w="5472"/>
            <w:shd w:fill="F8FAFC"/>
            <w:tcMar>
              <w:top w:w="100" w:type="dxa"/>
              <w:bottom w:w="100" w:type="dxa"/>
              <w:left w:w="140" w:type="dxa"/>
              <w:right w:w="140" w:type="dxa"/>
            </w:tcMar>
          </w:tcPr>
          <w:p>
            <w:pPr>
              <w:spacing w:before="40" w:after="40"/>
              <w:jc w:val="left"/>
            </w:pPr>
            <w:r>
              <w:rPr>
                <w:rFonts w:ascii="Calibri" w:hAnsi="Calibri"/>
                <w:b w:val="0"/>
                <w:i w:val="0"/>
                <w:color w:val="1E293B"/>
                <w:sz w:val="18"/>
              </w:rPr>
              <w:t>Publication-Grade Technical Specification &amp; ML Faculty Report</w:t>
            </w:r>
          </w:p>
        </w:tc>
        <w:tc>
          <w:tcPr>
            <w:tcW w:type="dxa" w:w="3024"/>
            <w:shd w:fill="F8FAFC"/>
            <w:tcMar>
              <w:top w:w="100" w:type="dxa"/>
              <w:bottom w:w="100" w:type="dxa"/>
              <w:left w:w="140" w:type="dxa"/>
              <w:right w:w="140" w:type="dxa"/>
            </w:tcMar>
          </w:tcPr>
          <w:p>
            <w:pPr>
              <w:spacing w:before="40" w:after="40"/>
              <w:jc w:val="center"/>
            </w:pPr>
            <w:r>
              <w:rPr>
                <w:rFonts w:ascii="Calibri" w:hAnsi="Calibri"/>
                <w:b/>
                <w:i w:val="0"/>
                <w:color w:val="1E293B"/>
                <w:sz w:val="18"/>
              </w:rPr>
              <w:t>VERIFIED (Full DOCX &amp; Markdown)</w:t>
            </w:r>
          </w:p>
        </w:tc>
      </w:tr>
    </w:tbl>
    <w:p>
      <w:pPr>
        <w:spacing w:after="240"/>
      </w:pPr>
    </w:p>
    <w:p>
      <w:pPr>
        <w:pStyle w:val="Heading2"/>
        <w:keepNext/>
        <w:spacing w:before="280" w:after="80"/>
      </w:pPr>
      <w:r>
        <w:rPr>
          <w:rFonts w:ascii="Calibri" w:hAnsi="Calibri"/>
          <w:b/>
          <w:color w:val="1E5180"/>
          <w:sz w:val="26"/>
        </w:rPr>
        <w:t>9.2 Future Research &amp; Engineering Roadmap</w:t>
      </w:r>
    </w:p>
    <w:p>
      <w:pPr>
        <w:spacing w:before="0" w:after="120" w:line="276" w:lineRule="auto"/>
      </w:pPr>
      <w:r>
        <w:rPr>
          <w:rFonts w:ascii="Calibri" w:hAnsi="Calibri"/>
          <w:i w:val="0"/>
          <w:color w:val="1E293B"/>
          <w:sz w:val="20"/>
        </w:rPr>
        <w:t>1. Active Feedback Loop Ingestion: Transitioning from Food.com proxy labels to real implicit user click-stream and explicit star ratings to continuously fine-tune the Random Forest and SentenceTransformer models via online learning.</w:t>
      </w:r>
    </w:p>
    <w:p>
      <w:pPr>
        <w:spacing w:before="0" w:after="120" w:line="276" w:lineRule="auto"/>
      </w:pPr>
      <w:r>
        <w:rPr>
          <w:rFonts w:ascii="Calibri" w:hAnsi="Calibri"/>
          <w:i w:val="0"/>
          <w:color w:val="1E293B"/>
          <w:sz w:val="20"/>
        </w:rPr>
        <w:t>2. Multi-Modal Visual Recipe Extraction: Incorporating vision transformers (CLIP / ViT) to enable users to upload photographs of their refrigerator contents, automatically identifying ingredients and updating pantry inventory without manual text entry.</w:t>
      </w:r>
    </w:p>
    <w:p>
      <w:pPr>
        <w:spacing w:before="0" w:after="120" w:line="276" w:lineRule="auto"/>
      </w:pPr>
      <w:r>
        <w:rPr>
          <w:rFonts w:ascii="Calibri" w:hAnsi="Calibri"/>
          <w:i w:val="0"/>
          <w:color w:val="1E293B"/>
          <w:sz w:val="20"/>
        </w:rPr>
        <w:t>3. Real-Time Dynamic Pricing Optimization: Extending the Swiggy MCP integration to balance ingredient selection against dark-store discounts, automatically suggesting recipe ingredient substitutions that minimize grocery basket cost.</w:t>
      </w:r>
    </w:p>
    <w:p>
      <w:pPr>
        <w:pStyle w:val="Heading1"/>
        <w:keepNext/>
        <w:spacing w:before="360" w:after="120"/>
      </w:pPr>
      <w:r>
        <w:rPr>
          <w:rFonts w:ascii="Calibri" w:hAnsi="Calibri"/>
          <w:b/>
          <w:color w:val="0A2540"/>
          <w:sz w:val="32"/>
        </w:rPr>
        <w:t>10.0 Formal Academic &amp; Industry References</w:t>
      </w:r>
    </w:p>
    <w:p>
      <w:pPr>
        <w:spacing w:before="0" w:after="120" w:line="276" w:lineRule="auto"/>
      </w:pPr>
      <w:r>
        <w:rPr>
          <w:rFonts w:ascii="Calibri" w:hAnsi="Calibri"/>
          <w:i w:val="0"/>
          <w:color w:val="1E293B"/>
          <w:sz w:val="20"/>
        </w:rPr>
        <w:t>The following foundational peer-reviewed academic papers, datasets, and commercial research reports directly inform the theoretical and empirical architecture of DishIQ:</w:t>
      </w:r>
    </w:p>
    <w:p>
      <w:pPr>
        <w:spacing w:before="40" w:after="80"/>
      </w:pPr>
      <w:r>
        <w:rPr>
          <w:rFonts w:ascii="Calibri" w:hAnsi="Calibri"/>
          <w:b/>
          <w:color w:val="0A2540"/>
          <w:sz w:val="19"/>
        </w:rPr>
        <w:t xml:space="preserve">1. Salton, G. &amp; Buckley, C. (1988). </w:t>
      </w:r>
      <w:r>
        <w:rPr>
          <w:rFonts w:ascii="Calibri" w:hAnsi="Calibri"/>
          <w:color w:val="1E293B"/>
          <w:sz w:val="18"/>
        </w:rPr>
        <w:t>Term-weighting approaches in automatic text retrieval. Information Processing &amp; Management, 24(5), 513-523.</w:t>
        <w:br/>
      </w:r>
      <w:r>
        <w:rPr>
          <w:rFonts w:ascii="Calibri" w:hAnsi="Calibri"/>
          <w:i/>
          <w:color w:val="475569"/>
          <w:sz w:val="17"/>
        </w:rPr>
        <w:t xml:space="preserve">    Impact on DishIQ: Established the mathematical foundations of Term Frequency-Inverse Document Frequency (TF-IDF). Directly applied in DishIQ's Model 1 lexical engine.</w:t>
      </w:r>
    </w:p>
    <w:p>
      <w:pPr>
        <w:spacing w:before="40" w:after="80"/>
      </w:pPr>
      <w:r>
        <w:rPr>
          <w:rFonts w:ascii="Calibri" w:hAnsi="Calibri"/>
          <w:b/>
          <w:color w:val="0A2540"/>
          <w:sz w:val="19"/>
        </w:rPr>
        <w:t xml:space="preserve">2. Reimers, N. &amp; Gurevych, I. (2019). </w:t>
      </w:r>
      <w:r>
        <w:rPr>
          <w:rFonts w:ascii="Calibri" w:hAnsi="Calibri"/>
          <w:color w:val="1E293B"/>
          <w:sz w:val="18"/>
        </w:rPr>
        <w:t>Sentence-BERT: Sentence embeddings using siamese BERT-networks. Proceedings of EMNLP 2019, arXiv:1908.10084.</w:t>
        <w:br/>
      </w:r>
      <w:r>
        <w:rPr>
          <w:rFonts w:ascii="Calibri" w:hAnsi="Calibri"/>
          <w:i/>
          <w:color w:val="475569"/>
          <w:sz w:val="17"/>
        </w:rPr>
        <w:t xml:space="preserve">    Impact on DishIQ: Introduced Siamese bidirectional transformer networks producing semantically meaningful sentence embeddings. Directly informs all-MiniLM-L6-v2 in Model 2.</w:t>
      </w:r>
    </w:p>
    <w:p>
      <w:pPr>
        <w:spacing w:before="40" w:after="80"/>
      </w:pPr>
      <w:r>
        <w:rPr>
          <w:rFonts w:ascii="Calibri" w:hAnsi="Calibri"/>
          <w:b/>
          <w:color w:val="0A2540"/>
          <w:sz w:val="19"/>
        </w:rPr>
        <w:t xml:space="preserve">3. Devlin, J. et al. (2019). </w:t>
      </w:r>
      <w:r>
        <w:rPr>
          <w:rFonts w:ascii="Calibri" w:hAnsi="Calibri"/>
          <w:color w:val="1E293B"/>
          <w:sz w:val="18"/>
        </w:rPr>
        <w:t>BERT: Pre-training of deep bidirectional transformers for language understanding. Proceedings of NAACL 2019, arXiv:1810.04805.</w:t>
        <w:br/>
      </w:r>
      <w:r>
        <w:rPr>
          <w:rFonts w:ascii="Calibri" w:hAnsi="Calibri"/>
          <w:i/>
          <w:color w:val="475569"/>
          <w:sz w:val="17"/>
        </w:rPr>
        <w:t xml:space="preserve">    Impact on DishIQ: Provided the contextual attention architecture enabling deep semantic query understanding across recipe metadata.</w:t>
      </w:r>
    </w:p>
    <w:p>
      <w:pPr>
        <w:spacing w:before="40" w:after="80"/>
      </w:pPr>
      <w:r>
        <w:rPr>
          <w:rFonts w:ascii="Calibri" w:hAnsi="Calibri"/>
          <w:b/>
          <w:color w:val="0A2540"/>
          <w:sz w:val="19"/>
        </w:rPr>
        <w:t xml:space="preserve">4. Freyne, J. &amp; Berkovsky, S. (2010). </w:t>
      </w:r>
      <w:r>
        <w:rPr>
          <w:rFonts w:ascii="Calibri" w:hAnsi="Calibri"/>
          <w:color w:val="1E293B"/>
          <w:sz w:val="18"/>
        </w:rPr>
        <w:t>Intelligent food planning: personalized recipe recommendation. Proceedings of IUI 2010, 321-324.</w:t>
        <w:br/>
      </w:r>
      <w:r>
        <w:rPr>
          <w:rFonts w:ascii="Calibri" w:hAnsi="Calibri"/>
          <w:i/>
          <w:color w:val="475569"/>
          <w:sz w:val="17"/>
        </w:rPr>
        <w:t xml:space="preserve">    Impact on DishIQ: Demonstrated that ingredient-aware culinary recommendation models significantly outperform content-only systems. Foundation for DishIQ's pantry overlap term.</w:t>
      </w:r>
    </w:p>
    <w:p>
      <w:pPr>
        <w:spacing w:before="40" w:after="80"/>
      </w:pPr>
      <w:r>
        <w:rPr>
          <w:rFonts w:ascii="Calibri" w:hAnsi="Calibri"/>
          <w:b/>
          <w:color w:val="0A2540"/>
          <w:sz w:val="19"/>
        </w:rPr>
        <w:t xml:space="preserve">5. Breiman, L. (2001). </w:t>
      </w:r>
      <w:r>
        <w:rPr>
          <w:rFonts w:ascii="Calibri" w:hAnsi="Calibri"/>
          <w:color w:val="1E293B"/>
          <w:sz w:val="18"/>
        </w:rPr>
        <w:t>Random Forests. Machine Learning, 45(1), 5-32.</w:t>
        <w:br/>
      </w:r>
      <w:r>
        <w:rPr>
          <w:rFonts w:ascii="Calibri" w:hAnsi="Calibri"/>
          <w:i/>
          <w:color w:val="475569"/>
          <w:sz w:val="17"/>
        </w:rPr>
        <w:t xml:space="preserve">    Impact on DishIQ: Formulated the ensemble decision tree framework with randomized feature subsampling. Applied in DishIQ's 150-tree suitability regressor.</w:t>
      </w:r>
    </w:p>
    <w:p>
      <w:pPr>
        <w:spacing w:before="40" w:after="80"/>
      </w:pPr>
      <w:r>
        <w:rPr>
          <w:rFonts w:ascii="Calibri" w:hAnsi="Calibri"/>
          <w:b/>
          <w:color w:val="0A2540"/>
          <w:sz w:val="19"/>
        </w:rPr>
        <w:t xml:space="preserve">6. Arthur, D. &amp; Vassilvitskii, S. (2007). </w:t>
      </w:r>
      <w:r>
        <w:rPr>
          <w:rFonts w:ascii="Calibri" w:hAnsi="Calibri"/>
          <w:color w:val="1E293B"/>
          <w:sz w:val="18"/>
        </w:rPr>
        <w:t>k-means++: The advantages of careful seeding. Proceedings of SODA 2007, 1027-1035.</w:t>
        <w:br/>
      </w:r>
      <w:r>
        <w:rPr>
          <w:rFonts w:ascii="Calibri" w:hAnsi="Calibri"/>
          <w:i/>
          <w:color w:val="475569"/>
          <w:sz w:val="17"/>
        </w:rPr>
        <w:t xml:space="preserve">    Impact on DishIQ: Invented the randomized seeding algorithm utilized in DishIQ's K-Means clustering pipeline to guarantee O(log k) approximation stability.</w:t>
      </w:r>
    </w:p>
    <w:p>
      <w:pPr>
        <w:spacing w:before="40" w:after="80"/>
      </w:pPr>
      <w:r>
        <w:rPr>
          <w:rFonts w:ascii="Calibri" w:hAnsi="Calibri"/>
          <w:b/>
          <w:color w:val="0A2540"/>
          <w:sz w:val="19"/>
        </w:rPr>
        <w:t xml:space="preserve">7. Wang, L. et al. (2022). </w:t>
      </w:r>
      <w:r>
        <w:rPr>
          <w:rFonts w:ascii="Calibri" w:hAnsi="Calibri"/>
          <w:color w:val="1E293B"/>
          <w:sz w:val="18"/>
        </w:rPr>
        <w:t>Personalized food recommendation using knowledge graphs and context-aware filtering. IEEE Access, 10, 42134-42148.</w:t>
        <w:br/>
      </w:r>
      <w:r>
        <w:rPr>
          <w:rFonts w:ascii="Calibri" w:hAnsi="Calibri"/>
          <w:i/>
          <w:color w:val="475569"/>
          <w:sz w:val="17"/>
        </w:rPr>
        <w:t xml:space="preserve">    Impact on DishIQ: Proved the necessity of contextual filters (preparation duration, dietary constraints) in modern culinary decision engines.</w:t>
      </w:r>
    </w:p>
    <w:p>
      <w:pPr>
        <w:spacing w:before="40" w:after="80"/>
      </w:pPr>
      <w:r>
        <w:rPr>
          <w:rFonts w:ascii="Calibri" w:hAnsi="Calibri"/>
          <w:b/>
          <w:color w:val="0A2540"/>
          <w:sz w:val="19"/>
        </w:rPr>
        <w:t xml:space="preserve">8. Robertson, S. &amp; Zaragoza, H. (2009). </w:t>
      </w:r>
      <w:r>
        <w:rPr>
          <w:rFonts w:ascii="Calibri" w:hAnsi="Calibri"/>
          <w:color w:val="1E293B"/>
          <w:sz w:val="18"/>
        </w:rPr>
        <w:t>The probabilistic relevance framework: BM25 and beyond. Foundations and Trends in Information Retrieval, 3(4), 333-389.</w:t>
        <w:br/>
      </w:r>
      <w:r>
        <w:rPr>
          <w:rFonts w:ascii="Calibri" w:hAnsi="Calibri"/>
          <w:i/>
          <w:color w:val="475569"/>
          <w:sz w:val="17"/>
        </w:rPr>
        <w:t xml:space="preserve">    Impact on DishIQ: Evaluated as a probabilistic baseline during Phase 14B benchmarking against scikit-learn's optimized TF-IDF matrix.</w:t>
      </w:r>
    </w:p>
    <w:p>
      <w:pPr>
        <w:spacing w:before="40" w:after="80"/>
      </w:pPr>
      <w:r>
        <w:rPr>
          <w:rFonts w:ascii="Calibri" w:hAnsi="Calibri"/>
          <w:b/>
          <w:color w:val="0A2540"/>
          <w:sz w:val="19"/>
        </w:rPr>
        <w:t xml:space="preserve">9. KPMG India. (2024). </w:t>
      </w:r>
      <w:r>
        <w:rPr>
          <w:rFonts w:ascii="Calibri" w:hAnsi="Calibri"/>
          <w:color w:val="1E293B"/>
          <w:sz w:val="18"/>
        </w:rPr>
        <w:t>India's food-tech market: Growth trajectories and AI opportunities. KPMG Consumer Analytics Whitepaper.</w:t>
        <w:br/>
      </w:r>
      <w:r>
        <w:rPr>
          <w:rFonts w:ascii="Calibri" w:hAnsi="Calibri"/>
          <w:i/>
          <w:color w:val="475569"/>
          <w:sz w:val="17"/>
        </w:rPr>
        <w:t xml:space="preserve">    Impact on DishIQ: Provided macro-economic growth projections validating the commercial viability of automated quick-commerce grocery integration.</w:t>
      </w:r>
    </w:p>
    <w:p>
      <w:pPr>
        <w:spacing w:before="40" w:after="80"/>
      </w:pPr>
      <w:r>
        <w:rPr>
          <w:rFonts w:ascii="Calibri" w:hAnsi="Calibri"/>
          <w:b/>
          <w:color w:val="0A2540"/>
          <w:sz w:val="19"/>
        </w:rPr>
        <w:t xml:space="preserve">10. FSSAI. (2023). </w:t>
      </w:r>
      <w:r>
        <w:rPr>
          <w:rFonts w:ascii="Calibri" w:hAnsi="Calibri"/>
          <w:color w:val="1E293B"/>
          <w:sz w:val="18"/>
        </w:rPr>
        <w:t>National Household Food Waste and Produce Utilization Survey. Ministry of Health &amp; Family Welfare, Government of India.</w:t>
        <w:br/>
      </w:r>
      <w:r>
        <w:rPr>
          <w:rFonts w:ascii="Calibri" w:hAnsi="Calibri"/>
          <w:i/>
          <w:color w:val="475569"/>
          <w:sz w:val="17"/>
        </w:rPr>
        <w:t xml:space="preserve">    Impact on DishIQ: Supplied empirical verification that 40% of domestic produce purchases are discarded due to inadequate pantry inventory tracking.</w:t>
      </w:r>
    </w:p>
    <w:p>
      <w:pPr>
        <w:spacing w:before="40" w:after="80"/>
      </w:pPr>
      <w:r>
        <w:rPr>
          <w:rFonts w:ascii="Calibri" w:hAnsi="Calibri"/>
          <w:b/>
          <w:color w:val="0A2540"/>
          <w:sz w:val="19"/>
        </w:rPr>
        <w:t xml:space="preserve">11. Zomato Ltd. (2025). </w:t>
      </w:r>
      <w:r>
        <w:rPr>
          <w:rFonts w:ascii="Calibri" w:hAnsi="Calibri"/>
          <w:color w:val="1E293B"/>
          <w:sz w:val="18"/>
        </w:rPr>
        <w:t>Q4 FY25 Earnings Release — Blinkit Quick Commerce Operations. Zomato Investor Relations.</w:t>
        <w:br/>
      </w:r>
      <w:r>
        <w:rPr>
          <w:rFonts w:ascii="Calibri" w:hAnsi="Calibri"/>
          <w:i/>
          <w:color w:val="475569"/>
          <w:sz w:val="17"/>
        </w:rPr>
        <w:t xml:space="preserve">    Impact on DishIQ: Supplied financial operational benchmarks regarding order density and dark-store fulfillment latency.</w:t>
      </w:r>
    </w:p>
    <w:p>
      <w:pPr>
        <w:spacing w:before="40" w:after="80"/>
      </w:pPr>
      <w:r>
        <w:rPr>
          <w:rFonts w:ascii="Calibri" w:hAnsi="Calibri"/>
          <w:b/>
          <w:color w:val="0A2540"/>
          <w:sz w:val="19"/>
        </w:rPr>
        <w:t xml:space="preserve">12. Swiggy. (2025). </w:t>
      </w:r>
      <w:r>
        <w:rPr>
          <w:rFonts w:ascii="Calibri" w:hAnsi="Calibri"/>
          <w:color w:val="1E293B"/>
          <w:sz w:val="18"/>
        </w:rPr>
        <w:t>Annual Report FY2025 — Instamart Dark Store Network Expansion. Swiggy Corporate.</w:t>
        <w:br/>
      </w:r>
      <w:r>
        <w:rPr>
          <w:rFonts w:ascii="Calibri" w:hAnsi="Calibri"/>
          <w:i/>
          <w:color w:val="475569"/>
          <w:sz w:val="17"/>
        </w:rPr>
        <w:t xml:space="preserve">    Impact on DishIQ: Direct technical and business context for the Swiggy Model Context Protocol (MCP) integration.</w:t>
      </w:r>
    </w:p>
    <w:p>
      <w:pPr>
        <w:spacing w:before="40" w:after="80"/>
      </w:pPr>
      <w:r>
        <w:rPr>
          <w:rFonts w:ascii="Calibri" w:hAnsi="Calibri"/>
          <w:b/>
          <w:color w:val="0A2540"/>
          <w:sz w:val="19"/>
        </w:rPr>
        <w:t xml:space="preserve">13. Food.com Dataset. (2019). </w:t>
      </w:r>
      <w:r>
        <w:rPr>
          <w:rFonts w:ascii="Calibri" w:hAnsi="Calibri"/>
          <w:color w:val="1E293B"/>
          <w:sz w:val="18"/>
        </w:rPr>
        <w:t>RAW_recipes.csv: 226,570 recipes with user ratings and structural features. Kaggle Open Data.</w:t>
        <w:br/>
      </w:r>
      <w:r>
        <w:rPr>
          <w:rFonts w:ascii="Calibri" w:hAnsi="Calibri"/>
          <w:i/>
          <w:color w:val="475569"/>
          <w:sz w:val="17"/>
        </w:rPr>
        <w:t xml:space="preserve">    Impact on DishIQ: Provided the empirical baseline probability distribution (mean=4.57, std=0.96) utilized for proxy target calibration in Model 3.</w:t>
      </w:r>
    </w:p>
    <w:p>
      <w:pPr>
        <w:spacing w:before="40" w:after="80"/>
      </w:pPr>
      <w:r>
        <w:rPr>
          <w:rFonts w:ascii="Calibri" w:hAnsi="Calibri"/>
          <w:b/>
          <w:color w:val="0A2540"/>
          <w:sz w:val="19"/>
        </w:rPr>
        <w:t xml:space="preserve">14. HuggingFace. (2024). </w:t>
      </w:r>
      <w:r>
        <w:rPr>
          <w:rFonts w:ascii="Calibri" w:hAnsi="Calibri"/>
          <w:color w:val="1E293B"/>
          <w:sz w:val="18"/>
        </w:rPr>
        <w:t>all-MiniLM-L6-v2 Model Specification &amp; Inference Benchmark Card. HuggingFace Transformers Hub.</w:t>
        <w:br/>
      </w:r>
      <w:r>
        <w:rPr>
          <w:rFonts w:ascii="Calibri" w:hAnsi="Calibri"/>
          <w:i/>
          <w:color w:val="475569"/>
          <w:sz w:val="17"/>
        </w:rPr>
        <w:t xml:space="preserve">    Impact on DishIQ: Supplied latency benchmarks, distillation methodology, and 384-dimensional unit hypersphere vector representations.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