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78A9" w14:textId="48075975"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t>Methodology</w:t>
      </w:r>
    </w:p>
    <w:p w14:paraId="778FF9AD" w14:textId="77777777" w:rsidR="00944429" w:rsidRPr="00B07B26" w:rsidRDefault="00944429" w:rsidP="00944429">
      <w:pPr>
        <w:pStyle w:val="NormalWeb"/>
        <w:spacing w:line="360" w:lineRule="auto"/>
        <w:jc w:val="both"/>
        <w:rPr>
          <w:lang w:val="en-US"/>
        </w:rPr>
      </w:pPr>
      <w:r w:rsidRPr="00B07B26">
        <w:rPr>
          <w:lang w:val="en-US"/>
        </w:rPr>
        <w:t>This section describes how we compare lead</w:t>
      </w:r>
      <w:r w:rsidRPr="00B07B26">
        <w:rPr>
          <w:lang w:val="en-US"/>
        </w:rPr>
        <w:noBreakHyphen/>
        <w:t>acid and lithium</w:t>
      </w:r>
      <w:r w:rsidRPr="00B07B26">
        <w:rPr>
          <w:lang w:val="en-US"/>
        </w:rPr>
        <w:noBreakHyphen/>
        <w:t>ion batteries for informal e</w:t>
      </w:r>
      <w:r w:rsidRPr="00B07B26">
        <w:rPr>
          <w:lang w:val="en-US"/>
        </w:rPr>
        <w:noBreakHyphen/>
        <w:t>mobility in Bangladesh. The analysis combines a total cost of ownership (TCO) model that includes scrap value, a temperature</w:t>
      </w:r>
      <w:r w:rsidRPr="00B07B26">
        <w:rPr>
          <w:lang w:val="en-US"/>
        </w:rPr>
        <w:noBreakHyphen/>
        <w:t>dependent degradation and lifetime model, and a set of operating and policy scenarios.</w:t>
      </w:r>
    </w:p>
    <w:p w14:paraId="0F2D2A9E" w14:textId="77777777"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t>3.1. Study System Boundary and Functional Unit</w:t>
      </w:r>
    </w:p>
    <w:p w14:paraId="52C89C81" w14:textId="77777777" w:rsidR="00944429" w:rsidRPr="00944429" w:rsidRDefault="00944429" w:rsidP="00944429">
      <w:pPr>
        <w:jc w:val="both"/>
        <w:rPr>
          <w:rFonts w:ascii="Times New Roman" w:hAnsi="Times New Roman" w:cs="Times New Roman"/>
        </w:rPr>
      </w:pPr>
      <w:r w:rsidRPr="00944429">
        <w:rPr>
          <w:rFonts w:ascii="Times New Roman" w:hAnsi="Times New Roman" w:cs="Times New Roman"/>
        </w:rPr>
        <w:t xml:space="preserve">The study focuses on the </w:t>
      </w:r>
      <w:r w:rsidRPr="00944429">
        <w:rPr>
          <w:rFonts w:ascii="Times New Roman" w:hAnsi="Times New Roman" w:cs="Times New Roman"/>
          <w:b/>
          <w:bCs/>
        </w:rPr>
        <w:t>informal e-mobility sector in Bangladesh</w:t>
      </w:r>
      <w:r w:rsidRPr="00944429">
        <w:rPr>
          <w:rFonts w:ascii="Times New Roman" w:hAnsi="Times New Roman" w:cs="Times New Roman"/>
        </w:rPr>
        <w:t xml:space="preserve">, specifically "easybikes" (small three-wheelers). To ensure comparability with international literature, the </w:t>
      </w:r>
      <w:r w:rsidRPr="007B7DF4">
        <w:rPr>
          <w:rFonts w:ascii="Times New Roman" w:hAnsi="Times New Roman" w:cs="Times New Roman"/>
          <w:b/>
          <w:bCs/>
          <w:highlight w:val="yellow"/>
        </w:rPr>
        <w:t>functional unit</w:t>
      </w:r>
      <w:r w:rsidRPr="007B7DF4">
        <w:rPr>
          <w:rFonts w:ascii="Times New Roman" w:hAnsi="Times New Roman" w:cs="Times New Roman"/>
          <w:highlight w:val="yellow"/>
        </w:rPr>
        <w:t xml:space="preserve"> is defined as </w:t>
      </w:r>
      <w:r w:rsidRPr="007B7DF4">
        <w:rPr>
          <w:rFonts w:ascii="Times New Roman" w:hAnsi="Times New Roman" w:cs="Times New Roman"/>
          <w:b/>
          <w:bCs/>
          <w:highlight w:val="yellow"/>
        </w:rPr>
        <w:t>1 km of passenger transport</w:t>
      </w:r>
      <w:r w:rsidRPr="007B7DF4">
        <w:rPr>
          <w:rFonts w:ascii="Times New Roman" w:hAnsi="Times New Roman" w:cs="Times New Roman"/>
          <w:highlight w:val="yellow"/>
        </w:rPr>
        <w:t xml:space="preserve"> and </w:t>
      </w:r>
      <w:r w:rsidRPr="007B7DF4">
        <w:rPr>
          <w:rFonts w:ascii="Times New Roman" w:hAnsi="Times New Roman" w:cs="Times New Roman"/>
          <w:b/>
          <w:bCs/>
          <w:highlight w:val="yellow"/>
        </w:rPr>
        <w:t>1 kWh of nominal battery capacity</w:t>
      </w:r>
      <w:r w:rsidRPr="00944429">
        <w:rPr>
          <w:rFonts w:ascii="Times New Roman" w:hAnsi="Times New Roman" w:cs="Times New Roman"/>
        </w:rPr>
        <w:t>. We compare traditional deep-cycle Lead-Acid (LA) batteries with Lithium-Iron-Phosphate (LFP) Li-ion batteries.</w:t>
      </w:r>
    </w:p>
    <w:p w14:paraId="7528E809" w14:textId="77777777"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t>3.2. Integrated Thermal-Chemical Degradation Model</w:t>
      </w:r>
    </w:p>
    <w:p w14:paraId="3D5AA60B" w14:textId="77777777" w:rsidR="00944429" w:rsidRPr="00944429" w:rsidRDefault="00944429" w:rsidP="00944429">
      <w:pPr>
        <w:jc w:val="both"/>
        <w:rPr>
          <w:rFonts w:ascii="Times New Roman" w:hAnsi="Times New Roman" w:cs="Times New Roman"/>
        </w:rPr>
      </w:pPr>
      <w:r w:rsidRPr="00944429">
        <w:rPr>
          <w:rFonts w:ascii="Times New Roman" w:hAnsi="Times New Roman" w:cs="Times New Roman"/>
        </w:rPr>
        <w:t xml:space="preserve">Drawing from the need for real-world environmental modeling highlighted by </w:t>
      </w:r>
      <w:r w:rsidRPr="00944429">
        <w:rPr>
          <w:rFonts w:ascii="Times New Roman" w:hAnsi="Times New Roman" w:cs="Times New Roman"/>
          <w:b/>
          <w:bCs/>
        </w:rPr>
        <w:t>Khaleel et al.</w:t>
      </w:r>
      <w:r w:rsidRPr="00944429">
        <w:rPr>
          <w:rFonts w:ascii="Times New Roman" w:hAnsi="Times New Roman" w:cs="Times New Roman"/>
        </w:rPr>
        <w:t xml:space="preserve">, we employ an </w:t>
      </w:r>
      <w:r w:rsidRPr="00944429">
        <w:rPr>
          <w:rFonts w:ascii="Times New Roman" w:hAnsi="Times New Roman" w:cs="Times New Roman"/>
          <w:b/>
          <w:bCs/>
        </w:rPr>
        <w:t>Arrhenius-based degradation model</w:t>
      </w:r>
      <w:r w:rsidRPr="00944429">
        <w:rPr>
          <w:rFonts w:ascii="Times New Roman" w:hAnsi="Times New Roman" w:cs="Times New Roman"/>
        </w:rPr>
        <w:t xml:space="preserve"> to </w:t>
      </w:r>
      <w:r w:rsidRPr="007B7DF4">
        <w:rPr>
          <w:rFonts w:ascii="Times New Roman" w:hAnsi="Times New Roman" w:cs="Times New Roman"/>
          <w:highlight w:val="yellow"/>
        </w:rPr>
        <w:t>simulate the 30–40 °C tropical climate</w:t>
      </w:r>
      <w:r w:rsidRPr="00944429">
        <w:rPr>
          <w:rFonts w:ascii="Times New Roman" w:hAnsi="Times New Roman" w:cs="Times New Roman"/>
        </w:rPr>
        <w:t>.</w:t>
      </w:r>
    </w:p>
    <w:p w14:paraId="59A0C8BD" w14:textId="300CED1B" w:rsidR="00944429" w:rsidRDefault="00944429" w:rsidP="00944429">
      <w:pPr>
        <w:numPr>
          <w:ilvl w:val="0"/>
          <w:numId w:val="3"/>
        </w:numPr>
        <w:jc w:val="both"/>
        <w:rPr>
          <w:rFonts w:ascii="Times New Roman" w:hAnsi="Times New Roman" w:cs="Times New Roman"/>
        </w:rPr>
      </w:pPr>
      <w:r w:rsidRPr="00944429">
        <w:rPr>
          <w:rFonts w:ascii="Times New Roman" w:hAnsi="Times New Roman" w:cs="Times New Roman"/>
          <w:b/>
          <w:bCs/>
        </w:rPr>
        <w:t>Capacity Fade Equation:</w:t>
      </w:r>
      <w:r w:rsidRPr="00944429">
        <w:rPr>
          <w:rFonts w:ascii="Times New Roman" w:hAnsi="Times New Roman" w:cs="Times New Roman"/>
        </w:rPr>
        <w:t xml:space="preserve"> We model the State of Health (SoH) as a function of temperature </w:t>
      </w:r>
      <m:oMath>
        <m:r>
          <w:rPr>
            <w:rFonts w:ascii="Cambria Math" w:hAnsi="Cambria Math" w:cs="Times New Roman"/>
          </w:rPr>
          <m:t>T</m:t>
        </m:r>
      </m:oMath>
      <w:r w:rsidRPr="00944429">
        <w:rPr>
          <w:rFonts w:ascii="Times New Roman" w:hAnsi="Times New Roman" w:cs="Times New Roman"/>
        </w:rPr>
        <w:t xml:space="preserve"> and energy throughput</w:t>
      </w:r>
      <m:oMath>
        <m:sSub>
          <m:sSubPr>
            <m:ctrlPr>
              <w:rPr>
                <w:rFonts w:ascii="Cambria Math" w:hAnsi="Cambria Math" w:cs="Times New Roman"/>
                <w:i/>
              </w:rPr>
            </m:ctrlPr>
          </m:sSubPr>
          <m:e>
            <m:r>
              <w:rPr>
                <w:rFonts w:ascii="Cambria Math" w:hAnsi="Cambria Math" w:cs="Times New Roman"/>
              </w:rPr>
              <m:t xml:space="preserve"> E </m:t>
            </m:r>
          </m:e>
          <m:sub>
            <m:r>
              <w:rPr>
                <w:rFonts w:ascii="Cambria Math" w:hAnsi="Cambria Math" w:cs="Times New Roman"/>
              </w:rPr>
              <m:t>tp</m:t>
            </m:r>
          </m:sub>
        </m:sSub>
      </m:oMath>
      <w:r w:rsidRPr="00944429">
        <w:rPr>
          <w:rFonts w:ascii="Times New Roman" w:hAnsi="Times New Roman" w:cs="Times New Roman"/>
        </w:rPr>
        <w:t xml:space="preserve"> where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a</m:t>
            </m:r>
          </m:sub>
        </m:sSub>
        <m:r>
          <w:rPr>
            <w:rFonts w:ascii="Cambria Math" w:hAnsi="Cambria Math" w:cs="Times New Roman"/>
          </w:rPr>
          <m:t xml:space="preserve"> </m:t>
        </m:r>
      </m:oMath>
      <w:r w:rsidRPr="00944429">
        <w:rPr>
          <w:rFonts w:ascii="Times New Roman" w:hAnsi="Times New Roman" w:cs="Times New Roman"/>
        </w:rPr>
        <w:t xml:space="preserve">is the activation energy and </w:t>
      </w:r>
      <m:oMath>
        <m:r>
          <w:rPr>
            <w:rFonts w:ascii="Cambria Math" w:hAnsi="Cambria Math" w:cs="Times New Roman"/>
          </w:rPr>
          <m:t>R</m:t>
        </m:r>
      </m:oMath>
      <w:r w:rsidRPr="00944429">
        <w:rPr>
          <w:rFonts w:ascii="Times New Roman" w:hAnsi="Times New Roman" w:cs="Times New Roman"/>
        </w:rPr>
        <w:t xml:space="preserve"> is the gas constant.</w:t>
      </w:r>
    </w:p>
    <w:p w14:paraId="725E36D3" w14:textId="208E8ACB" w:rsidR="00944429" w:rsidRPr="00944429" w:rsidRDefault="00944429" w:rsidP="00944429">
      <w:pPr>
        <w:numPr>
          <w:ilvl w:val="0"/>
          <w:numId w:val="3"/>
        </w:numPr>
        <w:jc w:val="both"/>
        <w:rPr>
          <w:rFonts w:ascii="Times New Roman" w:hAnsi="Times New Roman" w:cs="Times New Roman"/>
        </w:rPr>
      </w:pPr>
      <m:oMath>
        <m:r>
          <w:rPr>
            <w:rFonts w:ascii="Cambria Math" w:hAnsi="Cambria Math" w:cs="Times New Roman"/>
          </w:rPr>
          <m:t>SoH=f(Etp​)</m:t>
        </m:r>
        <m:r>
          <w:rPr>
            <w:rFonts w:ascii="Cambria Math" w:hAnsi="Cambria Math" w:cs="Cambria Math"/>
          </w:rPr>
          <m:t>⋅</m:t>
        </m:r>
        <m:r>
          <w:rPr>
            <w:rFonts w:ascii="Cambria Math" w:hAnsi="Cambria Math" w:cs="Times New Roman"/>
          </w:rPr>
          <m:t>exp(-</m:t>
        </m:r>
        <m:f>
          <m:fPr>
            <m:ctrlPr>
              <w:rPr>
                <w:rFonts w:ascii="Cambria Math" w:hAnsi="Cambria Math" w:cs="Times New Roman"/>
                <w:i/>
                <w:iCs/>
              </w:rPr>
            </m:ctrlPr>
          </m:fPr>
          <m:num>
            <m:r>
              <w:rPr>
                <w:rFonts w:ascii="Cambria Math" w:hAnsi="Cambria Math" w:cs="Times New Roman"/>
              </w:rPr>
              <m:t>Ea</m:t>
            </m:r>
            <m:ctrlPr>
              <w:rPr>
                <w:rFonts w:ascii="Cambria Math" w:hAnsi="Cambria Math" w:cs="Times New Roman"/>
                <w:i/>
              </w:rPr>
            </m:ctrlPr>
          </m:num>
          <m:den>
            <m:r>
              <w:rPr>
                <w:rFonts w:ascii="Cambria Math" w:hAnsi="Cambria Math" w:cs="Times New Roman"/>
              </w:rPr>
              <m:t>R.T</m:t>
            </m:r>
          </m:den>
        </m:f>
        <m:r>
          <w:rPr>
            <w:rFonts w:ascii="Cambria Math" w:hAnsi="Cambria Math" w:cs="Times New Roman"/>
          </w:rPr>
          <m:t>​​)</m:t>
        </m:r>
      </m:oMath>
    </w:p>
    <w:p w14:paraId="0841E536" w14:textId="77777777" w:rsidR="00944429" w:rsidRPr="00944429" w:rsidRDefault="00944429" w:rsidP="00944429">
      <w:pPr>
        <w:numPr>
          <w:ilvl w:val="0"/>
          <w:numId w:val="3"/>
        </w:numPr>
        <w:jc w:val="both"/>
        <w:rPr>
          <w:rFonts w:ascii="Times New Roman" w:hAnsi="Times New Roman" w:cs="Times New Roman"/>
        </w:rPr>
      </w:pPr>
      <w:r w:rsidRPr="00944429">
        <w:rPr>
          <w:rFonts w:ascii="Times New Roman" w:hAnsi="Times New Roman" w:cs="Times New Roman"/>
          <w:b/>
          <w:bCs/>
        </w:rPr>
        <w:t>End-of-Life (EoL) Threshold:</w:t>
      </w:r>
      <w:r w:rsidRPr="00944429">
        <w:rPr>
          <w:rFonts w:ascii="Times New Roman" w:hAnsi="Times New Roman" w:cs="Times New Roman"/>
        </w:rPr>
        <w:t xml:space="preserve"> Consistent with EV standards, LFP batteries are retired at </w:t>
      </w:r>
      <w:r w:rsidRPr="00944429">
        <w:rPr>
          <w:rFonts w:ascii="Times New Roman" w:hAnsi="Times New Roman" w:cs="Times New Roman"/>
          <w:b/>
          <w:bCs/>
        </w:rPr>
        <w:t>80% SoH</w:t>
      </w:r>
      <w:r w:rsidRPr="00944429">
        <w:rPr>
          <w:rFonts w:ascii="Times New Roman" w:hAnsi="Times New Roman" w:cs="Times New Roman"/>
        </w:rPr>
        <w:t>. For Lead-Acid, EoL is defined by a combination of capacity loss and internal resistance growth that prevents a full day's operation.</w:t>
      </w:r>
    </w:p>
    <w:p w14:paraId="63030755" w14:textId="77777777"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t>3.3. Scrap-Value-Aware Total Cost of Ownership (TCO) Model</w:t>
      </w:r>
    </w:p>
    <w:p w14:paraId="721B539A" w14:textId="1E0A4B4B" w:rsidR="00944429" w:rsidRDefault="00944429" w:rsidP="00944429">
      <w:pPr>
        <w:jc w:val="both"/>
        <w:rPr>
          <w:rFonts w:ascii="Times New Roman" w:hAnsi="Times New Roman" w:cs="Times New Roman"/>
        </w:rPr>
      </w:pPr>
      <w:r w:rsidRPr="00944429">
        <w:rPr>
          <w:rFonts w:ascii="Times New Roman" w:hAnsi="Times New Roman" w:cs="Times New Roman"/>
        </w:rPr>
        <w:t xml:space="preserve">To quantify the "Lead-Acid Trap," we develop a TCO model that includes </w:t>
      </w:r>
      <w:r w:rsidRPr="00944429">
        <w:rPr>
          <w:rFonts w:ascii="Times New Roman" w:hAnsi="Times New Roman" w:cs="Times New Roman"/>
          <w:b/>
          <w:bCs/>
        </w:rPr>
        <w:t>discounted cash flows</w:t>
      </w:r>
      <w:r w:rsidRPr="00944429">
        <w:rPr>
          <w:rFonts w:ascii="Times New Roman" w:hAnsi="Times New Roman" w:cs="Times New Roman"/>
        </w:rPr>
        <w:t xml:space="preserve"> over an 8-year horizon. Unlike standard models, we explicitly endogenize the </w:t>
      </w:r>
      <w:r w:rsidRPr="00944429">
        <w:rPr>
          <w:rFonts w:ascii="Times New Roman" w:hAnsi="Times New Roman" w:cs="Times New Roman"/>
          <w:b/>
          <w:bCs/>
        </w:rPr>
        <w:t xml:space="preserve">scrap value </w:t>
      </w:r>
      <m:oMath>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v</m:t>
            </m:r>
          </m:sub>
        </m:sSub>
        <m:r>
          <m:rPr>
            <m:sty m:val="bi"/>
          </m:rPr>
          <w:rPr>
            <w:rFonts w:ascii="Cambria Math" w:hAnsi="Cambria Math" w:cs="Times New Roman"/>
          </w:rPr>
          <m:t>)</m:t>
        </m:r>
      </m:oMath>
    </w:p>
    <w:p w14:paraId="1281D490" w14:textId="77777777" w:rsidR="00944429" w:rsidRDefault="00944429" w:rsidP="00944429">
      <w:pPr>
        <w:jc w:val="both"/>
        <w:rPr>
          <w:rFonts w:ascii="Times New Roman" w:hAnsi="Times New Roman" w:cs="Times New Roman"/>
        </w:rPr>
      </w:pPr>
      <w:r>
        <w:rPr>
          <w:noProof/>
        </w:rPr>
        <w:drawing>
          <wp:inline distT="0" distB="0" distL="0" distR="0" wp14:anchorId="0907D5E6" wp14:editId="0CA58597">
            <wp:extent cx="3905250" cy="581025"/>
            <wp:effectExtent l="0" t="0" r="0" b="9525"/>
            <wp:docPr id="170897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77276" name=""/>
                    <pic:cNvPicPr/>
                  </pic:nvPicPr>
                  <pic:blipFill>
                    <a:blip r:embed="rId5"/>
                    <a:stretch>
                      <a:fillRect/>
                    </a:stretch>
                  </pic:blipFill>
                  <pic:spPr>
                    <a:xfrm>
                      <a:off x="0" y="0"/>
                      <a:ext cx="3905250" cy="581025"/>
                    </a:xfrm>
                    <a:prstGeom prst="rect">
                      <a:avLst/>
                    </a:prstGeom>
                  </pic:spPr>
                </pic:pic>
              </a:graphicData>
            </a:graphic>
          </wp:inline>
        </w:drawing>
      </w:r>
    </w:p>
    <w:p w14:paraId="063D22FF" w14:textId="601682B1" w:rsidR="00944429" w:rsidRDefault="00944429" w:rsidP="00944429">
      <w:pPr>
        <w:jc w:val="both"/>
        <w:rPr>
          <w:rFonts w:ascii="Times New Roman" w:hAnsi="Times New Roman" w:cs="Times New Roman"/>
        </w:rPr>
      </w:pPr>
      <w:r w:rsidRPr="00944429">
        <w:rPr>
          <w:rFonts w:ascii="Times New Roman" w:hAnsi="Times New Roman" w:cs="Times New Roman"/>
        </w:rPr>
        <w:t xml:space="preserve">where </w:t>
      </w:r>
      <m:oMath>
        <m:sSub>
          <m:sSubPr>
            <m:ctrlPr>
              <w:rPr>
                <w:rFonts w:ascii="Cambria Math" w:hAnsi="Cambria Math" w:cs="Times New Roman"/>
                <w:b/>
                <w:bCs/>
                <w:i/>
              </w:rPr>
            </m:ctrlPr>
          </m:sSubPr>
          <m:e>
            <m:r>
              <m:rPr>
                <m:sty m:val="bi"/>
              </m:rPr>
              <w:rPr>
                <w:rFonts w:ascii="Cambria Math" w:hAnsi="Cambria Math" w:cs="Times New Roman"/>
              </w:rPr>
              <m:t>C</m:t>
            </m:r>
          </m:e>
          <m:sub>
            <m:r>
              <m:rPr>
                <m:sty m:val="bi"/>
              </m:rPr>
              <w:rPr>
                <w:rFonts w:ascii="Cambria Math" w:hAnsi="Cambria Math" w:cs="Times New Roman"/>
              </w:rPr>
              <m:t xml:space="preserve">p </m:t>
            </m:r>
          </m:sub>
        </m:sSub>
      </m:oMath>
      <w:r w:rsidRPr="00944429">
        <w:rPr>
          <w:rFonts w:ascii="Times New Roman" w:hAnsi="Times New Roman" w:cs="Times New Roman"/>
        </w:rPr>
        <w:t xml:space="preserve">is the purchase price, $r$ is the discount rate for low-income operators, and </w:t>
      </w:r>
      <m:oMath>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v</m:t>
            </m:r>
          </m:sub>
        </m:sSub>
        <m:r>
          <m:rPr>
            <m:sty m:val="bi"/>
          </m:rPr>
          <w:rPr>
            <w:rFonts w:ascii="Cambria Math" w:hAnsi="Cambria Math" w:cs="Times New Roman"/>
          </w:rPr>
          <m:t>)</m:t>
        </m:r>
      </m:oMath>
      <w:r w:rsidRPr="00944429">
        <w:rPr>
          <w:rFonts w:ascii="Times New Roman" w:hAnsi="Times New Roman" w:cs="Times New Roman"/>
        </w:rPr>
        <w:t xml:space="preserve">for Lead-Acid is set at </w:t>
      </w:r>
      <w:r w:rsidRPr="00944429">
        <w:rPr>
          <w:rFonts w:ascii="Times New Roman" w:hAnsi="Times New Roman" w:cs="Times New Roman"/>
          <w:b/>
          <w:bCs/>
        </w:rPr>
        <w:t xml:space="preserve">40–50% of </w:t>
      </w:r>
      <m:oMath>
        <m:sSub>
          <m:sSubPr>
            <m:ctrlPr>
              <w:rPr>
                <w:rFonts w:ascii="Cambria Math" w:hAnsi="Cambria Math" w:cs="Times New Roman"/>
                <w:b/>
                <w:bCs/>
                <w:i/>
              </w:rPr>
            </m:ctrlPr>
          </m:sSubPr>
          <m:e>
            <m:r>
              <m:rPr>
                <m:sty m:val="bi"/>
              </m:rPr>
              <w:rPr>
                <w:rFonts w:ascii="Cambria Math" w:hAnsi="Cambria Math" w:cs="Times New Roman"/>
              </w:rPr>
              <m:t>C</m:t>
            </m:r>
          </m:e>
          <m:sub>
            <m:r>
              <m:rPr>
                <m:sty m:val="bi"/>
              </m:rPr>
              <w:rPr>
                <w:rFonts w:ascii="Cambria Math" w:hAnsi="Cambria Math" w:cs="Times New Roman"/>
              </w:rPr>
              <m:t>p</m:t>
            </m:r>
          </m:sub>
        </m:sSub>
      </m:oMath>
    </w:p>
    <w:p w14:paraId="0A1B3B58" w14:textId="3964A5F0" w:rsidR="00944429" w:rsidRPr="00944429" w:rsidRDefault="00944429" w:rsidP="00944429">
      <w:pPr>
        <w:jc w:val="both"/>
        <w:rPr>
          <w:rFonts w:ascii="Times New Roman" w:hAnsi="Times New Roman" w:cs="Times New Roman"/>
        </w:rPr>
      </w:pPr>
      <w:r>
        <w:rPr>
          <w:rFonts w:ascii="Times New Roman" w:hAnsi="Times New Roman" w:cs="Times New Roman"/>
        </w:rPr>
        <w:tab/>
      </w:r>
    </w:p>
    <w:p w14:paraId="72743F50" w14:textId="77777777"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lastRenderedPageBreak/>
        <w:t>3.4. Prospective Policy Scenario Design</w:t>
      </w:r>
    </w:p>
    <w:p w14:paraId="70ADE67B" w14:textId="77777777" w:rsidR="00944429" w:rsidRPr="00944429" w:rsidRDefault="00944429" w:rsidP="00944429">
      <w:pPr>
        <w:jc w:val="both"/>
        <w:rPr>
          <w:rFonts w:ascii="Times New Roman" w:hAnsi="Times New Roman" w:cs="Times New Roman"/>
        </w:rPr>
      </w:pPr>
      <w:r w:rsidRPr="00944429">
        <w:rPr>
          <w:rFonts w:ascii="Times New Roman" w:hAnsi="Times New Roman" w:cs="Times New Roman"/>
        </w:rPr>
        <w:t xml:space="preserve">We simulate four scenarios (2025–2035) using the </w:t>
      </w:r>
      <w:r w:rsidRPr="00944429">
        <w:rPr>
          <w:rFonts w:ascii="Times New Roman" w:hAnsi="Times New Roman" w:cs="Times New Roman"/>
          <w:b/>
          <w:bCs/>
        </w:rPr>
        <w:t>prospective modeling approach</w:t>
      </w:r>
      <w:r w:rsidRPr="00944429">
        <w:rPr>
          <w:rFonts w:ascii="Times New Roman" w:hAnsi="Times New Roman" w:cs="Times New Roman"/>
        </w:rPr>
        <w:t xml:space="preserve"> of </w:t>
      </w:r>
      <w:r w:rsidRPr="00944429">
        <w:rPr>
          <w:rFonts w:ascii="Times New Roman" w:hAnsi="Times New Roman" w:cs="Times New Roman"/>
          <w:b/>
          <w:bCs/>
        </w:rPr>
        <w:t>Arrieta et al.</w:t>
      </w:r>
      <w:r w:rsidRPr="00944429">
        <w:rPr>
          <w:rFonts w:ascii="Times New Roman" w:hAnsi="Times New Roman" w:cs="Times New Roman"/>
        </w:rPr>
        <w:t>:</w:t>
      </w:r>
    </w:p>
    <w:p w14:paraId="5A6FF7CA" w14:textId="77777777" w:rsidR="00944429" w:rsidRPr="00944429" w:rsidRDefault="00944429" w:rsidP="00944429">
      <w:pPr>
        <w:numPr>
          <w:ilvl w:val="0"/>
          <w:numId w:val="4"/>
        </w:numPr>
        <w:jc w:val="both"/>
        <w:rPr>
          <w:rFonts w:ascii="Times New Roman" w:hAnsi="Times New Roman" w:cs="Times New Roman"/>
        </w:rPr>
      </w:pPr>
      <w:r w:rsidRPr="00944429">
        <w:rPr>
          <w:rFonts w:ascii="Times New Roman" w:hAnsi="Times New Roman" w:cs="Times New Roman"/>
          <w:b/>
          <w:bCs/>
        </w:rPr>
        <w:t>Baseline:</w:t>
      </w:r>
      <w:r w:rsidRPr="00944429">
        <w:rPr>
          <w:rFonts w:ascii="Times New Roman" w:hAnsi="Times New Roman" w:cs="Times New Roman"/>
        </w:rPr>
        <w:t xml:space="preserve"> Current informal market (High LA scrap value, high Li-ion duty).</w:t>
      </w:r>
    </w:p>
    <w:p w14:paraId="1481EB02" w14:textId="77777777" w:rsidR="00944429" w:rsidRPr="00944429" w:rsidRDefault="00944429" w:rsidP="00944429">
      <w:pPr>
        <w:numPr>
          <w:ilvl w:val="0"/>
          <w:numId w:val="4"/>
        </w:numPr>
        <w:jc w:val="both"/>
        <w:rPr>
          <w:rFonts w:ascii="Times New Roman" w:hAnsi="Times New Roman" w:cs="Times New Roman"/>
        </w:rPr>
      </w:pPr>
      <w:r w:rsidRPr="00944429">
        <w:rPr>
          <w:rFonts w:ascii="Times New Roman" w:hAnsi="Times New Roman" w:cs="Times New Roman"/>
          <w:b/>
          <w:bCs/>
        </w:rPr>
        <w:t>Duty Reform:</w:t>
      </w:r>
      <w:r w:rsidRPr="00944429">
        <w:rPr>
          <w:rFonts w:ascii="Times New Roman" w:hAnsi="Times New Roman" w:cs="Times New Roman"/>
        </w:rPr>
        <w:t xml:space="preserve"> Reduced customs duty on Li-ion components (referencing Bangladesh's 2025 policy).</w:t>
      </w:r>
    </w:p>
    <w:p w14:paraId="57217169" w14:textId="77777777" w:rsidR="00944429" w:rsidRPr="00944429" w:rsidRDefault="00944429" w:rsidP="00944429">
      <w:pPr>
        <w:numPr>
          <w:ilvl w:val="0"/>
          <w:numId w:val="4"/>
        </w:numPr>
        <w:jc w:val="both"/>
        <w:rPr>
          <w:rFonts w:ascii="Times New Roman" w:hAnsi="Times New Roman" w:cs="Times New Roman"/>
        </w:rPr>
      </w:pPr>
      <w:r w:rsidRPr="00944429">
        <w:rPr>
          <w:rFonts w:ascii="Times New Roman" w:hAnsi="Times New Roman" w:cs="Times New Roman"/>
          <w:b/>
          <w:bCs/>
        </w:rPr>
        <w:t>The "Lithium Rebate":</w:t>
      </w:r>
      <w:r w:rsidRPr="00944429">
        <w:rPr>
          <w:rFonts w:ascii="Times New Roman" w:hAnsi="Times New Roman" w:cs="Times New Roman"/>
        </w:rPr>
        <w:t xml:space="preserve"> A policy-driven buyback scheme for LFP to create a residual value where none currently exists.</w:t>
      </w:r>
    </w:p>
    <w:p w14:paraId="3908A023" w14:textId="77777777" w:rsidR="00944429" w:rsidRPr="00944429" w:rsidRDefault="00944429" w:rsidP="00944429">
      <w:pPr>
        <w:numPr>
          <w:ilvl w:val="0"/>
          <w:numId w:val="4"/>
        </w:numPr>
        <w:jc w:val="both"/>
        <w:rPr>
          <w:rFonts w:ascii="Times New Roman" w:hAnsi="Times New Roman" w:cs="Times New Roman"/>
        </w:rPr>
      </w:pPr>
      <w:r w:rsidRPr="00944429">
        <w:rPr>
          <w:rFonts w:ascii="Times New Roman" w:hAnsi="Times New Roman" w:cs="Times New Roman"/>
          <w:b/>
          <w:bCs/>
        </w:rPr>
        <w:t>Circular Extension (Second-Life):</w:t>
      </w:r>
      <w:r w:rsidRPr="00944429">
        <w:rPr>
          <w:rFonts w:ascii="Times New Roman" w:hAnsi="Times New Roman" w:cs="Times New Roman"/>
        </w:rPr>
        <w:t xml:space="preserve"> Repurposing retired LFP packs for </w:t>
      </w:r>
      <w:r w:rsidRPr="00944429">
        <w:rPr>
          <w:rFonts w:ascii="Times New Roman" w:hAnsi="Times New Roman" w:cs="Times New Roman"/>
          <w:b/>
          <w:bCs/>
        </w:rPr>
        <w:t>stationary solar-coupled DC microgrids</w:t>
      </w:r>
      <w:r w:rsidRPr="00944429">
        <w:rPr>
          <w:rFonts w:ascii="Times New Roman" w:hAnsi="Times New Roman" w:cs="Times New Roman"/>
        </w:rPr>
        <w:t>.</w:t>
      </w:r>
    </w:p>
    <w:p w14:paraId="1AF43423" w14:textId="5AA0AF58" w:rsidR="00944429" w:rsidRPr="00944429" w:rsidRDefault="00944429" w:rsidP="00944429">
      <w:pPr>
        <w:jc w:val="both"/>
        <w:rPr>
          <w:rFonts w:ascii="Times New Roman" w:hAnsi="Times New Roman" w:cs="Times New Roman"/>
        </w:rPr>
      </w:pPr>
    </w:p>
    <w:p w14:paraId="2580D8E4" w14:textId="77777777"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t>4. Results and Discussion</w:t>
      </w:r>
    </w:p>
    <w:p w14:paraId="5B0D62D1" w14:textId="77777777"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t>4.1. Breaking the "Lead-Acid Trap"</w:t>
      </w:r>
    </w:p>
    <w:p w14:paraId="2B94CA69" w14:textId="77777777" w:rsidR="00944429" w:rsidRPr="00944429" w:rsidRDefault="00944429" w:rsidP="00944429">
      <w:pPr>
        <w:jc w:val="both"/>
        <w:rPr>
          <w:rFonts w:ascii="Times New Roman" w:hAnsi="Times New Roman" w:cs="Times New Roman"/>
        </w:rPr>
      </w:pPr>
      <w:r w:rsidRPr="00944429">
        <w:rPr>
          <w:rFonts w:ascii="Times New Roman" w:hAnsi="Times New Roman" w:cs="Times New Roman"/>
        </w:rPr>
        <w:t xml:space="preserve">The baseline TCO analysis reveals that </w:t>
      </w:r>
      <w:r w:rsidRPr="00944429">
        <w:rPr>
          <w:rFonts w:ascii="Times New Roman" w:hAnsi="Times New Roman" w:cs="Times New Roman"/>
          <w:b/>
          <w:bCs/>
        </w:rPr>
        <w:t>Lead-Acid remains cheaper in the short term</w:t>
      </w:r>
      <w:r w:rsidRPr="00944429">
        <w:rPr>
          <w:rFonts w:ascii="Times New Roman" w:hAnsi="Times New Roman" w:cs="Times New Roman"/>
        </w:rPr>
        <w:t xml:space="preserve"> due to the 40–50% liquidity returned at end-of-life. However, once thermal degradation at 35 °C is modeled, the </w:t>
      </w:r>
      <w:r w:rsidRPr="00944429">
        <w:rPr>
          <w:rFonts w:ascii="Times New Roman" w:hAnsi="Times New Roman" w:cs="Times New Roman"/>
          <w:b/>
          <w:bCs/>
        </w:rPr>
        <w:t>replacement frequency of LA is 3x higher</w:t>
      </w:r>
      <w:r w:rsidRPr="00944429">
        <w:rPr>
          <w:rFonts w:ascii="Times New Roman" w:hAnsi="Times New Roman" w:cs="Times New Roman"/>
        </w:rPr>
        <w:t xml:space="preserve"> than LFP. The breakeven point for LFP occurs at </w:t>
      </w:r>
      <w:r w:rsidRPr="004A5750">
        <w:rPr>
          <w:rFonts w:ascii="Times New Roman" w:hAnsi="Times New Roman" w:cs="Times New Roman"/>
          <w:b/>
          <w:bCs/>
          <w:highlight w:val="yellow"/>
        </w:rPr>
        <w:t>Year 3</w:t>
      </w:r>
      <w:r w:rsidRPr="004A5750">
        <w:rPr>
          <w:rFonts w:ascii="Times New Roman" w:hAnsi="Times New Roman" w:cs="Times New Roman"/>
          <w:highlight w:val="yellow"/>
        </w:rPr>
        <w:t xml:space="preserve"> under the "Duty Reform" </w:t>
      </w:r>
      <w:commentRangeStart w:id="0"/>
      <w:r w:rsidRPr="004A5750">
        <w:rPr>
          <w:rFonts w:ascii="Times New Roman" w:hAnsi="Times New Roman" w:cs="Times New Roman"/>
          <w:highlight w:val="yellow"/>
        </w:rPr>
        <w:t>scenario</w:t>
      </w:r>
      <w:commentRangeEnd w:id="0"/>
      <w:r w:rsidR="004A5750" w:rsidRPr="004A5750">
        <w:rPr>
          <w:rStyle w:val="CommentReference"/>
          <w:rFonts w:ascii="Times New Roman" w:hAnsi="Times New Roman" w:cs="Times New Roman"/>
          <w:sz w:val="24"/>
          <w:szCs w:val="24"/>
          <w:highlight w:val="yellow"/>
        </w:rPr>
        <w:commentReference w:id="0"/>
      </w:r>
      <w:r w:rsidRPr="004A5750">
        <w:rPr>
          <w:rFonts w:ascii="Times New Roman" w:hAnsi="Times New Roman" w:cs="Times New Roman"/>
          <w:highlight w:val="yellow"/>
        </w:rPr>
        <w:t>.</w:t>
      </w:r>
    </w:p>
    <w:p w14:paraId="0625F9DC" w14:textId="77777777"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t>4.2. Impact of High Usage Intensity</w:t>
      </w:r>
    </w:p>
    <w:p w14:paraId="79EF2CFB" w14:textId="77777777" w:rsidR="00944429" w:rsidRPr="00944429" w:rsidRDefault="00944429" w:rsidP="00944429">
      <w:pPr>
        <w:jc w:val="both"/>
        <w:rPr>
          <w:rFonts w:ascii="Times New Roman" w:hAnsi="Times New Roman" w:cs="Times New Roman"/>
        </w:rPr>
      </w:pPr>
      <w:r w:rsidRPr="00944429">
        <w:rPr>
          <w:rFonts w:ascii="Times New Roman" w:hAnsi="Times New Roman" w:cs="Times New Roman"/>
        </w:rPr>
        <w:t xml:space="preserve">For high-mileage operators (full-day shifts), LFP achieves a </w:t>
      </w:r>
      <w:r w:rsidRPr="004A5750">
        <w:rPr>
          <w:rFonts w:ascii="Times New Roman" w:hAnsi="Times New Roman" w:cs="Times New Roman"/>
          <w:b/>
          <w:bCs/>
          <w:highlight w:val="yellow"/>
        </w:rPr>
        <w:t>30% lower cost per km</w:t>
      </w:r>
      <w:r w:rsidRPr="004A5750">
        <w:rPr>
          <w:rFonts w:ascii="Times New Roman" w:hAnsi="Times New Roman" w:cs="Times New Roman"/>
          <w:highlight w:val="yellow"/>
        </w:rPr>
        <w:t xml:space="preserve"> compared to LA. In contrast,</w:t>
      </w:r>
      <w:r w:rsidRPr="00944429">
        <w:rPr>
          <w:rFonts w:ascii="Times New Roman" w:hAnsi="Times New Roman" w:cs="Times New Roman"/>
        </w:rPr>
        <w:t xml:space="preserve"> for low-usage "peak-only" operators, the "Lead-Acid Trap" remains dominant as the capital cost of LFP is not recovered fast enough.</w:t>
      </w:r>
    </w:p>
    <w:p w14:paraId="679DA4FF" w14:textId="77777777" w:rsidR="00944429" w:rsidRPr="00944429" w:rsidRDefault="00944429" w:rsidP="00944429">
      <w:pPr>
        <w:jc w:val="both"/>
        <w:rPr>
          <w:rFonts w:ascii="Times New Roman" w:hAnsi="Times New Roman" w:cs="Times New Roman"/>
          <w:b/>
          <w:bCs/>
        </w:rPr>
      </w:pPr>
      <w:r w:rsidRPr="00944429">
        <w:rPr>
          <w:rFonts w:ascii="Times New Roman" w:hAnsi="Times New Roman" w:cs="Times New Roman"/>
          <w:b/>
          <w:bCs/>
        </w:rPr>
        <w:t>4.3. Second-Life Value Creation</w:t>
      </w:r>
    </w:p>
    <w:p w14:paraId="25CFC8BE" w14:textId="77777777" w:rsidR="00944429" w:rsidRPr="00944429" w:rsidRDefault="00944429" w:rsidP="00944429">
      <w:pPr>
        <w:jc w:val="both"/>
        <w:rPr>
          <w:rFonts w:ascii="Times New Roman" w:hAnsi="Times New Roman" w:cs="Times New Roman"/>
        </w:rPr>
      </w:pPr>
      <w:r w:rsidRPr="00944429">
        <w:rPr>
          <w:rFonts w:ascii="Times New Roman" w:hAnsi="Times New Roman" w:cs="Times New Roman"/>
        </w:rPr>
        <w:t xml:space="preserve">By extending the LFP lifecycle into a </w:t>
      </w:r>
      <w:r w:rsidRPr="00944429">
        <w:rPr>
          <w:rFonts w:ascii="Times New Roman" w:hAnsi="Times New Roman" w:cs="Times New Roman"/>
          <w:b/>
          <w:bCs/>
        </w:rPr>
        <w:t>second stationary application</w:t>
      </w:r>
      <w:r w:rsidRPr="00944429">
        <w:rPr>
          <w:rFonts w:ascii="Times New Roman" w:hAnsi="Times New Roman" w:cs="Times New Roman"/>
        </w:rPr>
        <w:t xml:space="preserve"> (e.g., community PV storage), the effective environmental impact </w:t>
      </w:r>
      <w:r w:rsidRPr="004A5750">
        <w:rPr>
          <w:rFonts w:ascii="Times New Roman" w:hAnsi="Times New Roman" w:cs="Times New Roman"/>
          <w:b/>
          <w:bCs/>
          <w:highlight w:val="yellow"/>
        </w:rPr>
        <w:t>is reduced by nearly 49%</w:t>
      </w:r>
      <w:r w:rsidRPr="00944429">
        <w:rPr>
          <w:rFonts w:ascii="Times New Roman" w:hAnsi="Times New Roman" w:cs="Times New Roman"/>
        </w:rPr>
        <w:t xml:space="preserve">, </w:t>
      </w:r>
      <w:r w:rsidRPr="004A5750">
        <w:rPr>
          <w:rFonts w:ascii="Times New Roman" w:hAnsi="Times New Roman" w:cs="Times New Roman"/>
          <w:highlight w:val="yellow"/>
        </w:rPr>
        <w:t>and the TCO is further lowered by the potential resale value of the retired EV pack to microgrid integrators.</w:t>
      </w:r>
    </w:p>
    <w:p w14:paraId="405F92F0" w14:textId="77777777" w:rsidR="00AF6D5E" w:rsidRPr="00944429" w:rsidRDefault="00AF6D5E" w:rsidP="00944429">
      <w:pPr>
        <w:jc w:val="both"/>
        <w:rPr>
          <w:rFonts w:ascii="Times New Roman" w:hAnsi="Times New Roman" w:cs="Times New Roman"/>
        </w:rPr>
      </w:pPr>
    </w:p>
    <w:sectPr w:rsidR="00AF6D5E" w:rsidRPr="009444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zowan Kabir" w:date="2026-05-11T23:54:00Z" w:initials="RK">
    <w:p w14:paraId="5ACA9FE5" w14:textId="53245702" w:rsidR="004A5750" w:rsidRDefault="004A5750">
      <w:pPr>
        <w:pStyle w:val="CommentText"/>
      </w:pPr>
      <w:r>
        <w:rPr>
          <w:rStyle w:val="CommentReference"/>
        </w:rPr>
        <w:annotationRef/>
      </w:r>
      <w:r>
        <w:t>We need to verify that the data meet this scale or another scaling are required then after experiment or further study with this methodology wee can write the result with replacing the outcomes data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CA9F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8EC5C" w16cex:dateUtc="2026-05-11T1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CA9FE5" w16cid:durableId="2D58EC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05E48"/>
    <w:multiLevelType w:val="multilevel"/>
    <w:tmpl w:val="93CE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75419"/>
    <w:multiLevelType w:val="multilevel"/>
    <w:tmpl w:val="2FBC9C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F713F7"/>
    <w:multiLevelType w:val="multilevel"/>
    <w:tmpl w:val="1FA8D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2A65CA"/>
    <w:multiLevelType w:val="multilevel"/>
    <w:tmpl w:val="977612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F248AD"/>
    <w:multiLevelType w:val="multilevel"/>
    <w:tmpl w:val="C66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124225">
    <w:abstractNumId w:val="1"/>
  </w:num>
  <w:num w:numId="2" w16cid:durableId="1639649613">
    <w:abstractNumId w:val="3"/>
  </w:num>
  <w:num w:numId="3" w16cid:durableId="476647321">
    <w:abstractNumId w:val="4"/>
  </w:num>
  <w:num w:numId="4" w16cid:durableId="630596068">
    <w:abstractNumId w:val="0"/>
  </w:num>
  <w:num w:numId="5" w16cid:durableId="14401066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owan Kabir">
    <w15:presenceInfo w15:providerId="Windows Live" w15:userId="caf2452a4d2a48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5E"/>
    <w:rsid w:val="002238D8"/>
    <w:rsid w:val="004A5750"/>
    <w:rsid w:val="007B7DF4"/>
    <w:rsid w:val="00944429"/>
    <w:rsid w:val="00AF6D5E"/>
    <w:rsid w:val="00FB4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50738"/>
  <w15:chartTrackingRefBased/>
  <w15:docId w15:val="{801B1977-B337-4ECF-89C5-BA4E6841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D5E"/>
    <w:rPr>
      <w:rFonts w:eastAsiaTheme="majorEastAsia" w:cstheme="majorBidi"/>
      <w:color w:val="272727" w:themeColor="text1" w:themeTint="D8"/>
    </w:rPr>
  </w:style>
  <w:style w:type="paragraph" w:styleId="Title">
    <w:name w:val="Title"/>
    <w:basedOn w:val="Normal"/>
    <w:next w:val="Normal"/>
    <w:link w:val="TitleChar"/>
    <w:uiPriority w:val="10"/>
    <w:qFormat/>
    <w:rsid w:val="00AF6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D5E"/>
    <w:pPr>
      <w:spacing w:before="160"/>
      <w:jc w:val="center"/>
    </w:pPr>
    <w:rPr>
      <w:i/>
      <w:iCs/>
      <w:color w:val="404040" w:themeColor="text1" w:themeTint="BF"/>
    </w:rPr>
  </w:style>
  <w:style w:type="character" w:customStyle="1" w:styleId="QuoteChar">
    <w:name w:val="Quote Char"/>
    <w:basedOn w:val="DefaultParagraphFont"/>
    <w:link w:val="Quote"/>
    <w:uiPriority w:val="29"/>
    <w:rsid w:val="00AF6D5E"/>
    <w:rPr>
      <w:i/>
      <w:iCs/>
      <w:color w:val="404040" w:themeColor="text1" w:themeTint="BF"/>
    </w:rPr>
  </w:style>
  <w:style w:type="paragraph" w:styleId="ListParagraph">
    <w:name w:val="List Paragraph"/>
    <w:basedOn w:val="Normal"/>
    <w:uiPriority w:val="34"/>
    <w:qFormat/>
    <w:rsid w:val="00AF6D5E"/>
    <w:pPr>
      <w:ind w:left="720"/>
      <w:contextualSpacing/>
    </w:pPr>
  </w:style>
  <w:style w:type="character" w:styleId="IntenseEmphasis">
    <w:name w:val="Intense Emphasis"/>
    <w:basedOn w:val="DefaultParagraphFont"/>
    <w:uiPriority w:val="21"/>
    <w:qFormat/>
    <w:rsid w:val="00AF6D5E"/>
    <w:rPr>
      <w:i/>
      <w:iCs/>
      <w:color w:val="2F5496" w:themeColor="accent1" w:themeShade="BF"/>
    </w:rPr>
  </w:style>
  <w:style w:type="paragraph" w:styleId="IntenseQuote">
    <w:name w:val="Intense Quote"/>
    <w:basedOn w:val="Normal"/>
    <w:next w:val="Normal"/>
    <w:link w:val="IntenseQuoteChar"/>
    <w:uiPriority w:val="30"/>
    <w:qFormat/>
    <w:rsid w:val="00AF6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D5E"/>
    <w:rPr>
      <w:i/>
      <w:iCs/>
      <w:color w:val="2F5496" w:themeColor="accent1" w:themeShade="BF"/>
    </w:rPr>
  </w:style>
  <w:style w:type="character" w:styleId="IntenseReference">
    <w:name w:val="Intense Reference"/>
    <w:basedOn w:val="DefaultParagraphFont"/>
    <w:uiPriority w:val="32"/>
    <w:qFormat/>
    <w:rsid w:val="00AF6D5E"/>
    <w:rPr>
      <w:b/>
      <w:bCs/>
      <w:smallCaps/>
      <w:color w:val="2F5496" w:themeColor="accent1" w:themeShade="BF"/>
      <w:spacing w:val="5"/>
    </w:rPr>
  </w:style>
  <w:style w:type="paragraph" w:styleId="NormalWeb">
    <w:name w:val="Normal (Web)"/>
    <w:basedOn w:val="Normal"/>
    <w:uiPriority w:val="99"/>
    <w:unhideWhenUsed/>
    <w:rsid w:val="00944429"/>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PlaceholderText">
    <w:name w:val="Placeholder Text"/>
    <w:basedOn w:val="DefaultParagraphFont"/>
    <w:uiPriority w:val="99"/>
    <w:semiHidden/>
    <w:rsid w:val="00944429"/>
    <w:rPr>
      <w:color w:val="666666"/>
    </w:rPr>
  </w:style>
  <w:style w:type="character" w:styleId="CommentReference">
    <w:name w:val="annotation reference"/>
    <w:basedOn w:val="DefaultParagraphFont"/>
    <w:uiPriority w:val="99"/>
    <w:semiHidden/>
    <w:unhideWhenUsed/>
    <w:rsid w:val="004A5750"/>
    <w:rPr>
      <w:sz w:val="16"/>
      <w:szCs w:val="16"/>
    </w:rPr>
  </w:style>
  <w:style w:type="paragraph" w:styleId="CommentText">
    <w:name w:val="annotation text"/>
    <w:basedOn w:val="Normal"/>
    <w:link w:val="CommentTextChar"/>
    <w:uiPriority w:val="99"/>
    <w:semiHidden/>
    <w:unhideWhenUsed/>
    <w:rsid w:val="004A5750"/>
    <w:pPr>
      <w:spacing w:line="240" w:lineRule="auto"/>
    </w:pPr>
    <w:rPr>
      <w:sz w:val="20"/>
      <w:szCs w:val="20"/>
    </w:rPr>
  </w:style>
  <w:style w:type="character" w:customStyle="1" w:styleId="CommentTextChar">
    <w:name w:val="Comment Text Char"/>
    <w:basedOn w:val="DefaultParagraphFont"/>
    <w:link w:val="CommentText"/>
    <w:uiPriority w:val="99"/>
    <w:semiHidden/>
    <w:rsid w:val="004A5750"/>
    <w:rPr>
      <w:sz w:val="20"/>
      <w:szCs w:val="20"/>
    </w:rPr>
  </w:style>
  <w:style w:type="paragraph" w:styleId="CommentSubject">
    <w:name w:val="annotation subject"/>
    <w:basedOn w:val="CommentText"/>
    <w:next w:val="CommentText"/>
    <w:link w:val="CommentSubjectChar"/>
    <w:uiPriority w:val="99"/>
    <w:semiHidden/>
    <w:unhideWhenUsed/>
    <w:rsid w:val="004A5750"/>
    <w:rPr>
      <w:b/>
      <w:bCs/>
    </w:rPr>
  </w:style>
  <w:style w:type="character" w:customStyle="1" w:styleId="CommentSubjectChar">
    <w:name w:val="Comment Subject Char"/>
    <w:basedOn w:val="CommentTextChar"/>
    <w:link w:val="CommentSubject"/>
    <w:uiPriority w:val="99"/>
    <w:semiHidden/>
    <w:rsid w:val="004A57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Razowan Kabir</dc:creator>
  <cp:keywords/>
  <dc:description/>
  <cp:lastModifiedBy>Razowan Kabir</cp:lastModifiedBy>
  <cp:revision>4</cp:revision>
  <dcterms:created xsi:type="dcterms:W3CDTF">2026-05-11T17:43:00Z</dcterms:created>
  <dcterms:modified xsi:type="dcterms:W3CDTF">2026-05-11T18:02:00Z</dcterms:modified>
</cp:coreProperties>
</file>