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F258" w14:textId="77777777" w:rsidR="00C11AC7" w:rsidRDefault="00000000">
      <w:pPr>
        <w:spacing w:after="80"/>
      </w:pPr>
      <w:r>
        <w:rPr>
          <w:b/>
          <w:color w:val="1B365D"/>
          <w:sz w:val="36"/>
        </w:rPr>
        <w:t>Comparative Data Parameters: Lead-Acid, LFP, and Lithium-Ion (NMC) Batteries for Easy-Bikes in Bangladesh</w:t>
      </w:r>
    </w:p>
    <w:p w14:paraId="2DFCE5CC" w14:textId="77777777" w:rsidR="00C11AC7" w:rsidRDefault="00000000">
      <w:pPr>
        <w:spacing w:after="320"/>
      </w:pPr>
      <w:r>
        <w:rPr>
          <w:i/>
          <w:color w:val="555555"/>
          <w:sz w:val="21"/>
        </w:rPr>
        <w:t>Prepared for Academic Research &amp; Conference Paper Reference | IEEE Formatted Citations Included</w:t>
      </w:r>
    </w:p>
    <w:p w14:paraId="5A08960E" w14:textId="77777777" w:rsidR="00C11AC7" w:rsidRDefault="00000000">
      <w:pPr>
        <w:pStyle w:val="Heading1"/>
        <w:spacing w:before="200" w:after="120"/>
      </w:pPr>
      <w:r>
        <w:rPr>
          <w:color w:val="1B365D"/>
        </w:rPr>
        <w:t>1. Authenticated Battery &amp; Field Parameter Matrix</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70"/>
        <w:gridCol w:w="90"/>
        <w:gridCol w:w="1800"/>
        <w:gridCol w:w="1548"/>
        <w:gridCol w:w="1152"/>
        <w:gridCol w:w="2340"/>
        <w:gridCol w:w="1260"/>
      </w:tblGrid>
      <w:tr w:rsidR="00C11AC7" w14:paraId="4FF1E56A" w14:textId="77777777" w:rsidTr="001961D9">
        <w:trPr>
          <w:jc w:val="center"/>
        </w:trPr>
        <w:tc>
          <w:tcPr>
            <w:tcW w:w="1260" w:type="dxa"/>
            <w:gridSpan w:val="2"/>
            <w:shd w:val="clear" w:color="auto" w:fill="1B365D"/>
            <w:tcMar>
              <w:top w:w="100" w:type="dxa"/>
              <w:left w:w="80" w:type="dxa"/>
              <w:bottom w:w="100" w:type="dxa"/>
              <w:right w:w="80" w:type="dxa"/>
            </w:tcMar>
          </w:tcPr>
          <w:p w14:paraId="167173DA" w14:textId="77777777" w:rsidR="00C11AC7" w:rsidRDefault="00000000">
            <w:pPr>
              <w:jc w:val="center"/>
            </w:pPr>
            <w:r>
              <w:rPr>
                <w:b/>
                <w:color w:val="FFFFFF"/>
                <w:sz w:val="18"/>
              </w:rPr>
              <w:t>Parameter</w:t>
            </w:r>
          </w:p>
        </w:tc>
        <w:tc>
          <w:tcPr>
            <w:tcW w:w="1800" w:type="dxa"/>
            <w:shd w:val="clear" w:color="auto" w:fill="1B365D"/>
            <w:tcMar>
              <w:top w:w="100" w:type="dxa"/>
              <w:left w:w="80" w:type="dxa"/>
              <w:bottom w:w="100" w:type="dxa"/>
              <w:right w:w="80" w:type="dxa"/>
            </w:tcMar>
          </w:tcPr>
          <w:p w14:paraId="197620BA" w14:textId="77777777" w:rsidR="00C11AC7" w:rsidRDefault="00000000">
            <w:pPr>
              <w:jc w:val="center"/>
            </w:pPr>
            <w:r>
              <w:rPr>
                <w:b/>
                <w:color w:val="FFFFFF"/>
                <w:sz w:val="18"/>
              </w:rPr>
              <w:t>Lead-Acid (LA)</w:t>
            </w:r>
          </w:p>
        </w:tc>
        <w:tc>
          <w:tcPr>
            <w:tcW w:w="1548" w:type="dxa"/>
            <w:shd w:val="clear" w:color="auto" w:fill="1B365D"/>
            <w:tcMar>
              <w:top w:w="100" w:type="dxa"/>
              <w:left w:w="80" w:type="dxa"/>
              <w:bottom w:w="100" w:type="dxa"/>
              <w:right w:w="80" w:type="dxa"/>
            </w:tcMar>
          </w:tcPr>
          <w:p w14:paraId="63D251B1" w14:textId="77777777" w:rsidR="00C11AC7" w:rsidRDefault="00000000">
            <w:pPr>
              <w:jc w:val="center"/>
            </w:pPr>
            <w:r>
              <w:rPr>
                <w:b/>
                <w:color w:val="FFFFFF"/>
                <w:sz w:val="18"/>
              </w:rPr>
              <w:t>Lithium Iron Phosphate (LFP)</w:t>
            </w:r>
          </w:p>
        </w:tc>
        <w:tc>
          <w:tcPr>
            <w:tcW w:w="1152" w:type="dxa"/>
            <w:shd w:val="clear" w:color="auto" w:fill="1B365D"/>
            <w:tcMar>
              <w:top w:w="100" w:type="dxa"/>
              <w:left w:w="80" w:type="dxa"/>
              <w:bottom w:w="100" w:type="dxa"/>
              <w:right w:w="80" w:type="dxa"/>
            </w:tcMar>
          </w:tcPr>
          <w:p w14:paraId="1694D024" w14:textId="77777777" w:rsidR="00C11AC7" w:rsidRDefault="00000000">
            <w:pPr>
              <w:jc w:val="center"/>
            </w:pPr>
            <w:r>
              <w:rPr>
                <w:b/>
                <w:color w:val="FFFFFF"/>
                <w:sz w:val="18"/>
              </w:rPr>
              <w:t>Lithium-ion (NMC/LCO)</w:t>
            </w:r>
          </w:p>
        </w:tc>
        <w:tc>
          <w:tcPr>
            <w:tcW w:w="2340" w:type="dxa"/>
            <w:shd w:val="clear" w:color="auto" w:fill="1B365D"/>
            <w:tcMar>
              <w:top w:w="100" w:type="dxa"/>
              <w:left w:w="80" w:type="dxa"/>
              <w:bottom w:w="100" w:type="dxa"/>
              <w:right w:w="80" w:type="dxa"/>
            </w:tcMar>
          </w:tcPr>
          <w:p w14:paraId="6601AA93" w14:textId="77777777" w:rsidR="00C11AC7" w:rsidRDefault="00000000">
            <w:pPr>
              <w:jc w:val="center"/>
            </w:pPr>
            <w:r>
              <w:rPr>
                <w:b/>
                <w:color w:val="FFFFFF"/>
                <w:sz w:val="18"/>
              </w:rPr>
              <w:t>Source / Method</w:t>
            </w:r>
          </w:p>
        </w:tc>
        <w:tc>
          <w:tcPr>
            <w:tcW w:w="1260" w:type="dxa"/>
            <w:shd w:val="clear" w:color="auto" w:fill="1B365D"/>
            <w:tcMar>
              <w:top w:w="100" w:type="dxa"/>
              <w:left w:w="80" w:type="dxa"/>
              <w:bottom w:w="100" w:type="dxa"/>
              <w:right w:w="80" w:type="dxa"/>
            </w:tcMar>
          </w:tcPr>
          <w:p w14:paraId="68F9BDC4" w14:textId="77777777" w:rsidR="00C11AC7" w:rsidRDefault="00000000">
            <w:pPr>
              <w:jc w:val="center"/>
            </w:pPr>
            <w:r>
              <w:rPr>
                <w:b/>
                <w:color w:val="FFFFFF"/>
                <w:sz w:val="18"/>
              </w:rPr>
              <w:t>Reference Citation</w:t>
            </w:r>
          </w:p>
        </w:tc>
      </w:tr>
      <w:tr w:rsidR="00C11AC7" w14:paraId="0B16D30E" w14:textId="77777777" w:rsidTr="001961D9">
        <w:trPr>
          <w:trHeight w:val="648"/>
          <w:jc w:val="center"/>
        </w:trPr>
        <w:tc>
          <w:tcPr>
            <w:tcW w:w="1170" w:type="dxa"/>
            <w:shd w:val="clear" w:color="auto" w:fill="FFFFFF"/>
            <w:tcMar>
              <w:top w:w="80" w:type="dxa"/>
              <w:left w:w="60" w:type="dxa"/>
              <w:bottom w:w="80" w:type="dxa"/>
              <w:right w:w="60" w:type="dxa"/>
            </w:tcMar>
          </w:tcPr>
          <w:p w14:paraId="0DFAEBDA" w14:textId="77777777" w:rsidR="00C11AC7" w:rsidRPr="001961D9" w:rsidRDefault="00000000">
            <w:pPr>
              <w:rPr>
                <w:highlight w:val="yellow"/>
              </w:rPr>
            </w:pPr>
            <w:r w:rsidRPr="001961D9">
              <w:rPr>
                <w:sz w:val="17"/>
                <w:highlight w:val="yellow"/>
              </w:rPr>
              <w:t>Battery Voltage</w:t>
            </w:r>
          </w:p>
        </w:tc>
        <w:tc>
          <w:tcPr>
            <w:tcW w:w="1890" w:type="dxa"/>
            <w:gridSpan w:val="2"/>
            <w:shd w:val="clear" w:color="auto" w:fill="FFFFFF"/>
            <w:tcMar>
              <w:top w:w="80" w:type="dxa"/>
              <w:left w:w="60" w:type="dxa"/>
              <w:bottom w:w="80" w:type="dxa"/>
              <w:right w:w="60" w:type="dxa"/>
            </w:tcMar>
          </w:tcPr>
          <w:p w14:paraId="6E36C397" w14:textId="77777777" w:rsidR="00C11AC7" w:rsidRPr="001961D9" w:rsidRDefault="00000000">
            <w:pPr>
              <w:jc w:val="center"/>
              <w:rPr>
                <w:highlight w:val="yellow"/>
              </w:rPr>
            </w:pPr>
            <w:r w:rsidRPr="001961D9">
              <w:rPr>
                <w:sz w:val="17"/>
                <w:highlight w:val="yellow"/>
              </w:rPr>
              <w:t>48 V</w:t>
            </w:r>
            <w:r w:rsidRPr="001961D9">
              <w:rPr>
                <w:sz w:val="17"/>
                <w:highlight w:val="yellow"/>
              </w:rPr>
              <w:br/>
              <w:t>(4×12V in series)</w:t>
            </w:r>
          </w:p>
        </w:tc>
        <w:tc>
          <w:tcPr>
            <w:tcW w:w="1548" w:type="dxa"/>
            <w:shd w:val="clear" w:color="auto" w:fill="FFFFFF"/>
            <w:tcMar>
              <w:top w:w="80" w:type="dxa"/>
              <w:left w:w="60" w:type="dxa"/>
              <w:bottom w:w="80" w:type="dxa"/>
              <w:right w:w="60" w:type="dxa"/>
            </w:tcMar>
          </w:tcPr>
          <w:p w14:paraId="45FA56F0" w14:textId="77777777" w:rsidR="00C11AC7" w:rsidRPr="001961D9" w:rsidRDefault="00000000">
            <w:pPr>
              <w:jc w:val="center"/>
              <w:rPr>
                <w:highlight w:val="yellow"/>
              </w:rPr>
            </w:pPr>
            <w:r w:rsidRPr="001961D9">
              <w:rPr>
                <w:sz w:val="17"/>
                <w:highlight w:val="yellow"/>
              </w:rPr>
              <w:t>48 V – 60 V</w:t>
            </w:r>
            <w:r w:rsidRPr="001961D9">
              <w:rPr>
                <w:sz w:val="17"/>
                <w:highlight w:val="yellow"/>
              </w:rPr>
              <w:br/>
              <w:t>(16S LFP pack)</w:t>
            </w:r>
          </w:p>
        </w:tc>
        <w:tc>
          <w:tcPr>
            <w:tcW w:w="1152" w:type="dxa"/>
            <w:shd w:val="clear" w:color="auto" w:fill="FFFFFF"/>
            <w:tcMar>
              <w:top w:w="80" w:type="dxa"/>
              <w:left w:w="60" w:type="dxa"/>
              <w:bottom w:w="80" w:type="dxa"/>
              <w:right w:w="60" w:type="dxa"/>
            </w:tcMar>
          </w:tcPr>
          <w:p w14:paraId="2FE6225C" w14:textId="77777777" w:rsidR="00C11AC7" w:rsidRPr="001961D9" w:rsidRDefault="00000000">
            <w:pPr>
              <w:jc w:val="center"/>
              <w:rPr>
                <w:highlight w:val="yellow"/>
              </w:rPr>
            </w:pPr>
            <w:r w:rsidRPr="001961D9">
              <w:rPr>
                <w:sz w:val="17"/>
                <w:highlight w:val="yellow"/>
              </w:rPr>
              <w:t>48 V – 52 V</w:t>
            </w:r>
            <w:r w:rsidRPr="001961D9">
              <w:rPr>
                <w:sz w:val="17"/>
                <w:highlight w:val="yellow"/>
              </w:rPr>
              <w:br/>
              <w:t>(13S/14S NMC pack)</w:t>
            </w:r>
          </w:p>
        </w:tc>
        <w:tc>
          <w:tcPr>
            <w:tcW w:w="2340" w:type="dxa"/>
            <w:shd w:val="clear" w:color="auto" w:fill="FFFFFF"/>
            <w:tcMar>
              <w:top w:w="80" w:type="dxa"/>
              <w:left w:w="60" w:type="dxa"/>
              <w:bottom w:w="80" w:type="dxa"/>
              <w:right w:w="60" w:type="dxa"/>
            </w:tcMar>
          </w:tcPr>
          <w:p w14:paraId="2AC0EFDA" w14:textId="2EE8A49C" w:rsidR="00C11AC7" w:rsidRPr="001961D9" w:rsidRDefault="001961D9">
            <w:pPr>
              <w:jc w:val="center"/>
              <w:rPr>
                <w:highlight w:val="yellow"/>
              </w:rPr>
            </w:pPr>
            <w:r w:rsidRPr="001961D9">
              <w:rPr>
                <w:sz w:val="17"/>
                <w:szCs w:val="17"/>
                <w:highlight w:val="yellow"/>
              </w:rPr>
              <w:t>Standard pack architecture — consistent with manufacturer spec sheets</w:t>
            </w:r>
          </w:p>
        </w:tc>
        <w:tc>
          <w:tcPr>
            <w:tcW w:w="1260" w:type="dxa"/>
            <w:shd w:val="clear" w:color="auto" w:fill="FFFFFF"/>
            <w:tcMar>
              <w:top w:w="80" w:type="dxa"/>
              <w:left w:w="60" w:type="dxa"/>
              <w:bottom w:w="80" w:type="dxa"/>
              <w:right w:w="60" w:type="dxa"/>
            </w:tcMar>
          </w:tcPr>
          <w:p w14:paraId="46BE3C29" w14:textId="77777777" w:rsidR="00C11AC7" w:rsidRPr="001961D9" w:rsidRDefault="00000000">
            <w:pPr>
              <w:jc w:val="center"/>
              <w:rPr>
                <w:highlight w:val="yellow"/>
              </w:rPr>
            </w:pPr>
            <w:r w:rsidRPr="001961D9">
              <w:rPr>
                <w:sz w:val="17"/>
                <w:highlight w:val="yellow"/>
              </w:rPr>
              <w:t>Market Survey &amp; Manuals [1], [4]</w:t>
            </w:r>
          </w:p>
        </w:tc>
      </w:tr>
      <w:tr w:rsidR="00C11AC7" w:rsidRPr="001961D9" w14:paraId="512ACD4B" w14:textId="77777777" w:rsidTr="001961D9">
        <w:trPr>
          <w:jc w:val="center"/>
        </w:trPr>
        <w:tc>
          <w:tcPr>
            <w:tcW w:w="1170" w:type="dxa"/>
            <w:shd w:val="clear" w:color="auto" w:fill="F9FAFB"/>
            <w:tcMar>
              <w:top w:w="80" w:type="dxa"/>
              <w:left w:w="60" w:type="dxa"/>
              <w:bottom w:w="80" w:type="dxa"/>
              <w:right w:w="60" w:type="dxa"/>
            </w:tcMar>
          </w:tcPr>
          <w:p w14:paraId="05AB719E" w14:textId="77777777" w:rsidR="00C11AC7" w:rsidRPr="001961D9" w:rsidRDefault="00000000">
            <w:pPr>
              <w:rPr>
                <w:highlight w:val="yellow"/>
              </w:rPr>
            </w:pPr>
            <w:r w:rsidRPr="001961D9">
              <w:rPr>
                <w:sz w:val="17"/>
                <w:highlight w:val="yellow"/>
              </w:rPr>
              <w:t>Capacity</w:t>
            </w:r>
          </w:p>
        </w:tc>
        <w:tc>
          <w:tcPr>
            <w:tcW w:w="1890" w:type="dxa"/>
            <w:gridSpan w:val="2"/>
            <w:shd w:val="clear" w:color="auto" w:fill="F9FAFB"/>
            <w:tcMar>
              <w:top w:w="80" w:type="dxa"/>
              <w:left w:w="60" w:type="dxa"/>
              <w:bottom w:w="80" w:type="dxa"/>
              <w:right w:w="60" w:type="dxa"/>
            </w:tcMar>
          </w:tcPr>
          <w:p w14:paraId="1D327059" w14:textId="76FFB509" w:rsidR="00C11AC7" w:rsidRPr="001961D9" w:rsidRDefault="00000000" w:rsidP="001961D9">
            <w:pPr>
              <w:rPr>
                <w:highlight w:val="yellow"/>
              </w:rPr>
            </w:pPr>
            <w:r w:rsidRPr="001961D9">
              <w:rPr>
                <w:sz w:val="17"/>
                <w:highlight w:val="yellow"/>
              </w:rPr>
              <w:t>(Typical: 120/150Ah)</w:t>
            </w:r>
          </w:p>
        </w:tc>
        <w:tc>
          <w:tcPr>
            <w:tcW w:w="1548" w:type="dxa"/>
            <w:shd w:val="clear" w:color="auto" w:fill="F9FAFB"/>
            <w:tcMar>
              <w:top w:w="80" w:type="dxa"/>
              <w:left w:w="60" w:type="dxa"/>
              <w:bottom w:w="80" w:type="dxa"/>
              <w:right w:w="60" w:type="dxa"/>
            </w:tcMar>
          </w:tcPr>
          <w:p w14:paraId="330CD7C8" w14:textId="77777777" w:rsidR="00C11AC7" w:rsidRPr="001961D9" w:rsidRDefault="00000000">
            <w:pPr>
              <w:jc w:val="center"/>
              <w:rPr>
                <w:highlight w:val="yellow"/>
              </w:rPr>
            </w:pPr>
            <w:r w:rsidRPr="001961D9">
              <w:rPr>
                <w:sz w:val="17"/>
                <w:highlight w:val="yellow"/>
              </w:rPr>
              <w:t>100 Ah – 150 Ah</w:t>
            </w:r>
            <w:r w:rsidRPr="001961D9">
              <w:rPr>
                <w:sz w:val="17"/>
                <w:highlight w:val="yellow"/>
              </w:rPr>
              <w:br/>
              <w:t>(High energy density)</w:t>
            </w:r>
          </w:p>
        </w:tc>
        <w:tc>
          <w:tcPr>
            <w:tcW w:w="1152" w:type="dxa"/>
            <w:shd w:val="clear" w:color="auto" w:fill="F9FAFB"/>
            <w:tcMar>
              <w:top w:w="80" w:type="dxa"/>
              <w:left w:w="60" w:type="dxa"/>
              <w:bottom w:w="80" w:type="dxa"/>
              <w:right w:w="60" w:type="dxa"/>
            </w:tcMar>
          </w:tcPr>
          <w:p w14:paraId="0EBED825" w14:textId="77777777" w:rsidR="00C11AC7" w:rsidRPr="001961D9" w:rsidRDefault="00000000">
            <w:pPr>
              <w:jc w:val="center"/>
              <w:rPr>
                <w:highlight w:val="yellow"/>
              </w:rPr>
            </w:pPr>
            <w:r w:rsidRPr="001961D9">
              <w:rPr>
                <w:sz w:val="17"/>
                <w:highlight w:val="yellow"/>
              </w:rPr>
              <w:t>100 Ah – 120 Ah</w:t>
            </w:r>
            <w:r w:rsidRPr="001961D9">
              <w:rPr>
                <w:sz w:val="17"/>
                <w:highlight w:val="yellow"/>
              </w:rPr>
              <w:br/>
              <w:t>(Compact footprint)</w:t>
            </w:r>
          </w:p>
        </w:tc>
        <w:tc>
          <w:tcPr>
            <w:tcW w:w="2340" w:type="dxa"/>
            <w:shd w:val="clear" w:color="auto" w:fill="F9FAFB"/>
            <w:tcMar>
              <w:top w:w="80" w:type="dxa"/>
              <w:left w:w="60" w:type="dxa"/>
              <w:bottom w:w="80" w:type="dxa"/>
              <w:right w:w="60" w:type="dxa"/>
            </w:tcMar>
          </w:tcPr>
          <w:p w14:paraId="4A76B7AB" w14:textId="76490CF3" w:rsidR="00C11AC7" w:rsidRPr="001961D9" w:rsidRDefault="001961D9">
            <w:pPr>
              <w:jc w:val="center"/>
              <w:rPr>
                <w:highlight w:val="yellow"/>
              </w:rPr>
            </w:pPr>
            <w:proofErr w:type="spellStart"/>
            <w:r w:rsidRPr="001961D9">
              <w:rPr>
                <w:color w:val="EE0000"/>
                <w:sz w:val="17"/>
                <w:szCs w:val="17"/>
                <w:highlight w:val="yellow"/>
              </w:rPr>
              <w:t>Hamko</w:t>
            </w:r>
            <w:proofErr w:type="spellEnd"/>
            <w:r w:rsidRPr="001961D9">
              <w:rPr>
                <w:color w:val="EE0000"/>
                <w:sz w:val="17"/>
                <w:szCs w:val="17"/>
                <w:highlight w:val="yellow"/>
              </w:rPr>
              <w:t>/</w:t>
            </w:r>
            <w:proofErr w:type="spellStart"/>
            <w:r w:rsidRPr="001961D9">
              <w:rPr>
                <w:color w:val="EE0000"/>
                <w:sz w:val="17"/>
                <w:szCs w:val="17"/>
                <w:highlight w:val="yellow"/>
              </w:rPr>
              <w:t>Rahimafrooz</w:t>
            </w:r>
            <w:proofErr w:type="spellEnd"/>
            <w:r w:rsidRPr="001961D9">
              <w:rPr>
                <w:color w:val="EE0000"/>
                <w:sz w:val="17"/>
                <w:szCs w:val="17"/>
                <w:highlight w:val="yellow"/>
              </w:rPr>
              <w:t>/</w:t>
            </w:r>
            <w:proofErr w:type="spellStart"/>
            <w:r w:rsidRPr="001961D9">
              <w:rPr>
                <w:color w:val="EE0000"/>
                <w:sz w:val="17"/>
                <w:szCs w:val="17"/>
                <w:highlight w:val="yellow"/>
              </w:rPr>
              <w:t>Rimso</w:t>
            </w:r>
            <w:proofErr w:type="spellEnd"/>
            <w:r w:rsidRPr="001961D9">
              <w:rPr>
                <w:color w:val="EE0000"/>
                <w:sz w:val="17"/>
                <w:szCs w:val="17"/>
                <w:highlight w:val="yellow"/>
              </w:rPr>
              <w:t xml:space="preserve"> catalogs; figures are order-of-magnitude consistent but should be re-confirmed at time of writing since specs change.</w:t>
            </w:r>
          </w:p>
        </w:tc>
        <w:tc>
          <w:tcPr>
            <w:tcW w:w="1260" w:type="dxa"/>
            <w:shd w:val="clear" w:color="auto" w:fill="F9FAFB"/>
            <w:tcMar>
              <w:top w:w="80" w:type="dxa"/>
              <w:left w:w="60" w:type="dxa"/>
              <w:bottom w:w="80" w:type="dxa"/>
              <w:right w:w="60" w:type="dxa"/>
            </w:tcMar>
          </w:tcPr>
          <w:p w14:paraId="4770E5C0" w14:textId="5A3F5730" w:rsidR="00C11AC7" w:rsidRPr="001961D9" w:rsidRDefault="00000000">
            <w:pPr>
              <w:jc w:val="center"/>
              <w:rPr>
                <w:highlight w:val="yellow"/>
              </w:rPr>
            </w:pPr>
            <w:r w:rsidRPr="001961D9">
              <w:rPr>
                <w:sz w:val="17"/>
                <w:highlight w:val="yellow"/>
              </w:rPr>
              <w:t>Market Survey (</w:t>
            </w:r>
            <w:proofErr w:type="spellStart"/>
            <w:r w:rsidRPr="001961D9">
              <w:rPr>
                <w:sz w:val="17"/>
                <w:highlight w:val="yellow"/>
              </w:rPr>
              <w:t>Hamko</w:t>
            </w:r>
            <w:proofErr w:type="spellEnd"/>
            <w:r w:rsidRPr="001961D9">
              <w:rPr>
                <w:sz w:val="17"/>
                <w:highlight w:val="yellow"/>
              </w:rPr>
              <w:t xml:space="preserve">, </w:t>
            </w:r>
            <w:proofErr w:type="spellStart"/>
            <w:r w:rsidRPr="001961D9">
              <w:rPr>
                <w:sz w:val="17"/>
                <w:highlight w:val="yellow"/>
              </w:rPr>
              <w:t>Rimso</w:t>
            </w:r>
            <w:proofErr w:type="spellEnd"/>
            <w:r w:rsidRPr="001961D9">
              <w:rPr>
                <w:sz w:val="17"/>
                <w:highlight w:val="yellow"/>
              </w:rPr>
              <w:t>) [</w:t>
            </w:r>
            <w:r w:rsidR="001961D9" w:rsidRPr="001961D9">
              <w:rPr>
                <w:sz w:val="17"/>
                <w:highlight w:val="yellow"/>
              </w:rPr>
              <w:t>1]</w:t>
            </w:r>
          </w:p>
        </w:tc>
      </w:tr>
      <w:tr w:rsidR="00C11AC7" w:rsidRPr="001961D9" w14:paraId="53410D0C" w14:textId="77777777" w:rsidTr="001961D9">
        <w:trPr>
          <w:jc w:val="center"/>
        </w:trPr>
        <w:tc>
          <w:tcPr>
            <w:tcW w:w="1170" w:type="dxa"/>
            <w:shd w:val="clear" w:color="auto" w:fill="FFFFFF"/>
            <w:tcMar>
              <w:top w:w="80" w:type="dxa"/>
              <w:left w:w="60" w:type="dxa"/>
              <w:bottom w:w="80" w:type="dxa"/>
              <w:right w:w="60" w:type="dxa"/>
            </w:tcMar>
          </w:tcPr>
          <w:p w14:paraId="72128837" w14:textId="77777777" w:rsidR="00C11AC7" w:rsidRPr="001961D9" w:rsidRDefault="00000000">
            <w:pPr>
              <w:rPr>
                <w:highlight w:val="yellow"/>
              </w:rPr>
            </w:pPr>
            <w:r w:rsidRPr="001961D9">
              <w:rPr>
                <w:sz w:val="17"/>
                <w:highlight w:val="yellow"/>
              </w:rPr>
              <w:t>Manufacturer / Supply Chain</w:t>
            </w:r>
          </w:p>
        </w:tc>
        <w:tc>
          <w:tcPr>
            <w:tcW w:w="1890" w:type="dxa"/>
            <w:gridSpan w:val="2"/>
            <w:shd w:val="clear" w:color="auto" w:fill="FFFFFF"/>
            <w:tcMar>
              <w:top w:w="80" w:type="dxa"/>
              <w:left w:w="60" w:type="dxa"/>
              <w:bottom w:w="80" w:type="dxa"/>
              <w:right w:w="60" w:type="dxa"/>
            </w:tcMar>
          </w:tcPr>
          <w:p w14:paraId="4C009B3E" w14:textId="77777777" w:rsidR="00C11AC7" w:rsidRPr="001961D9" w:rsidRDefault="00000000">
            <w:pPr>
              <w:jc w:val="center"/>
              <w:rPr>
                <w:highlight w:val="yellow"/>
              </w:rPr>
            </w:pPr>
            <w:r w:rsidRPr="001961D9">
              <w:rPr>
                <w:sz w:val="17"/>
                <w:highlight w:val="yellow"/>
              </w:rPr>
              <w:t>Hamko, Rahimafrooz, Lucas, Rimso (Domestic)</w:t>
            </w:r>
          </w:p>
        </w:tc>
        <w:tc>
          <w:tcPr>
            <w:tcW w:w="1548" w:type="dxa"/>
            <w:shd w:val="clear" w:color="auto" w:fill="FFFFFF"/>
            <w:tcMar>
              <w:top w:w="80" w:type="dxa"/>
              <w:left w:w="60" w:type="dxa"/>
              <w:bottom w:w="80" w:type="dxa"/>
              <w:right w:w="60" w:type="dxa"/>
            </w:tcMar>
          </w:tcPr>
          <w:p w14:paraId="4E507DB4" w14:textId="77777777" w:rsidR="00C11AC7" w:rsidRPr="001961D9" w:rsidRDefault="00000000">
            <w:pPr>
              <w:jc w:val="center"/>
              <w:rPr>
                <w:highlight w:val="yellow"/>
              </w:rPr>
            </w:pPr>
            <w:r w:rsidRPr="001961D9">
              <w:rPr>
                <w:sz w:val="17"/>
                <w:highlight w:val="yellow"/>
              </w:rPr>
              <w:t>EVE, CATL, GOTION</w:t>
            </w:r>
            <w:r w:rsidRPr="001961D9">
              <w:rPr>
                <w:sz w:val="17"/>
                <w:highlight w:val="yellow"/>
              </w:rPr>
              <w:br/>
              <w:t>(Imported cells, local pack assembly)</w:t>
            </w:r>
          </w:p>
        </w:tc>
        <w:tc>
          <w:tcPr>
            <w:tcW w:w="1152" w:type="dxa"/>
            <w:shd w:val="clear" w:color="auto" w:fill="FFFFFF"/>
            <w:tcMar>
              <w:top w:w="80" w:type="dxa"/>
              <w:left w:w="60" w:type="dxa"/>
              <w:bottom w:w="80" w:type="dxa"/>
              <w:right w:w="60" w:type="dxa"/>
            </w:tcMar>
          </w:tcPr>
          <w:p w14:paraId="00F3369D" w14:textId="77777777" w:rsidR="00C11AC7" w:rsidRPr="001961D9" w:rsidRDefault="00000000">
            <w:pPr>
              <w:jc w:val="center"/>
              <w:rPr>
                <w:highlight w:val="yellow"/>
              </w:rPr>
            </w:pPr>
            <w:r w:rsidRPr="001961D9">
              <w:rPr>
                <w:sz w:val="17"/>
                <w:highlight w:val="yellow"/>
              </w:rPr>
              <w:t>LG Energy, Samsung SDI, BAK</w:t>
            </w:r>
            <w:r w:rsidRPr="001961D9">
              <w:rPr>
                <w:sz w:val="17"/>
                <w:highlight w:val="yellow"/>
              </w:rPr>
              <w:br/>
              <w:t>(Imported modules)</w:t>
            </w:r>
          </w:p>
        </w:tc>
        <w:tc>
          <w:tcPr>
            <w:tcW w:w="2340" w:type="dxa"/>
            <w:shd w:val="clear" w:color="auto" w:fill="FFFFFF"/>
            <w:tcMar>
              <w:top w:w="80" w:type="dxa"/>
              <w:left w:w="60" w:type="dxa"/>
              <w:bottom w:w="80" w:type="dxa"/>
              <w:right w:w="60" w:type="dxa"/>
            </w:tcMar>
          </w:tcPr>
          <w:p w14:paraId="0D82DECF" w14:textId="74A12824" w:rsidR="00C11AC7" w:rsidRPr="001961D9" w:rsidRDefault="001961D9">
            <w:pPr>
              <w:jc w:val="center"/>
              <w:rPr>
                <w:highlight w:val="yellow"/>
              </w:rPr>
            </w:pPr>
            <w:r w:rsidRPr="001961D9">
              <w:rPr>
                <w:sz w:val="17"/>
                <w:szCs w:val="17"/>
                <w:highlight w:val="yellow"/>
              </w:rPr>
              <w:t>active companies; confirm current BD market presence via company sites or SREDA survey directly.</w:t>
            </w:r>
          </w:p>
        </w:tc>
        <w:tc>
          <w:tcPr>
            <w:tcW w:w="1260" w:type="dxa"/>
            <w:shd w:val="clear" w:color="auto" w:fill="FFFFFF"/>
            <w:tcMar>
              <w:top w:w="80" w:type="dxa"/>
              <w:left w:w="60" w:type="dxa"/>
              <w:bottom w:w="80" w:type="dxa"/>
              <w:right w:w="60" w:type="dxa"/>
            </w:tcMar>
          </w:tcPr>
          <w:p w14:paraId="70AA6066" w14:textId="77777777" w:rsidR="00C11AC7" w:rsidRPr="001961D9" w:rsidRDefault="00000000">
            <w:pPr>
              <w:jc w:val="center"/>
              <w:rPr>
                <w:highlight w:val="yellow"/>
              </w:rPr>
            </w:pPr>
            <w:r w:rsidRPr="001961D9">
              <w:rPr>
                <w:sz w:val="17"/>
                <w:highlight w:val="yellow"/>
              </w:rPr>
              <w:t>Manufacturer Catalogs &amp; SREDA [1], [4]</w:t>
            </w:r>
          </w:p>
        </w:tc>
      </w:tr>
      <w:tr w:rsidR="00C11AC7" w14:paraId="4B58C390" w14:textId="77777777" w:rsidTr="001961D9">
        <w:trPr>
          <w:jc w:val="center"/>
        </w:trPr>
        <w:tc>
          <w:tcPr>
            <w:tcW w:w="1170" w:type="dxa"/>
            <w:shd w:val="clear" w:color="auto" w:fill="F9FAFB"/>
            <w:tcMar>
              <w:top w:w="80" w:type="dxa"/>
              <w:left w:w="60" w:type="dxa"/>
              <w:bottom w:w="80" w:type="dxa"/>
              <w:right w:w="60" w:type="dxa"/>
            </w:tcMar>
          </w:tcPr>
          <w:p w14:paraId="019E5B75" w14:textId="77777777" w:rsidR="00C11AC7" w:rsidRPr="001961D9" w:rsidRDefault="00000000">
            <w:pPr>
              <w:rPr>
                <w:highlight w:val="yellow"/>
              </w:rPr>
            </w:pPr>
            <w:r w:rsidRPr="001961D9">
              <w:rPr>
                <w:sz w:val="17"/>
                <w:highlight w:val="yellow"/>
              </w:rPr>
              <w:t>Efficiency</w:t>
            </w:r>
          </w:p>
        </w:tc>
        <w:tc>
          <w:tcPr>
            <w:tcW w:w="1890" w:type="dxa"/>
            <w:gridSpan w:val="2"/>
            <w:shd w:val="clear" w:color="auto" w:fill="F9FAFB"/>
            <w:tcMar>
              <w:top w:w="80" w:type="dxa"/>
              <w:left w:w="60" w:type="dxa"/>
              <w:bottom w:w="80" w:type="dxa"/>
              <w:right w:w="60" w:type="dxa"/>
            </w:tcMar>
          </w:tcPr>
          <w:p w14:paraId="33273FAB" w14:textId="77777777" w:rsidR="00C11AC7" w:rsidRPr="001961D9" w:rsidRDefault="00000000">
            <w:pPr>
              <w:jc w:val="center"/>
              <w:rPr>
                <w:highlight w:val="yellow"/>
              </w:rPr>
            </w:pPr>
            <w:r w:rsidRPr="001961D9">
              <w:rPr>
                <w:sz w:val="17"/>
                <w:highlight w:val="yellow"/>
              </w:rPr>
              <w:t>70% – 85%</w:t>
            </w:r>
            <w:r w:rsidRPr="001961D9">
              <w:rPr>
                <w:sz w:val="17"/>
                <w:highlight w:val="yellow"/>
              </w:rPr>
              <w:br/>
              <w:t>(High internal resistance)</w:t>
            </w:r>
          </w:p>
        </w:tc>
        <w:tc>
          <w:tcPr>
            <w:tcW w:w="1548" w:type="dxa"/>
            <w:shd w:val="clear" w:color="auto" w:fill="F9FAFB"/>
            <w:tcMar>
              <w:top w:w="80" w:type="dxa"/>
              <w:left w:w="60" w:type="dxa"/>
              <w:bottom w:w="80" w:type="dxa"/>
              <w:right w:w="60" w:type="dxa"/>
            </w:tcMar>
          </w:tcPr>
          <w:p w14:paraId="03C24464" w14:textId="77777777" w:rsidR="00C11AC7" w:rsidRPr="001961D9" w:rsidRDefault="00000000">
            <w:pPr>
              <w:jc w:val="center"/>
              <w:rPr>
                <w:highlight w:val="yellow"/>
              </w:rPr>
            </w:pPr>
            <w:r w:rsidRPr="001961D9">
              <w:rPr>
                <w:sz w:val="17"/>
                <w:highlight w:val="yellow"/>
              </w:rPr>
              <w:t>92% – 98%</w:t>
            </w:r>
            <w:r w:rsidRPr="001961D9">
              <w:rPr>
                <w:sz w:val="17"/>
                <w:highlight w:val="yellow"/>
              </w:rPr>
              <w:br/>
              <w:t>(Superior efficiency)</w:t>
            </w:r>
          </w:p>
        </w:tc>
        <w:tc>
          <w:tcPr>
            <w:tcW w:w="1152" w:type="dxa"/>
            <w:shd w:val="clear" w:color="auto" w:fill="F9FAFB"/>
            <w:tcMar>
              <w:top w:w="80" w:type="dxa"/>
              <w:left w:w="60" w:type="dxa"/>
              <w:bottom w:w="80" w:type="dxa"/>
              <w:right w:w="60" w:type="dxa"/>
            </w:tcMar>
          </w:tcPr>
          <w:p w14:paraId="4EC650F5" w14:textId="77777777" w:rsidR="00C11AC7" w:rsidRPr="001961D9" w:rsidRDefault="00000000">
            <w:pPr>
              <w:jc w:val="center"/>
              <w:rPr>
                <w:highlight w:val="yellow"/>
              </w:rPr>
            </w:pPr>
            <w:r w:rsidRPr="001961D9">
              <w:rPr>
                <w:sz w:val="17"/>
                <w:highlight w:val="yellow"/>
              </w:rPr>
              <w:t>90% – 95%</w:t>
            </w:r>
            <w:r w:rsidRPr="001961D9">
              <w:rPr>
                <w:sz w:val="17"/>
                <w:highlight w:val="yellow"/>
              </w:rPr>
              <w:br/>
              <w:t>(High charge efficiency)</w:t>
            </w:r>
          </w:p>
        </w:tc>
        <w:tc>
          <w:tcPr>
            <w:tcW w:w="2340" w:type="dxa"/>
            <w:shd w:val="clear" w:color="auto" w:fill="F9FAFB"/>
            <w:tcMar>
              <w:top w:w="80" w:type="dxa"/>
              <w:left w:w="60" w:type="dxa"/>
              <w:bottom w:w="80" w:type="dxa"/>
              <w:right w:w="60" w:type="dxa"/>
            </w:tcMar>
          </w:tcPr>
          <w:p w14:paraId="291CB809" w14:textId="694589B7" w:rsidR="00C11AC7" w:rsidRPr="001961D9" w:rsidRDefault="001961D9">
            <w:pPr>
              <w:jc w:val="center"/>
              <w:rPr>
                <w:highlight w:val="yellow"/>
              </w:rPr>
            </w:pPr>
            <w:r w:rsidRPr="001961D9">
              <w:rPr>
                <w:sz w:val="17"/>
                <w:szCs w:val="17"/>
                <w:highlight w:val="yellow"/>
              </w:rPr>
              <w:t>Lead-acid vs LFP range confirmed directly in [</w:t>
            </w:r>
            <w:r>
              <w:rPr>
                <w:sz w:val="17"/>
                <w:szCs w:val="17"/>
                <w:highlight w:val="yellow"/>
              </w:rPr>
              <w:t>8</w:t>
            </w:r>
            <w:r w:rsidRPr="001961D9">
              <w:rPr>
                <w:sz w:val="17"/>
                <w:szCs w:val="17"/>
                <w:highlight w:val="yellow"/>
              </w:rPr>
              <w:t>] (Keshan/Thornburg/</w:t>
            </w:r>
            <w:proofErr w:type="spellStart"/>
            <w:r w:rsidRPr="001961D9">
              <w:rPr>
                <w:sz w:val="17"/>
                <w:szCs w:val="17"/>
                <w:highlight w:val="yellow"/>
              </w:rPr>
              <w:t>Ustun</w:t>
            </w:r>
            <w:proofErr w:type="spellEnd"/>
            <w:r w:rsidRPr="001961D9">
              <w:rPr>
                <w:sz w:val="17"/>
                <w:szCs w:val="17"/>
                <w:highlight w:val="yellow"/>
              </w:rPr>
              <w:t>). NMC figure is INDUSTRY-TYPICAL (li-ion general range) — no BD-specific paper found.</w:t>
            </w:r>
          </w:p>
        </w:tc>
        <w:tc>
          <w:tcPr>
            <w:tcW w:w="1260" w:type="dxa"/>
            <w:shd w:val="clear" w:color="auto" w:fill="F9FAFB"/>
            <w:tcMar>
              <w:top w:w="80" w:type="dxa"/>
              <w:left w:w="60" w:type="dxa"/>
              <w:bottom w:w="80" w:type="dxa"/>
              <w:right w:w="60" w:type="dxa"/>
            </w:tcMar>
          </w:tcPr>
          <w:p w14:paraId="4DCCF827" w14:textId="2497C8EB" w:rsidR="00C11AC7" w:rsidRPr="001961D9" w:rsidRDefault="00000000">
            <w:pPr>
              <w:jc w:val="center"/>
              <w:rPr>
                <w:highlight w:val="yellow"/>
              </w:rPr>
            </w:pPr>
            <w:r w:rsidRPr="001961D9">
              <w:rPr>
                <w:sz w:val="17"/>
                <w:highlight w:val="yellow"/>
              </w:rPr>
              <w:t>IEEE / Elsevier Literature [4], [5], [6</w:t>
            </w:r>
            <w:r w:rsidRPr="001961D9">
              <w:rPr>
                <w:sz w:val="17"/>
                <w:highlight w:val="green"/>
              </w:rPr>
              <w:t>]</w:t>
            </w:r>
            <w:r w:rsidR="001961D9" w:rsidRPr="001961D9">
              <w:rPr>
                <w:sz w:val="17"/>
                <w:highlight w:val="green"/>
              </w:rPr>
              <w:t xml:space="preserve"> </w:t>
            </w:r>
            <w:proofErr w:type="spellStart"/>
            <w:r w:rsidR="001961D9" w:rsidRPr="001961D9">
              <w:rPr>
                <w:sz w:val="17"/>
                <w:highlight w:val="green"/>
              </w:rPr>
              <w:t>foud</w:t>
            </w:r>
            <w:proofErr w:type="spellEnd"/>
            <w:r w:rsidR="001961D9" w:rsidRPr="001961D9">
              <w:rPr>
                <w:sz w:val="17"/>
                <w:highlight w:val="green"/>
              </w:rPr>
              <w:t xml:space="preserve"> in [8]</w:t>
            </w:r>
          </w:p>
        </w:tc>
      </w:tr>
      <w:tr w:rsidR="00C11AC7" w14:paraId="0A4B4630" w14:textId="77777777" w:rsidTr="001961D9">
        <w:trPr>
          <w:jc w:val="center"/>
        </w:trPr>
        <w:tc>
          <w:tcPr>
            <w:tcW w:w="1170" w:type="dxa"/>
            <w:shd w:val="clear" w:color="auto" w:fill="FFFFFF"/>
            <w:tcMar>
              <w:top w:w="80" w:type="dxa"/>
              <w:left w:w="60" w:type="dxa"/>
              <w:bottom w:w="80" w:type="dxa"/>
              <w:right w:w="60" w:type="dxa"/>
            </w:tcMar>
          </w:tcPr>
          <w:p w14:paraId="27534B86" w14:textId="77777777" w:rsidR="00C11AC7" w:rsidRPr="001961D9" w:rsidRDefault="00000000">
            <w:pPr>
              <w:rPr>
                <w:highlight w:val="yellow"/>
              </w:rPr>
            </w:pPr>
            <w:r w:rsidRPr="001961D9">
              <w:rPr>
                <w:sz w:val="17"/>
                <w:highlight w:val="yellow"/>
              </w:rPr>
              <w:t>Price (BDT)</w:t>
            </w:r>
          </w:p>
        </w:tc>
        <w:tc>
          <w:tcPr>
            <w:tcW w:w="1890" w:type="dxa"/>
            <w:gridSpan w:val="2"/>
            <w:shd w:val="clear" w:color="auto" w:fill="FFFFFF"/>
            <w:tcMar>
              <w:top w:w="80" w:type="dxa"/>
              <w:left w:w="60" w:type="dxa"/>
              <w:bottom w:w="80" w:type="dxa"/>
              <w:right w:w="60" w:type="dxa"/>
            </w:tcMar>
          </w:tcPr>
          <w:p w14:paraId="41850FD9" w14:textId="25D3C663" w:rsidR="00C11AC7" w:rsidRPr="001961D9" w:rsidRDefault="00000000">
            <w:pPr>
              <w:jc w:val="center"/>
              <w:rPr>
                <w:highlight w:val="yellow"/>
              </w:rPr>
            </w:pPr>
            <w:r w:rsidRPr="001961D9">
              <w:rPr>
                <w:sz w:val="17"/>
                <w:highlight w:val="yellow"/>
              </w:rPr>
              <w:t>BDT 70,000 – 90,000</w:t>
            </w:r>
            <w:r w:rsidRPr="001961D9">
              <w:rPr>
                <w:sz w:val="17"/>
                <w:highlight w:val="yellow"/>
              </w:rPr>
              <w:br/>
              <w:t>(Set of 4)</w:t>
            </w:r>
          </w:p>
        </w:tc>
        <w:tc>
          <w:tcPr>
            <w:tcW w:w="1548" w:type="dxa"/>
            <w:shd w:val="clear" w:color="auto" w:fill="FFFFFF"/>
            <w:tcMar>
              <w:top w:w="80" w:type="dxa"/>
              <w:left w:w="60" w:type="dxa"/>
              <w:bottom w:w="80" w:type="dxa"/>
              <w:right w:w="60" w:type="dxa"/>
            </w:tcMar>
          </w:tcPr>
          <w:p w14:paraId="28BDCC34" w14:textId="03B0A2CE" w:rsidR="00C11AC7" w:rsidRPr="001961D9" w:rsidRDefault="00000000">
            <w:pPr>
              <w:jc w:val="center"/>
              <w:rPr>
                <w:highlight w:val="yellow"/>
              </w:rPr>
            </w:pPr>
            <w:r w:rsidRPr="001961D9">
              <w:rPr>
                <w:sz w:val="17"/>
                <w:highlight w:val="yellow"/>
              </w:rPr>
              <w:t>BDT 120,000 – 150,000</w:t>
            </w:r>
            <w:r w:rsidRPr="001961D9">
              <w:rPr>
                <w:sz w:val="17"/>
                <w:highlight w:val="yellow"/>
              </w:rPr>
              <w:br/>
              <w:t>(Pack with BMS)</w:t>
            </w:r>
          </w:p>
        </w:tc>
        <w:tc>
          <w:tcPr>
            <w:tcW w:w="1152" w:type="dxa"/>
            <w:shd w:val="clear" w:color="auto" w:fill="FFFFFF"/>
            <w:tcMar>
              <w:top w:w="80" w:type="dxa"/>
              <w:left w:w="60" w:type="dxa"/>
              <w:bottom w:w="80" w:type="dxa"/>
              <w:right w:w="60" w:type="dxa"/>
            </w:tcMar>
          </w:tcPr>
          <w:p w14:paraId="144FAE9A" w14:textId="77777777" w:rsidR="00C11AC7" w:rsidRPr="001961D9" w:rsidRDefault="00000000">
            <w:pPr>
              <w:jc w:val="center"/>
              <w:rPr>
                <w:highlight w:val="yellow"/>
              </w:rPr>
            </w:pPr>
            <w:r w:rsidRPr="001961D9">
              <w:rPr>
                <w:sz w:val="17"/>
                <w:highlight w:val="yellow"/>
              </w:rPr>
              <w:t>BDT 110,000 – 140,000</w:t>
            </w:r>
            <w:r w:rsidRPr="001961D9">
              <w:rPr>
                <w:sz w:val="17"/>
                <w:highlight w:val="yellow"/>
              </w:rPr>
              <w:br/>
              <w:t>(Pack with BMS)</w:t>
            </w:r>
          </w:p>
        </w:tc>
        <w:tc>
          <w:tcPr>
            <w:tcW w:w="2340" w:type="dxa"/>
            <w:shd w:val="clear" w:color="auto" w:fill="FFFFFF"/>
            <w:tcMar>
              <w:top w:w="80" w:type="dxa"/>
              <w:left w:w="60" w:type="dxa"/>
              <w:bottom w:w="80" w:type="dxa"/>
              <w:right w:w="60" w:type="dxa"/>
            </w:tcMar>
          </w:tcPr>
          <w:p w14:paraId="4FE9F6E7" w14:textId="7E7C27B5" w:rsidR="00C11AC7" w:rsidRPr="001961D9" w:rsidRDefault="001961D9">
            <w:pPr>
              <w:jc w:val="center"/>
              <w:rPr>
                <w:highlight w:val="yellow"/>
              </w:rPr>
            </w:pPr>
            <w:r w:rsidRPr="001961D9">
              <w:rPr>
                <w:sz w:val="17"/>
                <w:highlight w:val="yellow"/>
              </w:rPr>
              <w:t xml:space="preserve">Current </w:t>
            </w:r>
            <w:r w:rsidR="00000000" w:rsidRPr="001961D9">
              <w:rPr>
                <w:sz w:val="17"/>
                <w:highlight w:val="yellow"/>
              </w:rPr>
              <w:t>Market Survey &amp; Importers Data</w:t>
            </w:r>
          </w:p>
        </w:tc>
        <w:tc>
          <w:tcPr>
            <w:tcW w:w="1260" w:type="dxa"/>
            <w:shd w:val="clear" w:color="auto" w:fill="FFFFFF"/>
            <w:tcMar>
              <w:top w:w="80" w:type="dxa"/>
              <w:left w:w="60" w:type="dxa"/>
              <w:bottom w:w="80" w:type="dxa"/>
              <w:right w:w="60" w:type="dxa"/>
            </w:tcMar>
          </w:tcPr>
          <w:p w14:paraId="5DB1D528" w14:textId="77777777" w:rsidR="00C11AC7" w:rsidRPr="001961D9" w:rsidRDefault="00000000">
            <w:pPr>
              <w:jc w:val="center"/>
              <w:rPr>
                <w:highlight w:val="yellow"/>
              </w:rPr>
            </w:pPr>
            <w:r w:rsidRPr="001961D9">
              <w:rPr>
                <w:sz w:val="17"/>
                <w:highlight w:val="yellow"/>
              </w:rPr>
              <w:t>Daraz BD / Local Vendor Market Survey [1]</w:t>
            </w:r>
          </w:p>
        </w:tc>
      </w:tr>
      <w:tr w:rsidR="00C11AC7" w14:paraId="72CB94EB" w14:textId="77777777" w:rsidTr="001961D9">
        <w:trPr>
          <w:jc w:val="center"/>
        </w:trPr>
        <w:tc>
          <w:tcPr>
            <w:tcW w:w="1170" w:type="dxa"/>
            <w:shd w:val="clear" w:color="auto" w:fill="F9FAFB"/>
            <w:tcMar>
              <w:top w:w="80" w:type="dxa"/>
              <w:left w:w="60" w:type="dxa"/>
              <w:bottom w:w="80" w:type="dxa"/>
              <w:right w:w="60" w:type="dxa"/>
            </w:tcMar>
          </w:tcPr>
          <w:p w14:paraId="04D04D13" w14:textId="77777777" w:rsidR="00C11AC7" w:rsidRPr="001961D9" w:rsidRDefault="00000000">
            <w:pPr>
              <w:rPr>
                <w:highlight w:val="yellow"/>
              </w:rPr>
            </w:pPr>
            <w:r w:rsidRPr="001961D9">
              <w:rPr>
                <w:sz w:val="17"/>
                <w:highlight w:val="yellow"/>
              </w:rPr>
              <w:t>Lifetime</w:t>
            </w:r>
          </w:p>
        </w:tc>
        <w:tc>
          <w:tcPr>
            <w:tcW w:w="1890" w:type="dxa"/>
            <w:gridSpan w:val="2"/>
            <w:shd w:val="clear" w:color="auto" w:fill="F9FAFB"/>
            <w:tcMar>
              <w:top w:w="80" w:type="dxa"/>
              <w:left w:w="60" w:type="dxa"/>
              <w:bottom w:w="80" w:type="dxa"/>
              <w:right w:w="60" w:type="dxa"/>
            </w:tcMar>
          </w:tcPr>
          <w:p w14:paraId="462976C4" w14:textId="77777777" w:rsidR="00C11AC7" w:rsidRPr="001961D9" w:rsidRDefault="00000000">
            <w:pPr>
              <w:jc w:val="center"/>
              <w:rPr>
                <w:highlight w:val="yellow"/>
              </w:rPr>
            </w:pPr>
            <w:r w:rsidRPr="001961D9">
              <w:rPr>
                <w:sz w:val="17"/>
                <w:highlight w:val="yellow"/>
              </w:rPr>
              <w:t>12 – 18 months</w:t>
            </w:r>
            <w:r w:rsidRPr="001961D9">
              <w:rPr>
                <w:sz w:val="17"/>
                <w:highlight w:val="yellow"/>
              </w:rPr>
              <w:br/>
              <w:t>(300 – 500 cycles at 80% DoD)</w:t>
            </w:r>
          </w:p>
        </w:tc>
        <w:tc>
          <w:tcPr>
            <w:tcW w:w="1548" w:type="dxa"/>
            <w:shd w:val="clear" w:color="auto" w:fill="F9FAFB"/>
            <w:tcMar>
              <w:top w:w="80" w:type="dxa"/>
              <w:left w:w="60" w:type="dxa"/>
              <w:bottom w:w="80" w:type="dxa"/>
              <w:right w:w="60" w:type="dxa"/>
            </w:tcMar>
          </w:tcPr>
          <w:p w14:paraId="3FBE2521" w14:textId="77777777" w:rsidR="00C11AC7" w:rsidRPr="001961D9" w:rsidRDefault="00000000">
            <w:pPr>
              <w:jc w:val="center"/>
              <w:rPr>
                <w:highlight w:val="yellow"/>
              </w:rPr>
            </w:pPr>
            <w:r w:rsidRPr="001961D9">
              <w:rPr>
                <w:sz w:val="17"/>
                <w:highlight w:val="yellow"/>
              </w:rPr>
              <w:t>60 – 84 months</w:t>
            </w:r>
            <w:r w:rsidRPr="001961D9">
              <w:rPr>
                <w:sz w:val="17"/>
                <w:highlight w:val="yellow"/>
              </w:rPr>
              <w:br/>
              <w:t>(2000 – 3000 cycles at 80% DoD)</w:t>
            </w:r>
          </w:p>
        </w:tc>
        <w:tc>
          <w:tcPr>
            <w:tcW w:w="1152" w:type="dxa"/>
            <w:shd w:val="clear" w:color="auto" w:fill="F9FAFB"/>
            <w:tcMar>
              <w:top w:w="80" w:type="dxa"/>
              <w:left w:w="60" w:type="dxa"/>
              <w:bottom w:w="80" w:type="dxa"/>
              <w:right w:w="60" w:type="dxa"/>
            </w:tcMar>
          </w:tcPr>
          <w:p w14:paraId="7CA33A5A" w14:textId="77777777" w:rsidR="00C11AC7" w:rsidRPr="001961D9" w:rsidRDefault="00000000">
            <w:pPr>
              <w:jc w:val="center"/>
              <w:rPr>
                <w:highlight w:val="yellow"/>
              </w:rPr>
            </w:pPr>
            <w:r w:rsidRPr="001961D9">
              <w:rPr>
                <w:sz w:val="17"/>
                <w:highlight w:val="yellow"/>
              </w:rPr>
              <w:t>36 – 48 months</w:t>
            </w:r>
            <w:r w:rsidRPr="001961D9">
              <w:rPr>
                <w:sz w:val="17"/>
                <w:highlight w:val="yellow"/>
              </w:rPr>
              <w:br/>
              <w:t>(1000 – 1500 cycles at 80% DoD)</w:t>
            </w:r>
          </w:p>
        </w:tc>
        <w:tc>
          <w:tcPr>
            <w:tcW w:w="2340" w:type="dxa"/>
            <w:shd w:val="clear" w:color="auto" w:fill="F9FAFB"/>
            <w:tcMar>
              <w:top w:w="80" w:type="dxa"/>
              <w:left w:w="60" w:type="dxa"/>
              <w:bottom w:w="80" w:type="dxa"/>
              <w:right w:w="60" w:type="dxa"/>
            </w:tcMar>
          </w:tcPr>
          <w:p w14:paraId="1D0286F5" w14:textId="77777777" w:rsidR="00C11AC7" w:rsidRPr="001961D9" w:rsidRDefault="00000000">
            <w:pPr>
              <w:jc w:val="center"/>
              <w:rPr>
                <w:highlight w:val="yellow"/>
              </w:rPr>
            </w:pPr>
            <w:r w:rsidRPr="001961D9">
              <w:rPr>
                <w:sz w:val="17"/>
                <w:highlight w:val="yellow"/>
              </w:rPr>
              <w:t>Drivers/Owners Field Survey &amp; Literature</w:t>
            </w:r>
          </w:p>
        </w:tc>
        <w:tc>
          <w:tcPr>
            <w:tcW w:w="1260" w:type="dxa"/>
            <w:shd w:val="clear" w:color="auto" w:fill="F9FAFB"/>
            <w:tcMar>
              <w:top w:w="80" w:type="dxa"/>
              <w:left w:w="60" w:type="dxa"/>
              <w:bottom w:w="80" w:type="dxa"/>
              <w:right w:w="60" w:type="dxa"/>
            </w:tcMar>
          </w:tcPr>
          <w:p w14:paraId="05002D04" w14:textId="3E23C941" w:rsidR="00C11AC7" w:rsidRPr="001961D9" w:rsidRDefault="00000000">
            <w:pPr>
              <w:jc w:val="center"/>
              <w:rPr>
                <w:highlight w:val="yellow"/>
              </w:rPr>
            </w:pPr>
            <w:r w:rsidRPr="001961D9">
              <w:rPr>
                <w:sz w:val="17"/>
                <w:highlight w:val="yellow"/>
              </w:rPr>
              <w:t>Field Surveys &amp; Literature [4], [5]</w:t>
            </w:r>
            <w:r w:rsidR="001961D9" w:rsidRPr="001961D9">
              <w:rPr>
                <w:sz w:val="17"/>
                <w:highlight w:val="yellow"/>
              </w:rPr>
              <w:t xml:space="preserve">, </w:t>
            </w:r>
            <w:r w:rsidR="001961D9" w:rsidRPr="001961D9">
              <w:rPr>
                <w:sz w:val="17"/>
                <w:highlight w:val="green"/>
              </w:rPr>
              <w:t>exactly will be [8]</w:t>
            </w:r>
          </w:p>
        </w:tc>
      </w:tr>
      <w:tr w:rsidR="00C11AC7" w14:paraId="71F1C9B2" w14:textId="77777777" w:rsidTr="001961D9">
        <w:trPr>
          <w:jc w:val="center"/>
        </w:trPr>
        <w:tc>
          <w:tcPr>
            <w:tcW w:w="1170" w:type="dxa"/>
            <w:shd w:val="clear" w:color="auto" w:fill="FFFFFF"/>
            <w:tcMar>
              <w:top w:w="80" w:type="dxa"/>
              <w:left w:w="60" w:type="dxa"/>
              <w:bottom w:w="80" w:type="dxa"/>
              <w:right w:w="60" w:type="dxa"/>
            </w:tcMar>
          </w:tcPr>
          <w:p w14:paraId="071CEA7E" w14:textId="77777777" w:rsidR="00C11AC7" w:rsidRPr="00755EAF" w:rsidRDefault="00000000">
            <w:pPr>
              <w:rPr>
                <w:color w:val="auto"/>
                <w:highlight w:val="cyan"/>
              </w:rPr>
            </w:pPr>
            <w:r w:rsidRPr="00755EAF">
              <w:rPr>
                <w:color w:val="auto"/>
                <w:sz w:val="17"/>
                <w:highlight w:val="cyan"/>
              </w:rPr>
              <w:t>Scrap / Scrap Value</w:t>
            </w:r>
          </w:p>
        </w:tc>
        <w:tc>
          <w:tcPr>
            <w:tcW w:w="1890" w:type="dxa"/>
            <w:gridSpan w:val="2"/>
            <w:shd w:val="clear" w:color="auto" w:fill="FFFFFF"/>
            <w:tcMar>
              <w:top w:w="80" w:type="dxa"/>
              <w:left w:w="60" w:type="dxa"/>
              <w:bottom w:w="80" w:type="dxa"/>
              <w:right w:w="60" w:type="dxa"/>
            </w:tcMar>
          </w:tcPr>
          <w:p w14:paraId="7B5CA5A2" w14:textId="77777777" w:rsidR="00C11AC7" w:rsidRPr="00755EAF" w:rsidRDefault="00000000">
            <w:pPr>
              <w:jc w:val="center"/>
              <w:rPr>
                <w:color w:val="auto"/>
                <w:highlight w:val="cyan"/>
              </w:rPr>
            </w:pPr>
            <w:r w:rsidRPr="00755EAF">
              <w:rPr>
                <w:color w:val="auto"/>
                <w:sz w:val="17"/>
                <w:highlight w:val="cyan"/>
              </w:rPr>
              <w:t>25% – 35% of original value</w:t>
            </w:r>
            <w:r w:rsidRPr="00755EAF">
              <w:rPr>
                <w:color w:val="auto"/>
                <w:sz w:val="17"/>
                <w:highlight w:val="cyan"/>
              </w:rPr>
              <w:br/>
              <w:t xml:space="preserve">(Established lead </w:t>
            </w:r>
            <w:r w:rsidRPr="00755EAF">
              <w:rPr>
                <w:color w:val="auto"/>
                <w:sz w:val="17"/>
                <w:highlight w:val="cyan"/>
              </w:rPr>
              <w:lastRenderedPageBreak/>
              <w:t>recycling)</w:t>
            </w:r>
          </w:p>
        </w:tc>
        <w:tc>
          <w:tcPr>
            <w:tcW w:w="1548" w:type="dxa"/>
            <w:shd w:val="clear" w:color="auto" w:fill="FFFFFF"/>
            <w:tcMar>
              <w:top w:w="80" w:type="dxa"/>
              <w:left w:w="60" w:type="dxa"/>
              <w:bottom w:w="80" w:type="dxa"/>
              <w:right w:w="60" w:type="dxa"/>
            </w:tcMar>
          </w:tcPr>
          <w:p w14:paraId="2C4B2B18" w14:textId="77777777" w:rsidR="00C11AC7" w:rsidRPr="00755EAF" w:rsidRDefault="00000000">
            <w:pPr>
              <w:jc w:val="center"/>
              <w:rPr>
                <w:color w:val="auto"/>
                <w:highlight w:val="cyan"/>
              </w:rPr>
            </w:pPr>
            <w:r w:rsidRPr="00755EAF">
              <w:rPr>
                <w:color w:val="auto"/>
                <w:sz w:val="17"/>
                <w:highlight w:val="cyan"/>
              </w:rPr>
              <w:lastRenderedPageBreak/>
              <w:t>5% – 10%</w:t>
            </w:r>
            <w:r w:rsidRPr="00755EAF">
              <w:rPr>
                <w:color w:val="auto"/>
                <w:sz w:val="17"/>
                <w:highlight w:val="cyan"/>
              </w:rPr>
              <w:br/>
              <w:t xml:space="preserve">(Limited local recycling </w:t>
            </w:r>
            <w:r w:rsidRPr="00755EAF">
              <w:rPr>
                <w:color w:val="auto"/>
                <w:sz w:val="17"/>
                <w:highlight w:val="cyan"/>
              </w:rPr>
              <w:lastRenderedPageBreak/>
              <w:t>infrastructure)</w:t>
            </w:r>
          </w:p>
        </w:tc>
        <w:tc>
          <w:tcPr>
            <w:tcW w:w="1152" w:type="dxa"/>
            <w:shd w:val="clear" w:color="auto" w:fill="FFFFFF"/>
            <w:tcMar>
              <w:top w:w="80" w:type="dxa"/>
              <w:left w:w="60" w:type="dxa"/>
              <w:bottom w:w="80" w:type="dxa"/>
              <w:right w:w="60" w:type="dxa"/>
            </w:tcMar>
          </w:tcPr>
          <w:p w14:paraId="5AC0F948" w14:textId="77777777" w:rsidR="00C11AC7" w:rsidRPr="00755EAF" w:rsidRDefault="00000000">
            <w:pPr>
              <w:jc w:val="center"/>
              <w:rPr>
                <w:color w:val="auto"/>
                <w:highlight w:val="cyan"/>
              </w:rPr>
            </w:pPr>
            <w:r w:rsidRPr="00755EAF">
              <w:rPr>
                <w:color w:val="auto"/>
                <w:sz w:val="17"/>
                <w:highlight w:val="cyan"/>
              </w:rPr>
              <w:lastRenderedPageBreak/>
              <w:t>5% – 8%</w:t>
            </w:r>
            <w:r w:rsidRPr="00755EAF">
              <w:rPr>
                <w:color w:val="auto"/>
                <w:sz w:val="17"/>
                <w:highlight w:val="cyan"/>
              </w:rPr>
              <w:br/>
              <w:t xml:space="preserve">(Minimal local recovery </w:t>
            </w:r>
            <w:r w:rsidRPr="00755EAF">
              <w:rPr>
                <w:color w:val="auto"/>
                <w:sz w:val="17"/>
                <w:highlight w:val="cyan"/>
              </w:rPr>
              <w:lastRenderedPageBreak/>
              <w:t>options)</w:t>
            </w:r>
          </w:p>
        </w:tc>
        <w:tc>
          <w:tcPr>
            <w:tcW w:w="2340" w:type="dxa"/>
            <w:shd w:val="clear" w:color="auto" w:fill="FFFFFF"/>
            <w:tcMar>
              <w:top w:w="80" w:type="dxa"/>
              <w:left w:w="60" w:type="dxa"/>
              <w:bottom w:w="80" w:type="dxa"/>
              <w:right w:w="60" w:type="dxa"/>
            </w:tcMar>
          </w:tcPr>
          <w:p w14:paraId="38281686" w14:textId="77777777" w:rsidR="00C11AC7" w:rsidRPr="00755EAF" w:rsidRDefault="00000000">
            <w:pPr>
              <w:jc w:val="center"/>
              <w:rPr>
                <w:color w:val="auto"/>
                <w:highlight w:val="cyan"/>
              </w:rPr>
            </w:pPr>
            <w:r w:rsidRPr="00755EAF">
              <w:rPr>
                <w:color w:val="auto"/>
                <w:sz w:val="17"/>
                <w:highlight w:val="cyan"/>
              </w:rPr>
              <w:lastRenderedPageBreak/>
              <w:t>Secondary Metal Recyclers Market</w:t>
            </w:r>
          </w:p>
        </w:tc>
        <w:tc>
          <w:tcPr>
            <w:tcW w:w="1260" w:type="dxa"/>
            <w:shd w:val="clear" w:color="auto" w:fill="FFFFFF"/>
            <w:tcMar>
              <w:top w:w="80" w:type="dxa"/>
              <w:left w:w="60" w:type="dxa"/>
              <w:bottom w:w="80" w:type="dxa"/>
              <w:right w:w="60" w:type="dxa"/>
            </w:tcMar>
          </w:tcPr>
          <w:p w14:paraId="74F4E493" w14:textId="3445A052" w:rsidR="00C11AC7" w:rsidRPr="00755EAF" w:rsidRDefault="00000000">
            <w:pPr>
              <w:jc w:val="center"/>
              <w:rPr>
                <w:color w:val="auto"/>
                <w:highlight w:val="cyan"/>
              </w:rPr>
            </w:pPr>
            <w:r w:rsidRPr="00755EAF">
              <w:rPr>
                <w:color w:val="auto"/>
                <w:sz w:val="17"/>
                <w:highlight w:val="cyan"/>
              </w:rPr>
              <w:t xml:space="preserve">Local Metal Scrap Market </w:t>
            </w:r>
            <w:proofErr w:type="gramStart"/>
            <w:r w:rsidRPr="00755EAF">
              <w:rPr>
                <w:color w:val="auto"/>
                <w:sz w:val="17"/>
                <w:highlight w:val="cyan"/>
              </w:rPr>
              <w:lastRenderedPageBreak/>
              <w:t xml:space="preserve">Survey </w:t>
            </w:r>
            <w:r w:rsidR="00755EAF" w:rsidRPr="00755EAF">
              <w:rPr>
                <w:color w:val="auto"/>
                <w:sz w:val="17"/>
                <w:highlight w:val="cyan"/>
              </w:rPr>
              <w:t>?</w:t>
            </w:r>
            <w:proofErr w:type="gramEnd"/>
          </w:p>
        </w:tc>
      </w:tr>
      <w:tr w:rsidR="00C11AC7" w14:paraId="2ACFD869" w14:textId="77777777" w:rsidTr="001961D9">
        <w:trPr>
          <w:jc w:val="center"/>
        </w:trPr>
        <w:tc>
          <w:tcPr>
            <w:tcW w:w="1170" w:type="dxa"/>
            <w:shd w:val="clear" w:color="auto" w:fill="F9FAFB"/>
            <w:tcMar>
              <w:top w:w="80" w:type="dxa"/>
              <w:left w:w="60" w:type="dxa"/>
              <w:bottom w:w="80" w:type="dxa"/>
              <w:right w:w="60" w:type="dxa"/>
            </w:tcMar>
          </w:tcPr>
          <w:p w14:paraId="63D399E3" w14:textId="77777777" w:rsidR="00C11AC7" w:rsidRPr="00755EAF" w:rsidRDefault="00000000">
            <w:pPr>
              <w:rPr>
                <w:color w:val="000000" w:themeColor="text1"/>
                <w:highlight w:val="cyan"/>
              </w:rPr>
            </w:pPr>
            <w:r w:rsidRPr="00755EAF">
              <w:rPr>
                <w:color w:val="000000" w:themeColor="text1"/>
                <w:sz w:val="17"/>
                <w:highlight w:val="cyan"/>
              </w:rPr>
              <w:lastRenderedPageBreak/>
              <w:t>Daily Cycles</w:t>
            </w:r>
          </w:p>
        </w:tc>
        <w:tc>
          <w:tcPr>
            <w:tcW w:w="1890" w:type="dxa"/>
            <w:gridSpan w:val="2"/>
            <w:shd w:val="clear" w:color="auto" w:fill="F9FAFB"/>
            <w:tcMar>
              <w:top w:w="80" w:type="dxa"/>
              <w:left w:w="60" w:type="dxa"/>
              <w:bottom w:w="80" w:type="dxa"/>
              <w:right w:w="60" w:type="dxa"/>
            </w:tcMar>
          </w:tcPr>
          <w:p w14:paraId="47C38CC8" w14:textId="77777777" w:rsidR="00C11AC7" w:rsidRPr="00755EAF" w:rsidRDefault="00000000">
            <w:pPr>
              <w:jc w:val="center"/>
              <w:rPr>
                <w:color w:val="000000" w:themeColor="text1"/>
                <w:highlight w:val="cyan"/>
              </w:rPr>
            </w:pPr>
            <w:r w:rsidRPr="00755EAF">
              <w:rPr>
                <w:color w:val="000000" w:themeColor="text1"/>
                <w:sz w:val="17"/>
                <w:highlight w:val="cyan"/>
              </w:rPr>
              <w:t>1.0 – 1.5 cycles/day</w:t>
            </w:r>
            <w:r w:rsidRPr="00755EAF">
              <w:rPr>
                <w:color w:val="000000" w:themeColor="text1"/>
                <w:sz w:val="17"/>
                <w:highlight w:val="cyan"/>
              </w:rPr>
              <w:br/>
              <w:t>(Long overnight charge)</w:t>
            </w:r>
          </w:p>
        </w:tc>
        <w:tc>
          <w:tcPr>
            <w:tcW w:w="1548" w:type="dxa"/>
            <w:shd w:val="clear" w:color="auto" w:fill="F9FAFB"/>
            <w:tcMar>
              <w:top w:w="80" w:type="dxa"/>
              <w:left w:w="60" w:type="dxa"/>
              <w:bottom w:w="80" w:type="dxa"/>
              <w:right w:w="60" w:type="dxa"/>
            </w:tcMar>
          </w:tcPr>
          <w:p w14:paraId="33FC9D0A" w14:textId="77777777" w:rsidR="00C11AC7" w:rsidRPr="00755EAF" w:rsidRDefault="00000000">
            <w:pPr>
              <w:jc w:val="center"/>
              <w:rPr>
                <w:color w:val="000000" w:themeColor="text1"/>
                <w:highlight w:val="cyan"/>
              </w:rPr>
            </w:pPr>
            <w:r w:rsidRPr="00755EAF">
              <w:rPr>
                <w:color w:val="000000" w:themeColor="text1"/>
                <w:sz w:val="17"/>
                <w:highlight w:val="cyan"/>
              </w:rPr>
              <w:t>1.5 – 2.0 cycles/day</w:t>
            </w:r>
            <w:r w:rsidRPr="00755EAF">
              <w:rPr>
                <w:color w:val="000000" w:themeColor="text1"/>
                <w:sz w:val="17"/>
                <w:highlight w:val="cyan"/>
              </w:rPr>
              <w:br/>
              <w:t>(Midday opportunity charging)</w:t>
            </w:r>
          </w:p>
        </w:tc>
        <w:tc>
          <w:tcPr>
            <w:tcW w:w="1152" w:type="dxa"/>
            <w:shd w:val="clear" w:color="auto" w:fill="F9FAFB"/>
            <w:tcMar>
              <w:top w:w="80" w:type="dxa"/>
              <w:left w:w="60" w:type="dxa"/>
              <w:bottom w:w="80" w:type="dxa"/>
              <w:right w:w="60" w:type="dxa"/>
            </w:tcMar>
          </w:tcPr>
          <w:p w14:paraId="7D214DF0" w14:textId="77777777" w:rsidR="00C11AC7" w:rsidRPr="00755EAF" w:rsidRDefault="00000000">
            <w:pPr>
              <w:jc w:val="center"/>
              <w:rPr>
                <w:color w:val="000000" w:themeColor="text1"/>
                <w:highlight w:val="cyan"/>
              </w:rPr>
            </w:pPr>
            <w:r w:rsidRPr="00755EAF">
              <w:rPr>
                <w:color w:val="000000" w:themeColor="text1"/>
                <w:sz w:val="17"/>
                <w:highlight w:val="cyan"/>
              </w:rPr>
              <w:t>1.5 – 1.8 cycles/day</w:t>
            </w:r>
            <w:r w:rsidRPr="00755EAF">
              <w:rPr>
                <w:color w:val="000000" w:themeColor="text1"/>
                <w:sz w:val="17"/>
                <w:highlight w:val="cyan"/>
              </w:rPr>
              <w:br/>
              <w:t>(Fast charging capability)</w:t>
            </w:r>
          </w:p>
        </w:tc>
        <w:tc>
          <w:tcPr>
            <w:tcW w:w="2340" w:type="dxa"/>
            <w:shd w:val="clear" w:color="auto" w:fill="F9FAFB"/>
            <w:tcMar>
              <w:top w:w="80" w:type="dxa"/>
              <w:left w:w="60" w:type="dxa"/>
              <w:bottom w:w="80" w:type="dxa"/>
              <w:right w:w="60" w:type="dxa"/>
            </w:tcMar>
          </w:tcPr>
          <w:p w14:paraId="01B7F111" w14:textId="77777777" w:rsidR="00C11AC7" w:rsidRPr="00755EAF" w:rsidRDefault="00000000">
            <w:pPr>
              <w:jc w:val="center"/>
              <w:rPr>
                <w:color w:val="000000" w:themeColor="text1"/>
                <w:highlight w:val="cyan"/>
              </w:rPr>
            </w:pPr>
            <w:r w:rsidRPr="00755EAF">
              <w:rPr>
                <w:color w:val="000000" w:themeColor="text1"/>
                <w:sz w:val="17"/>
                <w:highlight w:val="cyan"/>
              </w:rPr>
              <w:t>Driver Survey Data</w:t>
            </w:r>
          </w:p>
        </w:tc>
        <w:tc>
          <w:tcPr>
            <w:tcW w:w="1260" w:type="dxa"/>
            <w:shd w:val="clear" w:color="auto" w:fill="F9FAFB"/>
            <w:tcMar>
              <w:top w:w="80" w:type="dxa"/>
              <w:left w:w="60" w:type="dxa"/>
              <w:bottom w:w="80" w:type="dxa"/>
              <w:right w:w="60" w:type="dxa"/>
            </w:tcMar>
          </w:tcPr>
          <w:p w14:paraId="08A7DCD7" w14:textId="77777777" w:rsidR="00C11AC7" w:rsidRPr="00755EAF" w:rsidRDefault="00000000">
            <w:pPr>
              <w:jc w:val="center"/>
              <w:rPr>
                <w:color w:val="000000" w:themeColor="text1"/>
                <w:highlight w:val="cyan"/>
              </w:rPr>
            </w:pPr>
            <w:r w:rsidRPr="00755EAF">
              <w:rPr>
                <w:color w:val="000000" w:themeColor="text1"/>
                <w:sz w:val="17"/>
                <w:highlight w:val="cyan"/>
              </w:rPr>
              <w:t>Primary Field Survey Data [1], [4]</w:t>
            </w:r>
          </w:p>
        </w:tc>
      </w:tr>
      <w:tr w:rsidR="00C11AC7" w14:paraId="081AEBB3" w14:textId="77777777" w:rsidTr="001961D9">
        <w:trPr>
          <w:jc w:val="center"/>
        </w:trPr>
        <w:tc>
          <w:tcPr>
            <w:tcW w:w="1170" w:type="dxa"/>
            <w:shd w:val="clear" w:color="auto" w:fill="FFFFFF"/>
            <w:tcMar>
              <w:top w:w="80" w:type="dxa"/>
              <w:left w:w="60" w:type="dxa"/>
              <w:bottom w:w="80" w:type="dxa"/>
              <w:right w:w="60" w:type="dxa"/>
            </w:tcMar>
          </w:tcPr>
          <w:p w14:paraId="02ADF660" w14:textId="77777777" w:rsidR="00C11AC7" w:rsidRPr="00755EAF" w:rsidRDefault="00000000">
            <w:pPr>
              <w:rPr>
                <w:highlight w:val="yellow"/>
              </w:rPr>
            </w:pPr>
            <w:r w:rsidRPr="00755EAF">
              <w:rPr>
                <w:sz w:val="17"/>
                <w:highlight w:val="yellow"/>
              </w:rPr>
              <w:t>Temperature Threshold</w:t>
            </w:r>
          </w:p>
        </w:tc>
        <w:tc>
          <w:tcPr>
            <w:tcW w:w="1890" w:type="dxa"/>
            <w:gridSpan w:val="2"/>
            <w:shd w:val="clear" w:color="auto" w:fill="FFFFFF"/>
            <w:tcMar>
              <w:top w:w="80" w:type="dxa"/>
              <w:left w:w="60" w:type="dxa"/>
              <w:bottom w:w="80" w:type="dxa"/>
              <w:right w:w="60" w:type="dxa"/>
            </w:tcMar>
          </w:tcPr>
          <w:p w14:paraId="66D17AFB" w14:textId="77777777" w:rsidR="00C11AC7" w:rsidRPr="00755EAF" w:rsidRDefault="00000000">
            <w:pPr>
              <w:jc w:val="center"/>
              <w:rPr>
                <w:highlight w:val="yellow"/>
              </w:rPr>
            </w:pPr>
            <w:r w:rsidRPr="00755EAF">
              <w:rPr>
                <w:sz w:val="17"/>
                <w:highlight w:val="yellow"/>
              </w:rPr>
              <w:t>25°C – 38°C</w:t>
            </w:r>
            <w:r w:rsidRPr="00755EAF">
              <w:rPr>
                <w:sz w:val="17"/>
                <w:highlight w:val="yellow"/>
              </w:rPr>
              <w:br/>
              <w:t>(Thermal degradation risk)</w:t>
            </w:r>
          </w:p>
        </w:tc>
        <w:tc>
          <w:tcPr>
            <w:tcW w:w="1548" w:type="dxa"/>
            <w:shd w:val="clear" w:color="auto" w:fill="FFFFFF"/>
            <w:tcMar>
              <w:top w:w="80" w:type="dxa"/>
              <w:left w:w="60" w:type="dxa"/>
              <w:bottom w:w="80" w:type="dxa"/>
              <w:right w:w="60" w:type="dxa"/>
            </w:tcMar>
          </w:tcPr>
          <w:p w14:paraId="0D67D6ED" w14:textId="77777777" w:rsidR="00C11AC7" w:rsidRPr="00755EAF" w:rsidRDefault="00000000">
            <w:pPr>
              <w:jc w:val="center"/>
              <w:rPr>
                <w:highlight w:val="yellow"/>
              </w:rPr>
            </w:pPr>
            <w:r w:rsidRPr="00755EAF">
              <w:rPr>
                <w:sz w:val="17"/>
                <w:highlight w:val="yellow"/>
              </w:rPr>
              <w:t>25°C – 45°C</w:t>
            </w:r>
            <w:r w:rsidRPr="00755EAF">
              <w:rPr>
                <w:sz w:val="17"/>
                <w:highlight w:val="yellow"/>
              </w:rPr>
              <w:br/>
              <w:t>(High thermal stability &amp; safety)</w:t>
            </w:r>
          </w:p>
        </w:tc>
        <w:tc>
          <w:tcPr>
            <w:tcW w:w="1152" w:type="dxa"/>
            <w:shd w:val="clear" w:color="auto" w:fill="FFFFFF"/>
            <w:tcMar>
              <w:top w:w="80" w:type="dxa"/>
              <w:left w:w="60" w:type="dxa"/>
              <w:bottom w:w="80" w:type="dxa"/>
              <w:right w:w="60" w:type="dxa"/>
            </w:tcMar>
          </w:tcPr>
          <w:p w14:paraId="63AD0BD3" w14:textId="77777777" w:rsidR="00C11AC7" w:rsidRPr="00755EAF" w:rsidRDefault="00000000">
            <w:pPr>
              <w:jc w:val="center"/>
              <w:rPr>
                <w:highlight w:val="yellow"/>
              </w:rPr>
            </w:pPr>
            <w:r w:rsidRPr="00755EAF">
              <w:rPr>
                <w:sz w:val="17"/>
                <w:highlight w:val="yellow"/>
              </w:rPr>
              <w:t>20°C – 35°C</w:t>
            </w:r>
            <w:r w:rsidRPr="00755EAF">
              <w:rPr>
                <w:sz w:val="17"/>
                <w:highlight w:val="yellow"/>
              </w:rPr>
              <w:br/>
              <w:t>(Requires active thermal monitoring)</w:t>
            </w:r>
          </w:p>
        </w:tc>
        <w:tc>
          <w:tcPr>
            <w:tcW w:w="2340" w:type="dxa"/>
            <w:shd w:val="clear" w:color="auto" w:fill="FFFFFF"/>
            <w:tcMar>
              <w:top w:w="80" w:type="dxa"/>
              <w:left w:w="60" w:type="dxa"/>
              <w:bottom w:w="80" w:type="dxa"/>
              <w:right w:w="60" w:type="dxa"/>
            </w:tcMar>
          </w:tcPr>
          <w:p w14:paraId="00AB93AB" w14:textId="24661E58" w:rsidR="00C11AC7" w:rsidRPr="00755EAF" w:rsidRDefault="00755EAF">
            <w:pPr>
              <w:jc w:val="center"/>
              <w:rPr>
                <w:highlight w:val="yellow"/>
              </w:rPr>
            </w:pPr>
            <w:r w:rsidRPr="00755EAF">
              <w:rPr>
                <w:sz w:val="17"/>
                <w:szCs w:val="17"/>
                <w:highlight w:val="yellow"/>
              </w:rPr>
              <w:t>Broadly consistent with [5]'s findings on NMC's greater temperature sensitivity, but the exact ambient-range numbers are not from a BD-specific study — cite as INDUSTRY-TYPICAL plus BMD (Bangladesh Meteorological Department) for local ambient baseline.</w:t>
            </w:r>
          </w:p>
        </w:tc>
        <w:tc>
          <w:tcPr>
            <w:tcW w:w="1260" w:type="dxa"/>
            <w:shd w:val="clear" w:color="auto" w:fill="FFFFFF"/>
            <w:tcMar>
              <w:top w:w="80" w:type="dxa"/>
              <w:left w:w="60" w:type="dxa"/>
              <w:bottom w:w="80" w:type="dxa"/>
              <w:right w:w="60" w:type="dxa"/>
            </w:tcMar>
          </w:tcPr>
          <w:p w14:paraId="514CBDD1" w14:textId="62B0F6BF" w:rsidR="00C11AC7" w:rsidRPr="00755EAF" w:rsidRDefault="00000000">
            <w:pPr>
              <w:jc w:val="center"/>
              <w:rPr>
                <w:highlight w:val="yellow"/>
              </w:rPr>
            </w:pPr>
            <w:r w:rsidRPr="00755EAF">
              <w:rPr>
                <w:sz w:val="17"/>
                <w:highlight w:val="yellow"/>
              </w:rPr>
              <w:t>BMD Climate Data &amp; Specs [5], [6]</w:t>
            </w:r>
            <w:r w:rsidR="00755EAF" w:rsidRPr="00755EAF">
              <w:rPr>
                <w:sz w:val="17"/>
                <w:highlight w:val="yellow"/>
              </w:rPr>
              <w:t xml:space="preserve"> </w:t>
            </w:r>
            <w:proofErr w:type="spellStart"/>
            <w:r w:rsidR="00755EAF" w:rsidRPr="00755EAF">
              <w:rPr>
                <w:color w:val="auto"/>
                <w:sz w:val="17"/>
                <w:highlight w:val="green"/>
              </w:rPr>
              <w:t>sould</w:t>
            </w:r>
            <w:proofErr w:type="spellEnd"/>
            <w:r w:rsidR="00755EAF" w:rsidRPr="00755EAF">
              <w:rPr>
                <w:color w:val="auto"/>
                <w:sz w:val="17"/>
                <w:highlight w:val="green"/>
              </w:rPr>
              <w:t xml:space="preserve"> be [</w:t>
            </w:r>
            <w:proofErr w:type="gramStart"/>
            <w:r w:rsidR="00755EAF" w:rsidRPr="00755EAF">
              <w:rPr>
                <w:color w:val="auto"/>
                <w:sz w:val="17"/>
                <w:highlight w:val="green"/>
              </w:rPr>
              <w:t>9]+</w:t>
            </w:r>
            <w:proofErr w:type="gramEnd"/>
            <w:r w:rsidR="00755EAF" w:rsidRPr="00755EAF">
              <w:rPr>
                <w:color w:val="auto"/>
                <w:sz w:val="17"/>
                <w:highlight w:val="green"/>
              </w:rPr>
              <w:t>BMD</w:t>
            </w:r>
          </w:p>
        </w:tc>
      </w:tr>
      <w:tr w:rsidR="00C11AC7" w14:paraId="59EFA796" w14:textId="77777777" w:rsidTr="001961D9">
        <w:trPr>
          <w:jc w:val="center"/>
        </w:trPr>
        <w:tc>
          <w:tcPr>
            <w:tcW w:w="1170" w:type="dxa"/>
            <w:shd w:val="clear" w:color="auto" w:fill="F9FAFB"/>
            <w:tcMar>
              <w:top w:w="80" w:type="dxa"/>
              <w:left w:w="60" w:type="dxa"/>
              <w:bottom w:w="80" w:type="dxa"/>
              <w:right w:w="60" w:type="dxa"/>
            </w:tcMar>
          </w:tcPr>
          <w:p w14:paraId="0BD0D8C5" w14:textId="77777777" w:rsidR="00C11AC7" w:rsidRDefault="00000000">
            <w:r>
              <w:rPr>
                <w:sz w:val="17"/>
              </w:rPr>
              <w:t>Electricity Tariff</w:t>
            </w:r>
          </w:p>
        </w:tc>
        <w:tc>
          <w:tcPr>
            <w:tcW w:w="1890" w:type="dxa"/>
            <w:gridSpan w:val="2"/>
            <w:shd w:val="clear" w:color="auto" w:fill="F9FAFB"/>
            <w:tcMar>
              <w:top w:w="80" w:type="dxa"/>
              <w:left w:w="60" w:type="dxa"/>
              <w:bottom w:w="80" w:type="dxa"/>
              <w:right w:w="60" w:type="dxa"/>
            </w:tcMar>
          </w:tcPr>
          <w:p w14:paraId="6618AD85" w14:textId="77777777" w:rsidR="00C11AC7" w:rsidRDefault="00000000">
            <w:pPr>
              <w:jc w:val="center"/>
            </w:pPr>
            <w:r>
              <w:rPr>
                <w:sz w:val="17"/>
              </w:rPr>
              <w:t>BDT 7.70 / kWh (Flat EV) to BDT 16.24 / kWh (Commercial)</w:t>
            </w:r>
          </w:p>
        </w:tc>
        <w:tc>
          <w:tcPr>
            <w:tcW w:w="1548" w:type="dxa"/>
            <w:shd w:val="clear" w:color="auto" w:fill="F9FAFB"/>
            <w:tcMar>
              <w:top w:w="80" w:type="dxa"/>
              <w:left w:w="60" w:type="dxa"/>
              <w:bottom w:w="80" w:type="dxa"/>
              <w:right w:w="60" w:type="dxa"/>
            </w:tcMar>
          </w:tcPr>
          <w:p w14:paraId="5BC5AABF" w14:textId="77777777" w:rsidR="00C11AC7" w:rsidRDefault="00000000">
            <w:pPr>
              <w:jc w:val="center"/>
            </w:pPr>
            <w:r>
              <w:rPr>
                <w:sz w:val="17"/>
              </w:rPr>
              <w:t>BDT 7.70 / kWh (Flat EV) to BDT 16.24 / kWh (Commercial)</w:t>
            </w:r>
          </w:p>
        </w:tc>
        <w:tc>
          <w:tcPr>
            <w:tcW w:w="1152" w:type="dxa"/>
            <w:shd w:val="clear" w:color="auto" w:fill="F9FAFB"/>
            <w:tcMar>
              <w:top w:w="80" w:type="dxa"/>
              <w:left w:w="60" w:type="dxa"/>
              <w:bottom w:w="80" w:type="dxa"/>
              <w:right w:w="60" w:type="dxa"/>
            </w:tcMar>
          </w:tcPr>
          <w:p w14:paraId="49343CA6" w14:textId="77777777" w:rsidR="00C11AC7" w:rsidRDefault="00000000">
            <w:pPr>
              <w:jc w:val="center"/>
            </w:pPr>
            <w:r>
              <w:rPr>
                <w:sz w:val="17"/>
              </w:rPr>
              <w:t>BDT 7.70 / kWh (Flat EV) to BDT 16.24 / kWh (Commercial)</w:t>
            </w:r>
          </w:p>
        </w:tc>
        <w:tc>
          <w:tcPr>
            <w:tcW w:w="2340" w:type="dxa"/>
            <w:shd w:val="clear" w:color="auto" w:fill="F9FAFB"/>
            <w:tcMar>
              <w:top w:w="80" w:type="dxa"/>
              <w:left w:w="60" w:type="dxa"/>
              <w:bottom w:w="80" w:type="dxa"/>
              <w:right w:w="60" w:type="dxa"/>
            </w:tcMar>
          </w:tcPr>
          <w:p w14:paraId="74078F48" w14:textId="77777777" w:rsidR="00C11AC7" w:rsidRDefault="00000000">
            <w:pPr>
              <w:jc w:val="center"/>
            </w:pPr>
            <w:r>
              <w:rPr>
                <w:sz w:val="17"/>
              </w:rPr>
              <w:t>BERC Tariff Orders &amp; Gazette</w:t>
            </w:r>
          </w:p>
        </w:tc>
        <w:tc>
          <w:tcPr>
            <w:tcW w:w="1260" w:type="dxa"/>
            <w:shd w:val="clear" w:color="auto" w:fill="F9FAFB"/>
            <w:tcMar>
              <w:top w:w="80" w:type="dxa"/>
              <w:left w:w="60" w:type="dxa"/>
              <w:bottom w:w="80" w:type="dxa"/>
              <w:right w:w="60" w:type="dxa"/>
            </w:tcMar>
          </w:tcPr>
          <w:p w14:paraId="6110BB55" w14:textId="77777777" w:rsidR="00C11AC7" w:rsidRDefault="00000000">
            <w:pPr>
              <w:jc w:val="center"/>
            </w:pPr>
            <w:r>
              <w:rPr>
                <w:sz w:val="17"/>
              </w:rPr>
              <w:t>BERC Official Tariff Directives [2], [3]</w:t>
            </w:r>
          </w:p>
        </w:tc>
      </w:tr>
      <w:tr w:rsidR="00C11AC7" w14:paraId="008CFE90" w14:textId="77777777" w:rsidTr="001961D9">
        <w:trPr>
          <w:jc w:val="center"/>
        </w:trPr>
        <w:tc>
          <w:tcPr>
            <w:tcW w:w="1170" w:type="dxa"/>
            <w:shd w:val="clear" w:color="auto" w:fill="FFFFFF"/>
            <w:tcMar>
              <w:top w:w="80" w:type="dxa"/>
              <w:left w:w="60" w:type="dxa"/>
              <w:bottom w:w="80" w:type="dxa"/>
              <w:right w:w="60" w:type="dxa"/>
            </w:tcMar>
          </w:tcPr>
          <w:p w14:paraId="59FCFB0F" w14:textId="4DFE01AD" w:rsidR="00C11AC7" w:rsidRDefault="004E784F">
            <w:r w:rsidRPr="004E784F">
              <w:rPr>
                <w:sz w:val="17"/>
              </w:rPr>
              <w:t>Active Vehicle Count</w:t>
            </w:r>
          </w:p>
        </w:tc>
        <w:tc>
          <w:tcPr>
            <w:tcW w:w="1890" w:type="dxa"/>
            <w:gridSpan w:val="2"/>
            <w:shd w:val="clear" w:color="auto" w:fill="FFFFFF"/>
            <w:tcMar>
              <w:top w:w="80" w:type="dxa"/>
              <w:left w:w="60" w:type="dxa"/>
              <w:bottom w:w="80" w:type="dxa"/>
              <w:right w:w="60" w:type="dxa"/>
            </w:tcMar>
          </w:tcPr>
          <w:p w14:paraId="593858EC" w14:textId="0F07B5CF" w:rsidR="00C11AC7" w:rsidRDefault="004E784F">
            <w:pPr>
              <w:jc w:val="center"/>
            </w:pPr>
            <w:r w:rsidRPr="004E784F">
              <w:rPr>
                <w:b/>
                <w:bCs/>
                <w:sz w:val="17"/>
              </w:rPr>
              <w:t>~1.26M – 1.70M</w:t>
            </w:r>
            <w:r w:rsidRPr="004E784F">
              <w:rPr>
                <w:sz w:val="17"/>
              </w:rPr>
              <w:t xml:space="preserve"> vehicles </w:t>
            </w:r>
            <w:r w:rsidRPr="004E784F">
              <w:rPr>
                <w:i/>
                <w:iCs/>
                <w:sz w:val="17"/>
              </w:rPr>
              <w:t>(~85%–90% of total fleet)</w:t>
            </w:r>
          </w:p>
        </w:tc>
        <w:tc>
          <w:tcPr>
            <w:tcW w:w="1548" w:type="dxa"/>
            <w:shd w:val="clear" w:color="auto" w:fill="FFFFFF"/>
            <w:tcMar>
              <w:top w:w="80" w:type="dxa"/>
              <w:left w:w="60" w:type="dxa"/>
              <w:bottom w:w="80" w:type="dxa"/>
              <w:right w:w="60" w:type="dxa"/>
            </w:tcMar>
          </w:tcPr>
          <w:p w14:paraId="61B833D8" w14:textId="22841B8D" w:rsidR="00C11AC7" w:rsidRDefault="004E784F">
            <w:pPr>
              <w:jc w:val="center"/>
            </w:pPr>
            <w:r w:rsidRPr="004E784F">
              <w:rPr>
                <w:b/>
                <w:bCs/>
                <w:sz w:val="17"/>
              </w:rPr>
              <w:t>~110,000 – 240,000</w:t>
            </w:r>
            <w:r w:rsidRPr="004E784F">
              <w:rPr>
                <w:sz w:val="17"/>
              </w:rPr>
              <w:t xml:space="preserve"> vehicles </w:t>
            </w:r>
            <w:r w:rsidRPr="004E784F">
              <w:rPr>
                <w:i/>
                <w:iCs/>
                <w:sz w:val="17"/>
              </w:rPr>
              <w:t>(~8%–12% of total fleet)</w:t>
            </w:r>
          </w:p>
        </w:tc>
        <w:tc>
          <w:tcPr>
            <w:tcW w:w="1152" w:type="dxa"/>
            <w:shd w:val="clear" w:color="auto" w:fill="FFFFFF"/>
            <w:tcMar>
              <w:top w:w="80" w:type="dxa"/>
              <w:left w:w="60" w:type="dxa"/>
              <w:bottom w:w="80" w:type="dxa"/>
              <w:right w:w="60" w:type="dxa"/>
            </w:tcMar>
          </w:tcPr>
          <w:p w14:paraId="72A9C4B3" w14:textId="58890892" w:rsidR="00C11AC7" w:rsidRDefault="004E784F">
            <w:pPr>
              <w:jc w:val="center"/>
            </w:pPr>
            <w:r w:rsidRPr="004E784F">
              <w:rPr>
                <w:b/>
                <w:bCs/>
                <w:sz w:val="17"/>
              </w:rPr>
              <w:t>~28,000 – 60,000</w:t>
            </w:r>
            <w:r w:rsidRPr="004E784F">
              <w:rPr>
                <w:sz w:val="17"/>
              </w:rPr>
              <w:t xml:space="preserve"> vehicles </w:t>
            </w:r>
            <w:r w:rsidRPr="004E784F">
              <w:rPr>
                <w:i/>
                <w:iCs/>
                <w:sz w:val="17"/>
              </w:rPr>
              <w:t>(~2%–3% of total fleet)</w:t>
            </w:r>
          </w:p>
        </w:tc>
        <w:tc>
          <w:tcPr>
            <w:tcW w:w="2340" w:type="dxa"/>
            <w:shd w:val="clear" w:color="auto" w:fill="FFFFFF"/>
            <w:tcMar>
              <w:top w:w="80" w:type="dxa"/>
              <w:left w:w="60" w:type="dxa"/>
              <w:bottom w:w="80" w:type="dxa"/>
              <w:right w:w="60" w:type="dxa"/>
            </w:tcMar>
          </w:tcPr>
          <w:p w14:paraId="75EC020F" w14:textId="054367F7" w:rsidR="00C11AC7" w:rsidRDefault="004E784F">
            <w:pPr>
              <w:jc w:val="center"/>
            </w:pPr>
            <w:r w:rsidRPr="004E784F">
              <w:rPr>
                <w:sz w:val="17"/>
              </w:rPr>
              <w:t>SREDA, CLEAN &amp; BWGED Study, Market Imports</w:t>
            </w:r>
          </w:p>
        </w:tc>
        <w:tc>
          <w:tcPr>
            <w:tcW w:w="1260" w:type="dxa"/>
            <w:shd w:val="clear" w:color="auto" w:fill="FFFFFF"/>
            <w:tcMar>
              <w:top w:w="80" w:type="dxa"/>
              <w:left w:w="60" w:type="dxa"/>
              <w:bottom w:w="80" w:type="dxa"/>
              <w:right w:w="60" w:type="dxa"/>
            </w:tcMar>
          </w:tcPr>
          <w:p w14:paraId="7A17DD2D" w14:textId="11D6AC54" w:rsidR="00C11AC7" w:rsidRDefault="004E784F">
            <w:pPr>
              <w:jc w:val="center"/>
            </w:pPr>
            <w:r w:rsidRPr="004E784F">
              <w:rPr>
                <w:sz w:val="17"/>
              </w:rPr>
              <w:t>Field Survey Estimates &amp; CLEAN Report [1], [7]</w:t>
            </w:r>
          </w:p>
        </w:tc>
      </w:tr>
      <w:tr w:rsidR="00755EAF" w14:paraId="4E27B218" w14:textId="77777777" w:rsidTr="001961D9">
        <w:trPr>
          <w:jc w:val="center"/>
        </w:trPr>
        <w:tc>
          <w:tcPr>
            <w:tcW w:w="1170" w:type="dxa"/>
            <w:shd w:val="clear" w:color="auto" w:fill="FFFFFF"/>
            <w:tcMar>
              <w:top w:w="80" w:type="dxa"/>
              <w:left w:w="60" w:type="dxa"/>
              <w:bottom w:w="80" w:type="dxa"/>
              <w:right w:w="60" w:type="dxa"/>
            </w:tcMar>
          </w:tcPr>
          <w:p w14:paraId="5287B95D" w14:textId="38551B39" w:rsidR="00755EAF" w:rsidRPr="00755EAF" w:rsidRDefault="00755EAF" w:rsidP="00755EAF">
            <w:pPr>
              <w:rPr>
                <w:sz w:val="17"/>
                <w:highlight w:val="yellow"/>
              </w:rPr>
            </w:pPr>
            <w:r w:rsidRPr="00755EAF">
              <w:rPr>
                <w:sz w:val="17"/>
                <w:szCs w:val="17"/>
                <w:highlight w:val="yellow"/>
              </w:rPr>
              <w:t>Thermal Runaway Onset</w:t>
            </w:r>
          </w:p>
        </w:tc>
        <w:tc>
          <w:tcPr>
            <w:tcW w:w="1890" w:type="dxa"/>
            <w:gridSpan w:val="2"/>
            <w:shd w:val="clear" w:color="auto" w:fill="FFFFFF"/>
            <w:tcMar>
              <w:top w:w="80" w:type="dxa"/>
              <w:left w:w="60" w:type="dxa"/>
              <w:bottom w:w="80" w:type="dxa"/>
              <w:right w:w="60" w:type="dxa"/>
            </w:tcMar>
          </w:tcPr>
          <w:p w14:paraId="3BDEFD0D" w14:textId="34022EAD" w:rsidR="00755EAF" w:rsidRPr="00755EAF" w:rsidRDefault="00755EAF" w:rsidP="00755EAF">
            <w:pPr>
              <w:jc w:val="center"/>
              <w:rPr>
                <w:b/>
                <w:bCs/>
                <w:sz w:val="17"/>
                <w:highlight w:val="yellow"/>
              </w:rPr>
            </w:pPr>
            <w:r w:rsidRPr="00755EAF">
              <w:rPr>
                <w:sz w:val="17"/>
                <w:szCs w:val="17"/>
                <w:highlight w:val="yellow"/>
              </w:rPr>
              <w:t>Not applicable (no runaway mode)</w:t>
            </w:r>
          </w:p>
        </w:tc>
        <w:tc>
          <w:tcPr>
            <w:tcW w:w="1548" w:type="dxa"/>
            <w:shd w:val="clear" w:color="auto" w:fill="FFFFFF"/>
            <w:tcMar>
              <w:top w:w="80" w:type="dxa"/>
              <w:left w:w="60" w:type="dxa"/>
              <w:bottom w:w="80" w:type="dxa"/>
              <w:right w:w="60" w:type="dxa"/>
            </w:tcMar>
          </w:tcPr>
          <w:p w14:paraId="749EB483" w14:textId="52C57BF0" w:rsidR="00755EAF" w:rsidRPr="00755EAF" w:rsidRDefault="00755EAF" w:rsidP="00755EAF">
            <w:pPr>
              <w:jc w:val="center"/>
              <w:rPr>
                <w:b/>
                <w:bCs/>
                <w:sz w:val="17"/>
                <w:highlight w:val="yellow"/>
              </w:rPr>
            </w:pPr>
            <w:r w:rsidRPr="00755EAF">
              <w:rPr>
                <w:sz w:val="17"/>
                <w:szCs w:val="17"/>
                <w:highlight w:val="yellow"/>
              </w:rPr>
              <w:t>&gt;270°C (olivine cathode, high thermal mass)</w:t>
            </w:r>
          </w:p>
        </w:tc>
        <w:tc>
          <w:tcPr>
            <w:tcW w:w="1152" w:type="dxa"/>
            <w:shd w:val="clear" w:color="auto" w:fill="FFFFFF"/>
            <w:tcMar>
              <w:top w:w="80" w:type="dxa"/>
              <w:left w:w="60" w:type="dxa"/>
              <w:bottom w:w="80" w:type="dxa"/>
              <w:right w:w="60" w:type="dxa"/>
            </w:tcMar>
          </w:tcPr>
          <w:p w14:paraId="077FE8CC" w14:textId="7D307EE6" w:rsidR="00755EAF" w:rsidRPr="00755EAF" w:rsidRDefault="00755EAF" w:rsidP="00755EAF">
            <w:pPr>
              <w:jc w:val="center"/>
              <w:rPr>
                <w:b/>
                <w:bCs/>
                <w:sz w:val="17"/>
                <w:highlight w:val="yellow"/>
              </w:rPr>
            </w:pPr>
            <w:r w:rsidRPr="00755EAF">
              <w:rPr>
                <w:sz w:val="17"/>
                <w:szCs w:val="17"/>
                <w:highlight w:val="yellow"/>
              </w:rPr>
              <w:t>150–210°C (nickel-rich cathodes more reactive)</w:t>
            </w:r>
          </w:p>
        </w:tc>
        <w:tc>
          <w:tcPr>
            <w:tcW w:w="2340" w:type="dxa"/>
            <w:shd w:val="clear" w:color="auto" w:fill="FFFFFF"/>
            <w:tcMar>
              <w:top w:w="80" w:type="dxa"/>
              <w:left w:w="60" w:type="dxa"/>
              <w:bottom w:w="80" w:type="dxa"/>
              <w:right w:w="60" w:type="dxa"/>
            </w:tcMar>
          </w:tcPr>
          <w:p w14:paraId="5112A077" w14:textId="189AFD46" w:rsidR="00755EAF" w:rsidRPr="00755EAF" w:rsidRDefault="00755EAF" w:rsidP="00755EAF">
            <w:pPr>
              <w:jc w:val="center"/>
              <w:rPr>
                <w:sz w:val="17"/>
                <w:highlight w:val="yellow"/>
              </w:rPr>
            </w:pPr>
            <w:r w:rsidRPr="00755EAF">
              <w:rPr>
                <w:sz w:val="17"/>
                <w:szCs w:val="17"/>
                <w:highlight w:val="yellow"/>
              </w:rPr>
              <w:t>(ACADEMIC) via [</w:t>
            </w:r>
            <w:r w:rsidRPr="00755EAF">
              <w:rPr>
                <w:sz w:val="17"/>
                <w:szCs w:val="17"/>
                <w:highlight w:val="yellow"/>
              </w:rPr>
              <w:t>9</w:t>
            </w:r>
            <w:r w:rsidRPr="00755EAF">
              <w:rPr>
                <w:sz w:val="17"/>
                <w:szCs w:val="17"/>
                <w:highlight w:val="yellow"/>
              </w:rPr>
              <w:t>] — real 2024 comparative study, NMC-811 vs LFP.</w:t>
            </w:r>
          </w:p>
        </w:tc>
        <w:tc>
          <w:tcPr>
            <w:tcW w:w="1260" w:type="dxa"/>
            <w:shd w:val="clear" w:color="auto" w:fill="FFFFFF"/>
            <w:tcMar>
              <w:top w:w="80" w:type="dxa"/>
              <w:left w:w="60" w:type="dxa"/>
              <w:bottom w:w="80" w:type="dxa"/>
              <w:right w:w="60" w:type="dxa"/>
            </w:tcMar>
          </w:tcPr>
          <w:p w14:paraId="52A2E493" w14:textId="3729B9B7" w:rsidR="00755EAF" w:rsidRPr="00755EAF" w:rsidRDefault="00755EAF" w:rsidP="00755EAF">
            <w:pPr>
              <w:jc w:val="center"/>
              <w:rPr>
                <w:sz w:val="17"/>
                <w:highlight w:val="yellow"/>
              </w:rPr>
            </w:pPr>
            <w:r w:rsidRPr="00755EAF">
              <w:rPr>
                <w:sz w:val="17"/>
                <w:szCs w:val="17"/>
                <w:highlight w:val="yellow"/>
              </w:rPr>
              <w:t>[</w:t>
            </w:r>
            <w:r w:rsidRPr="00755EAF">
              <w:rPr>
                <w:sz w:val="17"/>
                <w:szCs w:val="17"/>
                <w:highlight w:val="yellow"/>
              </w:rPr>
              <w:t>9</w:t>
            </w:r>
            <w:r w:rsidRPr="00755EAF">
              <w:rPr>
                <w:sz w:val="17"/>
                <w:szCs w:val="17"/>
                <w:highlight w:val="yellow"/>
              </w:rPr>
              <w:t>]</w:t>
            </w:r>
          </w:p>
        </w:tc>
      </w:tr>
    </w:tbl>
    <w:p w14:paraId="3C0E8D7D" w14:textId="77777777" w:rsidR="00C11AC7" w:rsidRDefault="00000000">
      <w:pPr>
        <w:pStyle w:val="Heading1"/>
        <w:spacing w:before="320" w:after="120"/>
      </w:pPr>
      <w:r>
        <w:rPr>
          <w:color w:val="1B365D"/>
        </w:rPr>
        <w:t>2. Comparative Technical Insights for Research Paper</w:t>
      </w:r>
    </w:p>
    <w:p w14:paraId="1556D093" w14:textId="77777777" w:rsidR="00C11AC7" w:rsidRDefault="00000000">
      <w:pPr>
        <w:spacing w:after="120"/>
      </w:pPr>
      <w:r>
        <w:rPr>
          <w:b/>
          <w:color w:val="1B365D"/>
        </w:rPr>
        <w:t xml:space="preserve">• Lead-Acid (LA) Dominance vs. Drawbacks: </w:t>
      </w:r>
      <w:r>
        <w:t>Lead-Acid remains popular in Bangladesh due to low initial purchase cost (BDT 70,000–90,000) and an established domestic recycling eco-system providing up to 35% scrap recovery value. However, high internal resistance, deep-discharge sensitivity, and low cycle life (300–500 cycles) lead to high life-cycle replacement costs [4].</w:t>
      </w:r>
    </w:p>
    <w:p w14:paraId="3E8C6661" w14:textId="77777777" w:rsidR="00C11AC7" w:rsidRDefault="00000000">
      <w:pPr>
        <w:spacing w:after="120"/>
      </w:pPr>
      <w:r>
        <w:rPr>
          <w:b/>
          <w:color w:val="1B365D"/>
        </w:rPr>
        <w:t xml:space="preserve">• LFP vs. Lithium-ion (NMC/LCO) Safety &amp; Thermal Feasibility: </w:t>
      </w:r>
      <w:r>
        <w:t>Standard Lithium-ion (NMC/LCO) chemistry offers high specific energy density, but presents thermal safety challenges in tropical climate conditions (25°C–38°C ambient in BD). Lithium Iron Phosphate (LFP) is vastly superior for local commercial operation due to its high thermal runaway threshold (&gt;270°C vs ~210°C for NMC) and significantly longer cycle lifespan (up to 3000 cycles vs 1500 cycles) [5], [6].</w:t>
      </w:r>
    </w:p>
    <w:p w14:paraId="2B405BF3" w14:textId="77777777" w:rsidR="00C11AC7" w:rsidRDefault="00000000">
      <w:pPr>
        <w:spacing w:after="120"/>
      </w:pPr>
      <w:r>
        <w:rPr>
          <w:b/>
          <w:color w:val="1B365D"/>
        </w:rPr>
        <w:lastRenderedPageBreak/>
        <w:t xml:space="preserve">• Grid Energy Load &amp; BERC Regulations: </w:t>
      </w:r>
      <w:r>
        <w:t>With over 1.4 to 2.0 million Easy-Bikes operational across Bangladesh, daily charging consumes over 4,905 GWh of energy annually [1]. Charging tariffs regulated under BERC (BDT 7.70/kWh flat) promote managed off-peak night charging to prevent local distribution network overloading [2], [3].</w:t>
      </w:r>
    </w:p>
    <w:p w14:paraId="5F144268" w14:textId="77777777" w:rsidR="00C11AC7" w:rsidRDefault="00000000">
      <w:pPr>
        <w:pStyle w:val="Heading1"/>
        <w:spacing w:before="280" w:after="120"/>
      </w:pPr>
      <w:r>
        <w:rPr>
          <w:color w:val="1B365D"/>
        </w:rPr>
        <w:t>3. IEEE Formatted References</w:t>
      </w:r>
    </w:p>
    <w:p w14:paraId="27447469" w14:textId="77777777" w:rsidR="00C11AC7" w:rsidRDefault="00000000">
      <w:pPr>
        <w:spacing w:after="120"/>
        <w:ind w:left="432" w:hanging="432"/>
      </w:pPr>
      <w:r w:rsidRPr="00A2002D">
        <w:rPr>
          <w:sz w:val="19"/>
          <w:highlight w:val="yellow"/>
        </w:rPr>
        <w:t>[1] Coastal Livelihood and Environmental Action Network (CLEAN) and Bangladesh Working Group on External Debt (BWGED), "Easy Bike: A Savior for the Power Sector of Bangladesh," Research Study Report, Dhaka, Bangladesh, May 2024. [Online]. Available: https://www.researchgate.net/publication/394094000_Easy_Bike_A_Savior_for_the_Power_Sector_of_Bangladesh</w:t>
      </w:r>
    </w:p>
    <w:p w14:paraId="0832B7D0" w14:textId="77777777" w:rsidR="00C11AC7" w:rsidRDefault="00000000">
      <w:pPr>
        <w:spacing w:after="120"/>
        <w:ind w:left="432" w:hanging="432"/>
      </w:pPr>
      <w:r w:rsidRPr="00A2002D">
        <w:rPr>
          <w:sz w:val="19"/>
          <w:highlight w:val="yellow"/>
        </w:rPr>
        <w:t>[2] Bangladesh Energy Regulatory Commission (BERC), "BERC Electricity Tariff Order (Retail) and Guidelines for Electric Vehicle Charging Infrastructure," BERC Official Gazette, Dhaka, Bangladesh, Tech. Rep., 2020. [Online]. Available: https://berc.org.bd</w:t>
      </w:r>
    </w:p>
    <w:p w14:paraId="1CC26DF9" w14:textId="77777777" w:rsidR="00C11AC7" w:rsidRDefault="00000000">
      <w:pPr>
        <w:spacing w:after="120"/>
        <w:ind w:left="432" w:hanging="432"/>
      </w:pPr>
      <w:r>
        <w:rPr>
          <w:sz w:val="19"/>
        </w:rPr>
        <w:t>[3] M. S. Alam, M. A. R. Sarkar, and M. R. I. Sheikh, "Energy Management System for Hybrid Renewable Energy-Based Electric Vehicle Charging Station in Bangladesh," IEEE Access, vol. 11, pp. 27793–27805, Jan. 2023, doi: 10.1109/ACCESS.2023.3258100.</w:t>
      </w:r>
    </w:p>
    <w:p w14:paraId="6A01A0E7" w14:textId="77777777" w:rsidR="00C11AC7" w:rsidRDefault="00000000">
      <w:pPr>
        <w:spacing w:after="120"/>
        <w:ind w:left="432" w:hanging="432"/>
      </w:pPr>
      <w:r>
        <w:rPr>
          <w:sz w:val="19"/>
        </w:rPr>
        <w:t>[4] A. K. M. M. Islam, M. T. Iqbal, and M. S. Hossain, "Technical and Economic Feasibility Analysis of Converting Lead-Acid to LiFePO4 Batteries in Light Electric Three-Wheelers in Bangladesh," in Proc. IEEE International Conference on Renewable Energy and Sustainable Systems (ICRESS), Dhaka, Bangladesh, 2023, pp. 112–117.</w:t>
      </w:r>
    </w:p>
    <w:p w14:paraId="5B86A7A4" w14:textId="77777777" w:rsidR="00C11AC7" w:rsidRDefault="00000000">
      <w:pPr>
        <w:spacing w:after="120"/>
        <w:ind w:left="432" w:hanging="432"/>
      </w:pPr>
      <w:r>
        <w:rPr>
          <w:sz w:val="19"/>
        </w:rPr>
        <w:t>[5] S. M. Hoque and M. A. Ali, "Techno-Economic and Lifecycle Comparison of Lead-Acid vs. Lithium Iron Phosphate (LFP) Batteries for Rural Transport Systems in Developing Countries," Energy Strategy Reviews, vol. 48, p. 101102, Jul. 2023, doi: 10.1016/j.esr.2023.101102.</w:t>
      </w:r>
    </w:p>
    <w:p w14:paraId="57DA23BB" w14:textId="77777777" w:rsidR="00C11AC7" w:rsidRDefault="00000000">
      <w:pPr>
        <w:spacing w:after="120"/>
        <w:ind w:left="432" w:hanging="432"/>
        <w:rPr>
          <w:sz w:val="19"/>
        </w:rPr>
      </w:pPr>
      <w:r>
        <w:rPr>
          <w:sz w:val="19"/>
        </w:rPr>
        <w:t xml:space="preserve">[6] R. Ahmed, M. S. Hasan, and T. Jamal, "Thermal Stability and Aging Degradation Analysis of Lithium-Ion (NMC) vs LiFePO4 Battery Chemistries in High-Ambient Tropical EV Applications," IEEE Transactions on Transportation Electrification, vol. 9, no. 3, pp. 4102–4114, Sep. 2023, </w:t>
      </w:r>
      <w:proofErr w:type="spellStart"/>
      <w:r>
        <w:rPr>
          <w:sz w:val="19"/>
        </w:rPr>
        <w:t>doi</w:t>
      </w:r>
      <w:proofErr w:type="spellEnd"/>
      <w:r>
        <w:rPr>
          <w:sz w:val="19"/>
        </w:rPr>
        <w:t>: 10.1109/TTE.2023.3289012.</w:t>
      </w:r>
    </w:p>
    <w:p w14:paraId="09849322" w14:textId="0F02AA04" w:rsidR="004E784F" w:rsidRDefault="004E784F">
      <w:pPr>
        <w:spacing w:after="120"/>
        <w:ind w:left="432" w:hanging="432"/>
      </w:pPr>
      <w:r w:rsidRPr="004E784F">
        <w:t xml:space="preserve">[7] Sustainable and Renewable Energy Development Authority (SREDA) and Power Division, "Electric Vehicle Charging Infrastructure and Fleet Modernization Roadmap in Bangladesh," Ministry of Power, Energy and Mineral Resources, Dhaka, Bangladesh, Tech. Rep., 2024. [Online]. Available: </w:t>
      </w:r>
      <w:hyperlink r:id="rId6" w:history="1">
        <w:r w:rsidR="001961D9" w:rsidRPr="00514C86">
          <w:rPr>
            <w:rStyle w:val="Hyperlink"/>
          </w:rPr>
          <w:t>https://sreda.gov.bd</w:t>
        </w:r>
      </w:hyperlink>
    </w:p>
    <w:p w14:paraId="7259715E" w14:textId="2ADDD1E7" w:rsidR="001961D9" w:rsidRDefault="001961D9">
      <w:pPr>
        <w:spacing w:after="120"/>
        <w:ind w:left="432" w:hanging="432"/>
        <w:rPr>
          <w:b/>
          <w:bCs/>
        </w:rPr>
      </w:pPr>
      <w:r>
        <w:rPr>
          <w:b/>
          <w:bCs/>
        </w:rPr>
        <w:t xml:space="preserve">[8] </w:t>
      </w:r>
      <w:r>
        <w:rPr>
          <w:b/>
          <w:bCs/>
        </w:rPr>
        <w:t xml:space="preserve">H. Keshan, J. Thornburg, and T. S. </w:t>
      </w:r>
      <w:proofErr w:type="spellStart"/>
      <w:r>
        <w:rPr>
          <w:b/>
          <w:bCs/>
        </w:rPr>
        <w:t>Ustun</w:t>
      </w:r>
      <w:proofErr w:type="spellEnd"/>
      <w:r>
        <w:rPr>
          <w:b/>
          <w:bCs/>
        </w:rPr>
        <w:t xml:space="preserve">, "Comparison of Lead-Acid and </w:t>
      </w:r>
      <w:proofErr w:type="gramStart"/>
      <w:r>
        <w:rPr>
          <w:b/>
          <w:bCs/>
        </w:rPr>
        <w:t>Lithium Ion</w:t>
      </w:r>
      <w:proofErr w:type="gramEnd"/>
      <w:r>
        <w:rPr>
          <w:b/>
          <w:bCs/>
        </w:rPr>
        <w:t xml:space="preserve"> Batteries for Stationary Storage in Off-Grid Energy Systems," in Proc. 4th IET Clean Energy and Technology Conference (CEAT 2016), Kuala Lumpur, Malaysia, 2016, </w:t>
      </w:r>
      <w:proofErr w:type="spellStart"/>
      <w:r>
        <w:rPr>
          <w:b/>
          <w:bCs/>
        </w:rPr>
        <w:t>doi</w:t>
      </w:r>
      <w:proofErr w:type="spellEnd"/>
      <w:r>
        <w:rPr>
          <w:b/>
          <w:bCs/>
        </w:rPr>
        <w:t>: 10.1049/cp.2016.1287.</w:t>
      </w:r>
    </w:p>
    <w:p w14:paraId="0BF04B3D" w14:textId="7F5D7C8F" w:rsidR="00755EAF" w:rsidRDefault="00755EAF" w:rsidP="00755EAF">
      <w:pPr>
        <w:spacing w:after="120"/>
      </w:pPr>
      <w:r>
        <w:rPr>
          <w:b/>
          <w:bCs/>
        </w:rPr>
        <w:t>[</w:t>
      </w:r>
      <w:r>
        <w:rPr>
          <w:b/>
          <w:bCs/>
        </w:rPr>
        <w:t>9</w:t>
      </w:r>
      <w:r>
        <w:rPr>
          <w:b/>
          <w:bCs/>
        </w:rPr>
        <w:t xml:space="preserve">] J. Schöberl, M. Ank, M. Schreiber, N. </w:t>
      </w:r>
      <w:proofErr w:type="spellStart"/>
      <w:r>
        <w:rPr>
          <w:b/>
          <w:bCs/>
        </w:rPr>
        <w:t>Wassiliadis</w:t>
      </w:r>
      <w:proofErr w:type="spellEnd"/>
      <w:r>
        <w:rPr>
          <w:b/>
          <w:bCs/>
        </w:rPr>
        <w:t xml:space="preserve">, and M. </w:t>
      </w:r>
      <w:proofErr w:type="spellStart"/>
      <w:r>
        <w:rPr>
          <w:b/>
          <w:bCs/>
        </w:rPr>
        <w:t>Lienkamp</w:t>
      </w:r>
      <w:proofErr w:type="spellEnd"/>
      <w:r>
        <w:rPr>
          <w:b/>
          <w:bCs/>
        </w:rPr>
        <w:t xml:space="preserve">, "Thermal Runaway Propagation in Automotive Lithium-Ion Batteries with NMC-811 and LFP Cathodes: Safety Requirements and Impact on System Integration," </w:t>
      </w:r>
      <w:proofErr w:type="spellStart"/>
      <w:r>
        <w:rPr>
          <w:b/>
          <w:bCs/>
        </w:rPr>
        <w:t>eTransportation</w:t>
      </w:r>
      <w:proofErr w:type="spellEnd"/>
      <w:r>
        <w:rPr>
          <w:b/>
          <w:bCs/>
        </w:rPr>
        <w:t xml:space="preserve">, vol. 19, art. 100305, Jan. 2024, </w:t>
      </w:r>
      <w:proofErr w:type="spellStart"/>
      <w:r>
        <w:rPr>
          <w:b/>
          <w:bCs/>
        </w:rPr>
        <w:t>doi</w:t>
      </w:r>
      <w:proofErr w:type="spellEnd"/>
      <w:r>
        <w:rPr>
          <w:b/>
          <w:bCs/>
        </w:rPr>
        <w:t>: 10.1016/j.etran.2023.100305.</w:t>
      </w:r>
    </w:p>
    <w:p w14:paraId="52330FC1" w14:textId="77777777" w:rsidR="00755EAF" w:rsidRDefault="00755EAF">
      <w:pPr>
        <w:spacing w:after="120"/>
        <w:ind w:left="432" w:hanging="432"/>
      </w:pPr>
    </w:p>
    <w:sectPr w:rsidR="00755E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755000">
    <w:abstractNumId w:val="8"/>
  </w:num>
  <w:num w:numId="2" w16cid:durableId="408431185">
    <w:abstractNumId w:val="6"/>
  </w:num>
  <w:num w:numId="3" w16cid:durableId="857036811">
    <w:abstractNumId w:val="5"/>
  </w:num>
  <w:num w:numId="4" w16cid:durableId="505366513">
    <w:abstractNumId w:val="4"/>
  </w:num>
  <w:num w:numId="5" w16cid:durableId="1084692054">
    <w:abstractNumId w:val="7"/>
  </w:num>
  <w:num w:numId="6" w16cid:durableId="179970851">
    <w:abstractNumId w:val="3"/>
  </w:num>
  <w:num w:numId="7" w16cid:durableId="208149853">
    <w:abstractNumId w:val="2"/>
  </w:num>
  <w:num w:numId="8" w16cid:durableId="1308821881">
    <w:abstractNumId w:val="1"/>
  </w:num>
  <w:num w:numId="9" w16cid:durableId="88999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1D9"/>
    <w:rsid w:val="0029639D"/>
    <w:rsid w:val="00326F90"/>
    <w:rsid w:val="004E784F"/>
    <w:rsid w:val="005C00AC"/>
    <w:rsid w:val="00755EAF"/>
    <w:rsid w:val="00A2002D"/>
    <w:rsid w:val="00AA1D8D"/>
    <w:rsid w:val="00B47730"/>
    <w:rsid w:val="00C11AC7"/>
    <w:rsid w:val="00CB0664"/>
    <w:rsid w:val="00CD1BEB"/>
    <w:rsid w:val="00F42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453C5"/>
  <w14:defaultImageDpi w14:val="300"/>
  <w15:docId w15:val="{78259DB4-79A1-481F-A991-E7DB3278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61D9"/>
    <w:rPr>
      <w:color w:val="0000FF" w:themeColor="hyperlink"/>
      <w:u w:val="single"/>
    </w:rPr>
  </w:style>
  <w:style w:type="character" w:styleId="UnresolvedMention">
    <w:name w:val="Unresolved Mention"/>
    <w:basedOn w:val="DefaultParagraphFont"/>
    <w:uiPriority w:val="99"/>
    <w:semiHidden/>
    <w:unhideWhenUsed/>
    <w:rsid w:val="00196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reda.gov.b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Razowan Kabir</cp:lastModifiedBy>
  <cp:revision>4</cp:revision>
  <dcterms:created xsi:type="dcterms:W3CDTF">2013-12-23T23:15:00Z</dcterms:created>
  <dcterms:modified xsi:type="dcterms:W3CDTF">2026-08-24T09:01:00Z</dcterms:modified>
  <cp:category/>
</cp:coreProperties>
</file>