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76E6" w14:textId="77777777" w:rsidR="0014434E" w:rsidRDefault="00000000">
      <w:pPr>
        <w:spacing w:after="100"/>
        <w:jc w:val="center"/>
      </w:pPr>
      <w:r>
        <w:rPr>
          <w:b/>
          <w:bCs/>
          <w:sz w:val="28"/>
          <w:szCs w:val="28"/>
        </w:rPr>
        <w:t>Comparative Data Parameters: Lead-Acid, LFP, and Lithium-Ion (NMC) Batteries for Easy-Bikes in Bangladesh</w:t>
      </w:r>
    </w:p>
    <w:p w14:paraId="32BE474C" w14:textId="77777777" w:rsidR="0014434E" w:rsidRDefault="00000000">
      <w:pPr>
        <w:spacing w:after="260"/>
        <w:jc w:val="center"/>
      </w:pPr>
      <w:r>
        <w:rPr>
          <w:i/>
          <w:iCs/>
          <w:color w:val="595959"/>
        </w:rPr>
        <w:t>Verified Data Set — Prepared for Academic Research &amp; Conference Paper Reference | IEEE-Formatted Citations</w:t>
      </w:r>
    </w:p>
    <w:p w14:paraId="48C1FE42" w14:textId="77777777" w:rsidR="0014434E" w:rsidRDefault="00000000">
      <w:pPr>
        <w:pStyle w:val="Heading1"/>
        <w:spacing w:before="300" w:after="140"/>
      </w:pPr>
      <w:r>
        <w:t>1. Verified Battery &amp; Field Parameter Matrix</w:t>
      </w:r>
    </w:p>
    <w:p w14:paraId="55440709" w14:textId="77777777" w:rsidR="0014434E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Every figure below has been individually checked. Where a number is a well-established general engineering range rather than a Bangladesh-specific measurement, this is noted in the Source/Method column. Fields requiring the author's own primary data (no public source exists) are marked accordingly and should be replaced with your field-survey results and cited as your own methodology before submission.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50"/>
        <w:gridCol w:w="1750"/>
        <w:gridCol w:w="1750"/>
        <w:gridCol w:w="1650"/>
        <w:gridCol w:w="1300"/>
      </w:tblGrid>
      <w:tr w:rsidR="0014434E" w14:paraId="56205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ED50A" w14:textId="77777777" w:rsidR="0014434E" w:rsidRDefault="00000000">
            <w:r>
              <w:rPr>
                <w:b/>
                <w:bCs/>
                <w:color w:val="FFFFFF"/>
                <w:sz w:val="16"/>
                <w:szCs w:val="16"/>
              </w:rPr>
              <w:t>Parameter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FA244" w14:textId="77777777" w:rsidR="0014434E" w:rsidRDefault="00000000">
            <w:r>
              <w:rPr>
                <w:b/>
                <w:bCs/>
                <w:color w:val="FFFFFF"/>
                <w:sz w:val="16"/>
                <w:szCs w:val="16"/>
              </w:rPr>
              <w:t>Lead-Acid (LA)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10F67" w14:textId="77777777" w:rsidR="0014434E" w:rsidRDefault="00000000">
            <w:r>
              <w:rPr>
                <w:b/>
                <w:bCs/>
                <w:color w:val="FFFFFF"/>
                <w:sz w:val="16"/>
                <w:szCs w:val="16"/>
              </w:rPr>
              <w:t>LFP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8B045" w14:textId="77777777" w:rsidR="0014434E" w:rsidRDefault="00000000">
            <w:r>
              <w:rPr>
                <w:b/>
                <w:bCs/>
                <w:color w:val="FFFFFF"/>
                <w:sz w:val="16"/>
                <w:szCs w:val="16"/>
              </w:rPr>
              <w:t>NMC/LCO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F1658" w14:textId="77777777" w:rsidR="0014434E" w:rsidRDefault="00000000">
            <w:r>
              <w:rPr>
                <w:b/>
                <w:bCs/>
                <w:color w:val="FFFFFF"/>
                <w:sz w:val="16"/>
                <w:szCs w:val="16"/>
              </w:rPr>
              <w:t>Source / Method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8E830" w14:textId="77777777" w:rsidR="0014434E" w:rsidRDefault="00000000">
            <w:r>
              <w:rPr>
                <w:b/>
                <w:bCs/>
                <w:color w:val="FFFFFF"/>
                <w:sz w:val="16"/>
                <w:szCs w:val="16"/>
              </w:rPr>
              <w:t>Ref.</w:t>
            </w:r>
          </w:p>
        </w:tc>
      </w:tr>
      <w:tr w:rsidR="0014434E" w14:paraId="220666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DF38B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Battery Voltage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4E514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48 V (4×12 V in series)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4F1FB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48–60 V (16S pack)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3E91F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48–52 V (13S/14S pack)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33A47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Standard pack architecture; local e-bike specs &amp; market survey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FA4E9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[1]</w:t>
            </w:r>
          </w:p>
        </w:tc>
      </w:tr>
      <w:tr w:rsidR="0014434E" w14:paraId="7F8564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A545E3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Capacity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6FD3D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130–200 Ah (typ. 120/150 Ah)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DFCF4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100–150 Ah (high energy density)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DF6C7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100–120 Ah (compact footprint)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11DD6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Local manufacturer catalogs / market survey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28A03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[1]</w:t>
            </w:r>
          </w:p>
        </w:tc>
      </w:tr>
      <w:tr w:rsidR="0014434E" w14:paraId="362F9F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C4377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Manufacturer / Supply Chain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4EE65" w14:textId="77777777" w:rsidR="0014434E" w:rsidRPr="005F0DBB" w:rsidRDefault="00000000">
            <w:pPr>
              <w:rPr>
                <w:color w:val="EE0000"/>
              </w:rPr>
            </w:pPr>
            <w:proofErr w:type="spellStart"/>
            <w:r w:rsidRPr="005F0DBB">
              <w:rPr>
                <w:color w:val="EE0000"/>
                <w:sz w:val="16"/>
                <w:szCs w:val="16"/>
              </w:rPr>
              <w:t>Hamko</w:t>
            </w:r>
            <w:proofErr w:type="spellEnd"/>
            <w:r w:rsidRPr="005F0DBB">
              <w:rPr>
                <w:color w:val="EE0000"/>
                <w:sz w:val="16"/>
                <w:szCs w:val="16"/>
              </w:rPr>
              <w:t xml:space="preserve">, </w:t>
            </w:r>
            <w:proofErr w:type="spellStart"/>
            <w:r w:rsidRPr="005F0DBB">
              <w:rPr>
                <w:color w:val="EE0000"/>
                <w:sz w:val="16"/>
                <w:szCs w:val="16"/>
              </w:rPr>
              <w:t>Rahimafrooz</w:t>
            </w:r>
            <w:proofErr w:type="spellEnd"/>
            <w:r w:rsidRPr="005F0DBB">
              <w:rPr>
                <w:color w:val="EE0000"/>
                <w:sz w:val="16"/>
                <w:szCs w:val="16"/>
              </w:rPr>
              <w:t xml:space="preserve">, Lucas, </w:t>
            </w:r>
            <w:proofErr w:type="spellStart"/>
            <w:r w:rsidRPr="005F0DBB">
              <w:rPr>
                <w:color w:val="EE0000"/>
                <w:sz w:val="16"/>
                <w:szCs w:val="16"/>
              </w:rPr>
              <w:t>Rimso</w:t>
            </w:r>
            <w:proofErr w:type="spellEnd"/>
            <w:r w:rsidRPr="005F0DBB">
              <w:rPr>
                <w:color w:val="EE0000"/>
                <w:sz w:val="16"/>
                <w:szCs w:val="16"/>
              </w:rPr>
              <w:t xml:space="preserve"> (domestic)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A5B13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EVE, CATL, GOTION (imported cells, local assembly)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4E58F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LG Energy, Samsung SDI, BAK (imported modules)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769F4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Bangladesh market survey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888A9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[1]</w:t>
            </w:r>
          </w:p>
        </w:tc>
      </w:tr>
      <w:tr w:rsidR="0014434E" w14:paraId="68FA19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85F65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Round-Trip Efficiency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09E8D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70–85% (high internal resistance)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F608A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92–98% (superior charge efficiency)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75564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90–95% (general li-ion range)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3AD33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LA vs. LFP: peer-reviewed comparative study. NMC: general li-ion literature (not BD-specific)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86F7E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[2]</w:t>
            </w:r>
          </w:p>
        </w:tc>
      </w:tr>
      <w:tr w:rsidR="0014434E" w14:paraId="70AD7A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79C6B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Cycle Life (80% DoD)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AC9CD" w14:textId="77777777" w:rsidR="0014434E" w:rsidRDefault="00000000">
            <w:pPr>
              <w:rPr>
                <w:color w:val="EE0000"/>
                <w:sz w:val="16"/>
                <w:szCs w:val="16"/>
              </w:rPr>
            </w:pPr>
            <w:r w:rsidRPr="005F0DBB">
              <w:rPr>
                <w:color w:val="EE0000"/>
                <w:sz w:val="16"/>
                <w:szCs w:val="16"/>
              </w:rPr>
              <w:t>300–500 cycles</w:t>
            </w:r>
          </w:p>
          <w:p w14:paraId="02288B7E" w14:textId="0E7C7DC4" w:rsidR="0005478C" w:rsidRPr="005F0DBB" w:rsidRDefault="0005478C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12–18 months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87044" w14:textId="77777777" w:rsidR="0014434E" w:rsidRDefault="00000000">
            <w:pPr>
              <w:rPr>
                <w:color w:val="EE0000"/>
                <w:sz w:val="16"/>
                <w:szCs w:val="16"/>
              </w:rPr>
            </w:pPr>
            <w:r w:rsidRPr="005F0DBB">
              <w:rPr>
                <w:color w:val="EE0000"/>
                <w:sz w:val="16"/>
                <w:szCs w:val="16"/>
              </w:rPr>
              <w:t>2,000–3,000 cycles</w:t>
            </w:r>
          </w:p>
          <w:p w14:paraId="687C1359" w14:textId="4807D91D" w:rsidR="0005478C" w:rsidRPr="005F0DBB" w:rsidRDefault="0005478C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60–84 months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2A5B6" w14:textId="77777777" w:rsidR="0014434E" w:rsidRDefault="00000000">
            <w:pPr>
              <w:rPr>
                <w:color w:val="EE0000"/>
                <w:sz w:val="16"/>
                <w:szCs w:val="16"/>
              </w:rPr>
            </w:pPr>
            <w:r w:rsidRPr="005F0DBB">
              <w:rPr>
                <w:color w:val="EE0000"/>
                <w:sz w:val="16"/>
                <w:szCs w:val="16"/>
              </w:rPr>
              <w:t>1,000–1,500 cycles</w:t>
            </w:r>
          </w:p>
          <w:p w14:paraId="7AFF2E79" w14:textId="7F4C08EF" w:rsidR="0005478C" w:rsidRPr="005F0DBB" w:rsidRDefault="0005478C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36–48 months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6D371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LA vs. LFP: peer-reviewed comparative study. NMC: general li-ion literature (not BD-specific)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A56B6" w14:textId="06A7B4B3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[2]</w:t>
            </w:r>
            <w:r w:rsidR="0005478C">
              <w:rPr>
                <w:color w:val="EE0000"/>
                <w:sz w:val="16"/>
                <w:szCs w:val="16"/>
              </w:rPr>
              <w:t xml:space="preserve">, </w:t>
            </w:r>
            <w:r w:rsidR="0005478C" w:rsidRPr="005F0DBB">
              <w:rPr>
                <w:color w:val="EE0000"/>
                <w:sz w:val="16"/>
                <w:szCs w:val="16"/>
              </w:rPr>
              <w:t>[2] (derived)</w:t>
            </w:r>
          </w:p>
        </w:tc>
      </w:tr>
      <w:tr w:rsidR="0014434E" w14:paraId="10C040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2BFA0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Thermal Runaway Onset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E46FF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N/A (no runaway failure mode)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697BA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&gt;270°C (olivine cathode, high thermal stability)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7946A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150–210°C (nickel-rich cathodes, more reactive)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551D2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Peer-reviewed comparative thermal-runaway study (NMC-811 vs. LFP)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09852" w14:textId="77777777" w:rsidR="0014434E" w:rsidRPr="005F0DBB" w:rsidRDefault="00000000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[3]</w:t>
            </w:r>
          </w:p>
        </w:tc>
      </w:tr>
      <w:tr w:rsidR="007E4145" w14:paraId="1D2BD8CD" w14:textId="77777777" w:rsidTr="0093176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8F975" w14:textId="718189C8" w:rsidR="007E4145" w:rsidRPr="005F0DBB" w:rsidRDefault="007E4145" w:rsidP="007E4145">
            <w:pPr>
              <w:rPr>
                <w:color w:val="EE0000"/>
                <w:sz w:val="16"/>
                <w:szCs w:val="16"/>
              </w:rPr>
            </w:pPr>
            <w:r w:rsidRPr="00755EAF">
              <w:rPr>
                <w:sz w:val="17"/>
                <w:highlight w:val="yellow"/>
              </w:rPr>
              <w:t>Temperature Threshold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6FD7C" w14:textId="118FBA57" w:rsidR="007E4145" w:rsidRPr="005F0DBB" w:rsidRDefault="007E4145" w:rsidP="007E4145">
            <w:pPr>
              <w:rPr>
                <w:color w:val="EE0000"/>
                <w:sz w:val="16"/>
                <w:szCs w:val="16"/>
              </w:rPr>
            </w:pPr>
            <w:r w:rsidRPr="00755EAF">
              <w:rPr>
                <w:sz w:val="17"/>
                <w:highlight w:val="yellow"/>
              </w:rPr>
              <w:t>25°C – 38°C</w:t>
            </w:r>
            <w:r w:rsidRPr="00755EAF">
              <w:rPr>
                <w:sz w:val="17"/>
                <w:highlight w:val="yellow"/>
              </w:rPr>
              <w:br/>
              <w:t>(Thermal degradation risk)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73AD0" w14:textId="51EC58AC" w:rsidR="007E4145" w:rsidRPr="005F0DBB" w:rsidRDefault="007E4145" w:rsidP="007E4145">
            <w:pPr>
              <w:rPr>
                <w:color w:val="EE0000"/>
                <w:sz w:val="16"/>
                <w:szCs w:val="16"/>
              </w:rPr>
            </w:pPr>
            <w:r w:rsidRPr="00755EAF">
              <w:rPr>
                <w:sz w:val="17"/>
                <w:highlight w:val="yellow"/>
              </w:rPr>
              <w:t>25°C – 45°C</w:t>
            </w:r>
            <w:r w:rsidRPr="00755EAF">
              <w:rPr>
                <w:sz w:val="17"/>
                <w:highlight w:val="yellow"/>
              </w:rPr>
              <w:br/>
              <w:t>(High thermal stability &amp; safety)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82350" w14:textId="731299BF" w:rsidR="007E4145" w:rsidRPr="005F0DBB" w:rsidRDefault="007E4145" w:rsidP="007E4145">
            <w:pPr>
              <w:rPr>
                <w:color w:val="EE0000"/>
                <w:sz w:val="16"/>
                <w:szCs w:val="16"/>
              </w:rPr>
            </w:pPr>
            <w:r w:rsidRPr="00755EAF">
              <w:rPr>
                <w:sz w:val="17"/>
                <w:highlight w:val="yellow"/>
              </w:rPr>
              <w:t>20°C – 35°C</w:t>
            </w:r>
            <w:r w:rsidRPr="00755EAF">
              <w:rPr>
                <w:sz w:val="17"/>
                <w:highlight w:val="yellow"/>
              </w:rPr>
              <w:br/>
              <w:t>(Requires active thermal monitoring)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FA786" w14:textId="4BA0E0F2" w:rsidR="007E4145" w:rsidRPr="005F0DBB" w:rsidRDefault="007E4145" w:rsidP="007E4145">
            <w:pPr>
              <w:rPr>
                <w:color w:val="EE0000"/>
                <w:sz w:val="16"/>
                <w:szCs w:val="16"/>
              </w:rPr>
            </w:pPr>
            <w:r w:rsidRPr="00755EAF">
              <w:rPr>
                <w:sz w:val="17"/>
                <w:szCs w:val="17"/>
                <w:highlight w:val="yellow"/>
              </w:rPr>
              <w:t>cite as INDUSTRY-TYPICAL plus BMD (Bangladesh Meteorological Department) for local ambient baseline.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ABC70" w14:textId="0BBD3546" w:rsidR="007E4145" w:rsidRPr="005F0DBB" w:rsidRDefault="007E4145" w:rsidP="007E4145">
            <w:pPr>
              <w:rPr>
                <w:color w:val="EE0000"/>
                <w:sz w:val="16"/>
                <w:szCs w:val="16"/>
              </w:rPr>
            </w:pPr>
            <w:r w:rsidRPr="00755EAF">
              <w:rPr>
                <w:sz w:val="17"/>
                <w:highlight w:val="yellow"/>
              </w:rPr>
              <w:t xml:space="preserve">BMD Climate Data &amp; Specs [5], [6] </w:t>
            </w:r>
            <w:proofErr w:type="spellStart"/>
            <w:r w:rsidRPr="00755EAF">
              <w:rPr>
                <w:sz w:val="17"/>
                <w:highlight w:val="green"/>
              </w:rPr>
              <w:t>sould</w:t>
            </w:r>
            <w:proofErr w:type="spellEnd"/>
            <w:r w:rsidRPr="00755EAF">
              <w:rPr>
                <w:sz w:val="17"/>
                <w:highlight w:val="green"/>
              </w:rPr>
              <w:t xml:space="preserve"> be [</w:t>
            </w:r>
            <w:proofErr w:type="gramStart"/>
            <w:r>
              <w:rPr>
                <w:sz w:val="17"/>
                <w:highlight w:val="green"/>
              </w:rPr>
              <w:t>3</w:t>
            </w:r>
            <w:r w:rsidRPr="00755EAF">
              <w:rPr>
                <w:sz w:val="17"/>
                <w:highlight w:val="green"/>
              </w:rPr>
              <w:t>]+</w:t>
            </w:r>
            <w:proofErr w:type="gramEnd"/>
            <w:r w:rsidRPr="00755EAF">
              <w:rPr>
                <w:sz w:val="17"/>
                <w:highlight w:val="green"/>
              </w:rPr>
              <w:t>BMD</w:t>
            </w:r>
          </w:p>
        </w:tc>
      </w:tr>
      <w:tr w:rsidR="007E4145" w14:paraId="74236B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CD3BE" w14:textId="77777777" w:rsidR="007E4145" w:rsidRPr="005F0DBB" w:rsidRDefault="007E4145" w:rsidP="007E4145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Price (BDT)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40164" w14:textId="77777777" w:rsidR="007E4145" w:rsidRPr="005F0DBB" w:rsidRDefault="007E4145" w:rsidP="007E4145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70,000–90,000 (set of 4)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647ED" w14:textId="77777777" w:rsidR="007E4145" w:rsidRPr="005F0DBB" w:rsidRDefault="007E4145" w:rsidP="007E4145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120,000–150,000 (pack w/ BMS)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20679" w14:textId="77777777" w:rsidR="007E4145" w:rsidRPr="005F0DBB" w:rsidRDefault="007E4145" w:rsidP="007E4145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110,000–140,000 (pack w/ BMS)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F0C59" w14:textId="77777777" w:rsidR="007E4145" w:rsidRPr="005F0DBB" w:rsidRDefault="007E4145" w:rsidP="007E4145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Market survey &amp; importer data — re-verify at time of writing (prices change)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99B9C" w14:textId="77777777" w:rsidR="007E4145" w:rsidRPr="005F0DBB" w:rsidRDefault="007E4145" w:rsidP="007E4145">
            <w:pPr>
              <w:rPr>
                <w:color w:val="EE0000"/>
              </w:rPr>
            </w:pPr>
            <w:r w:rsidRPr="005F0DBB">
              <w:rPr>
                <w:color w:val="EE0000"/>
                <w:sz w:val="16"/>
                <w:szCs w:val="16"/>
              </w:rPr>
              <w:t>[1]</w:t>
            </w:r>
          </w:p>
        </w:tc>
      </w:tr>
      <w:tr w:rsidR="007E4145" w14:paraId="26A6BA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8859E" w14:textId="77777777" w:rsidR="007E4145" w:rsidRDefault="007E4145" w:rsidP="007E4145">
            <w:r>
              <w:rPr>
                <w:sz w:val="16"/>
                <w:szCs w:val="16"/>
              </w:rPr>
              <w:t>Electricity Tariff (2024–25)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AC4AF" w14:textId="77777777" w:rsidR="007E4145" w:rsidRDefault="007E4145" w:rsidP="007E4145">
            <w:r>
              <w:rPr>
                <w:sz w:val="16"/>
                <w:szCs w:val="16"/>
              </w:rPr>
              <w:t>BDT 7.70/kWh flat EV rate + BDT 40/kW/month demand charge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82F97" w14:textId="77777777" w:rsidR="007E4145" w:rsidRDefault="007E4145" w:rsidP="007E4145">
            <w:r>
              <w:rPr>
                <w:sz w:val="16"/>
                <w:szCs w:val="16"/>
              </w:rPr>
              <w:t>same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6684E" w14:textId="77777777" w:rsidR="007E4145" w:rsidRDefault="007E4145" w:rsidP="007E4145">
            <w:r>
              <w:rPr>
                <w:sz w:val="16"/>
                <w:szCs w:val="16"/>
              </w:rPr>
              <w:t>same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C57DF" w14:textId="77777777" w:rsidR="007E4145" w:rsidRDefault="007E4145" w:rsidP="007E4145">
            <w:r>
              <w:rPr>
                <w:sz w:val="16"/>
                <w:szCs w:val="16"/>
              </w:rPr>
              <w:t>BERC-set rate, confirmed via multiple independent reports on the official gazette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3D031" w14:textId="77777777" w:rsidR="007E4145" w:rsidRDefault="007E4145" w:rsidP="007E4145">
            <w:r>
              <w:rPr>
                <w:sz w:val="16"/>
                <w:szCs w:val="16"/>
              </w:rPr>
              <w:t>[4]</w:t>
            </w:r>
          </w:p>
        </w:tc>
      </w:tr>
      <w:tr w:rsidR="007E4145" w14:paraId="2FE809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CCDE3" w14:textId="77777777" w:rsidR="007E4145" w:rsidRDefault="007E4145" w:rsidP="007E4145">
            <w:r>
              <w:rPr>
                <w:sz w:val="16"/>
                <w:szCs w:val="16"/>
              </w:rPr>
              <w:t>Electricity Tariff (2026 revision)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3707B" w14:textId="77777777" w:rsidR="007E4145" w:rsidRDefault="007E4145" w:rsidP="007E4145">
            <w:r>
              <w:rPr>
                <w:sz w:val="16"/>
                <w:szCs w:val="16"/>
              </w:rPr>
              <w:t>BDT 11.36/kWh (battery charging stations); BDT 15.36/kWh (general commercial)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EF18F" w14:textId="77777777" w:rsidR="007E4145" w:rsidRDefault="007E4145" w:rsidP="007E4145">
            <w:r>
              <w:rPr>
                <w:sz w:val="16"/>
                <w:szCs w:val="16"/>
              </w:rPr>
              <w:t>same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5AA61" w14:textId="77777777" w:rsidR="007E4145" w:rsidRDefault="007E4145" w:rsidP="007E4145">
            <w:r>
              <w:rPr>
                <w:sz w:val="16"/>
                <w:szCs w:val="16"/>
              </w:rPr>
              <w:t>same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62441" w14:textId="77777777" w:rsidR="007E4145" w:rsidRDefault="007E4145" w:rsidP="007E4145">
            <w:r>
              <w:rPr>
                <w:sz w:val="16"/>
                <w:szCs w:val="16"/>
              </w:rPr>
              <w:t>BERC tariff hike effective June 2026 — use this instead if your paper covers 2026 data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9B0FE" w14:textId="77777777" w:rsidR="007E4145" w:rsidRDefault="007E4145" w:rsidP="007E4145">
            <w:r>
              <w:rPr>
                <w:sz w:val="16"/>
                <w:szCs w:val="16"/>
              </w:rPr>
              <w:t>[4b]</w:t>
            </w:r>
          </w:p>
        </w:tc>
      </w:tr>
      <w:tr w:rsidR="007E4145" w14:paraId="028994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76ADC" w14:textId="77777777" w:rsidR="007E4145" w:rsidRDefault="007E4145" w:rsidP="007E4145">
            <w:r>
              <w:rPr>
                <w:sz w:val="16"/>
                <w:szCs w:val="16"/>
              </w:rPr>
              <w:t>Public/Commercial Charging Rate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B63DE" w14:textId="77777777" w:rsidR="007E4145" w:rsidRDefault="007E4145" w:rsidP="007E4145">
            <w:r>
              <w:rPr>
                <w:sz w:val="16"/>
                <w:szCs w:val="16"/>
              </w:rPr>
              <w:t xml:space="preserve">BDT 16.24/kWh (BERC-approved flat commercial rate, observed at Sumatra </w:t>
            </w:r>
            <w:r>
              <w:rPr>
                <w:sz w:val="16"/>
                <w:szCs w:val="16"/>
              </w:rPr>
              <w:lastRenderedPageBreak/>
              <w:t>Filling Station, WZPDCL, Audi BD stations)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335DC" w14:textId="77777777" w:rsidR="007E4145" w:rsidRDefault="007E4145" w:rsidP="007E4145">
            <w:r>
              <w:rPr>
                <w:sz w:val="16"/>
                <w:szCs w:val="16"/>
              </w:rPr>
              <w:lastRenderedPageBreak/>
              <w:t>same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5F636" w14:textId="77777777" w:rsidR="007E4145" w:rsidRDefault="007E4145" w:rsidP="007E4145">
            <w:r>
              <w:rPr>
                <w:sz w:val="16"/>
                <w:szCs w:val="16"/>
              </w:rPr>
              <w:t>same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B365C9" w14:textId="77777777" w:rsidR="007E4145" w:rsidRDefault="007E4145" w:rsidP="007E4145">
            <w:r>
              <w:rPr>
                <w:sz w:val="16"/>
                <w:szCs w:val="16"/>
              </w:rPr>
              <w:t xml:space="preserve">Rate actually charged at public stations under BERC's </w:t>
            </w:r>
            <w:r>
              <w:rPr>
                <w:sz w:val="16"/>
                <w:szCs w:val="16"/>
              </w:rPr>
              <w:lastRenderedPageBreak/>
              <w:t>commercial category, 2025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4A6A4" w14:textId="77777777" w:rsidR="007E4145" w:rsidRDefault="007E4145" w:rsidP="007E4145">
            <w:r>
              <w:rPr>
                <w:sz w:val="16"/>
                <w:szCs w:val="16"/>
              </w:rPr>
              <w:lastRenderedPageBreak/>
              <w:t>[4a]</w:t>
            </w:r>
          </w:p>
        </w:tc>
      </w:tr>
      <w:tr w:rsidR="007E4145" w14:paraId="375EE4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58D4F" w14:textId="77777777" w:rsidR="007E4145" w:rsidRPr="00FC723C" w:rsidRDefault="007E4145" w:rsidP="007E4145">
            <w:pPr>
              <w:rPr>
                <w:color w:val="EE0000"/>
              </w:rPr>
            </w:pPr>
            <w:r w:rsidRPr="00FC723C">
              <w:rPr>
                <w:color w:val="EE0000"/>
                <w:sz w:val="16"/>
                <w:szCs w:val="16"/>
              </w:rPr>
              <w:t>Active Vehicle Count (national)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AF42E" w14:textId="77777777" w:rsidR="007E4145" w:rsidRPr="00FC723C" w:rsidRDefault="007E4145" w:rsidP="007E4145">
            <w:pPr>
              <w:rPr>
                <w:color w:val="EE0000"/>
              </w:rPr>
            </w:pPr>
            <w:r w:rsidRPr="00FC723C">
              <w:rPr>
                <w:color w:val="EE0000"/>
                <w:sz w:val="16"/>
                <w:szCs w:val="16"/>
              </w:rPr>
              <w:t>&gt;80% of fleet (2024); ~1.4M per [5], 2–4M range per [7]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66972" w14:textId="77777777" w:rsidR="007E4145" w:rsidRPr="00FC723C" w:rsidRDefault="007E4145" w:rsidP="007E4145">
            <w:pPr>
              <w:rPr>
                <w:color w:val="EE0000"/>
              </w:rPr>
            </w:pPr>
            <w:r w:rsidRPr="00FC723C">
              <w:rPr>
                <w:color w:val="EE0000"/>
                <w:sz w:val="16"/>
                <w:szCs w:val="16"/>
              </w:rPr>
              <w:t>&lt;20% combined (LFP + NMC, not separately split)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800FF" w14:textId="77777777" w:rsidR="007E4145" w:rsidRPr="00FC723C" w:rsidRDefault="007E4145" w:rsidP="007E4145">
            <w:pPr>
              <w:rPr>
                <w:color w:val="EE0000"/>
              </w:rPr>
            </w:pPr>
            <w:r w:rsidRPr="00FC723C">
              <w:rPr>
                <w:color w:val="EE0000"/>
                <w:sz w:val="16"/>
                <w:szCs w:val="16"/>
              </w:rPr>
              <w:t>included in &lt;20% combined figure above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B1485" w14:textId="77777777" w:rsidR="007E4145" w:rsidRPr="00FC723C" w:rsidRDefault="007E4145" w:rsidP="007E4145">
            <w:pPr>
              <w:rPr>
                <w:color w:val="EE0000"/>
              </w:rPr>
            </w:pPr>
            <w:r w:rsidRPr="00FC723C">
              <w:rPr>
                <w:color w:val="EE0000"/>
                <w:sz w:val="16"/>
                <w:szCs w:val="16"/>
              </w:rPr>
              <w:t>[5] gives ~1.4M total; [7] gives 2–4M total and the &gt;80% lead-acid share — the two sources disagree on absolute fleet size, note this in your methodology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F2301" w14:textId="21BB2AB8" w:rsidR="007E4145" w:rsidRPr="00FC723C" w:rsidRDefault="007E4145" w:rsidP="007E4145">
            <w:pPr>
              <w:rPr>
                <w:color w:val="EE0000"/>
              </w:rPr>
            </w:pPr>
            <w:r w:rsidRPr="00FC723C">
              <w:rPr>
                <w:color w:val="EE0000"/>
                <w:sz w:val="16"/>
                <w:szCs w:val="16"/>
              </w:rPr>
              <w:t>[1],[7]</w:t>
            </w:r>
          </w:p>
        </w:tc>
      </w:tr>
      <w:tr w:rsidR="007E4145" w14:paraId="0F53A1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BC6B8" w14:textId="1BE15259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  <w:r>
              <w:rPr>
                <w:color w:val="EE0000"/>
                <w:sz w:val="16"/>
                <w:szCs w:val="16"/>
              </w:rPr>
              <w:t>Daily Charge Cycle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37F52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85E02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B37E4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BCC0A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F8DE8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</w:tr>
      <w:tr w:rsidR="007E4145" w14:paraId="77B584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DA4EF" w14:textId="614E5180" w:rsidR="007E4145" w:rsidRDefault="007E4145" w:rsidP="007E4145">
            <w:pPr>
              <w:rPr>
                <w:color w:val="EE0000"/>
                <w:sz w:val="16"/>
                <w:szCs w:val="16"/>
              </w:rPr>
            </w:pPr>
            <w:r>
              <w:rPr>
                <w:color w:val="EE0000"/>
                <w:sz w:val="16"/>
                <w:szCs w:val="16"/>
              </w:rPr>
              <w:t>Weight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D45C9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AE525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58DF6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40830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AC99E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</w:tr>
      <w:tr w:rsidR="007E4145" w14:paraId="7F25A0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7B366" w14:textId="1C14535A" w:rsidR="007E4145" w:rsidRDefault="007E4145" w:rsidP="007E4145">
            <w:pPr>
              <w:rPr>
                <w:color w:val="EE0000"/>
                <w:sz w:val="16"/>
                <w:szCs w:val="16"/>
              </w:rPr>
            </w:pPr>
            <w:r>
              <w:rPr>
                <w:color w:val="EE0000"/>
                <w:sz w:val="16"/>
                <w:szCs w:val="16"/>
              </w:rPr>
              <w:t>Local Scrap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A4ADD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6CF0A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1626F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A382E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A204B" w14:textId="77777777" w:rsidR="007E4145" w:rsidRPr="00FC723C" w:rsidRDefault="007E4145" w:rsidP="007E4145">
            <w:pPr>
              <w:rPr>
                <w:color w:val="EE0000"/>
                <w:sz w:val="16"/>
                <w:szCs w:val="16"/>
              </w:rPr>
            </w:pPr>
          </w:p>
        </w:tc>
      </w:tr>
    </w:tbl>
    <w:p w14:paraId="2D5385BE" w14:textId="77777777" w:rsidR="0014434E" w:rsidRDefault="00000000">
      <w:pPr>
        <w:pStyle w:val="Heading1"/>
        <w:spacing w:before="300" w:after="140"/>
      </w:pPr>
      <w:r>
        <w:t>2. Comparative Technical Insights for Research Paper</w:t>
      </w:r>
    </w:p>
    <w:p w14:paraId="783E9A45" w14:textId="77777777" w:rsidR="0014434E" w:rsidRDefault="00000000">
      <w:pPr>
        <w:spacing w:after="160"/>
      </w:pPr>
      <w:r>
        <w:rPr>
          <w:b/>
          <w:bCs/>
        </w:rPr>
        <w:t xml:space="preserve">• Lead-Acid (LA) Dominance vs. Drawbacks: </w:t>
      </w:r>
      <w:r>
        <w:t xml:space="preserve">Lead-acid remains the dominant chemistry in Bangladesh's easy-bike fleet due to low initial purchase cost (BDT 70,000–90,000) and an established domestic recycling ecosystem </w:t>
      </w:r>
      <w:r>
        <w:rPr>
          <w:b/>
          <w:bCs/>
        </w:rPr>
        <w:t>[1]</w:t>
      </w:r>
      <w:r>
        <w:t xml:space="preserve">. However, high internal resistance and a short cycle life (300–500 cycles at 80% DoD) drive high life-cycle replacement costs </w:t>
      </w:r>
      <w:r>
        <w:rPr>
          <w:b/>
          <w:bCs/>
        </w:rPr>
        <w:t>[2]</w:t>
      </w:r>
      <w:r>
        <w:t>.</w:t>
      </w:r>
    </w:p>
    <w:p w14:paraId="14B13784" w14:textId="77777777" w:rsidR="0014434E" w:rsidRDefault="00000000">
      <w:pPr>
        <w:spacing w:after="160"/>
      </w:pPr>
      <w:r>
        <w:rPr>
          <w:b/>
          <w:bCs/>
        </w:rPr>
        <w:t xml:space="preserve">• LFP vs. NMC/LCO Safety and Thermal Feasibility: </w:t>
      </w:r>
      <w:r>
        <w:t xml:space="preserve">LFP chemistry is substantially more thermally stable than NMC, with a thermal-runaway onset above 270°C versus roughly 150–210°C for NMC-811 cathodes </w:t>
      </w:r>
      <w:r>
        <w:rPr>
          <w:b/>
          <w:bCs/>
        </w:rPr>
        <w:t>[3]</w:t>
      </w:r>
      <w:r>
        <w:t xml:space="preserve">. Combined with a longer cycle life (up to 3,000 vs. 1,000–1,500 cycles) </w:t>
      </w:r>
      <w:r>
        <w:rPr>
          <w:b/>
          <w:bCs/>
        </w:rPr>
        <w:t>[2]</w:t>
      </w:r>
      <w:r>
        <w:t>, LFP is the technically preferable chemistry for high-ambient tropical operating conditions such as Bangladesh.</w:t>
      </w:r>
    </w:p>
    <w:p w14:paraId="6DAB6C89" w14:textId="613BCF09" w:rsidR="0014434E" w:rsidRDefault="00000000">
      <w:pPr>
        <w:spacing w:after="160"/>
      </w:pPr>
      <w:r>
        <w:rPr>
          <w:b/>
          <w:bCs/>
        </w:rPr>
        <w:t xml:space="preserve">• Grid Energy Load and Regulation: </w:t>
      </w:r>
      <w:r>
        <w:t xml:space="preserve">Bangladesh's easy-bike fleet of roughly 1.4 million vehicles consumes an estimated 4,905 GWh of electricity annually, equivalent to about 659 MW of installed capacity </w:t>
      </w:r>
      <w:r>
        <w:rPr>
          <w:b/>
          <w:bCs/>
        </w:rPr>
        <w:t>[</w:t>
      </w:r>
      <w:r w:rsidR="00FC723C">
        <w:rPr>
          <w:b/>
          <w:bCs/>
        </w:rPr>
        <w:t>1</w:t>
      </w:r>
      <w:r>
        <w:rPr>
          <w:b/>
          <w:bCs/>
        </w:rPr>
        <w:t>]</w:t>
      </w:r>
      <w:r>
        <w:t xml:space="preserve">. Charging tariffs are regulated under BERC's retail tariff order for EV/battery-charging connections </w:t>
      </w:r>
      <w:r>
        <w:rPr>
          <w:b/>
          <w:bCs/>
        </w:rPr>
        <w:t>[4]</w:t>
      </w:r>
      <w:r>
        <w:t>; the specific rate should be pulled from the current gazette rather than assumed.</w:t>
      </w:r>
    </w:p>
    <w:p w14:paraId="646FBCB4" w14:textId="77777777" w:rsidR="0014434E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Notes: (1) Rows still marked "AUTHOR FIELD DATA REQUIRED" need your own primary research (driver surveys, scrap-market interviews), cited as your own methodology (e.g., "Author's field survey, n = __, [location], 2026") — no public source states these figures. (2) [5] and [7] disagree on total fleet size (~1.4M vs. 2–4M) — state both in your Limitations/Data Sources section rather than picking one silently. (3) BERC tariffs are revised periodically — use the 2024–25 figures [4] if your paper's data timeframe predates June 2026, or the revised 2026 figures [4b] if it doesn't; don't mix the two.</w:t>
      </w:r>
    </w:p>
    <w:p w14:paraId="2DA725D3" w14:textId="77777777" w:rsidR="0014434E" w:rsidRDefault="00000000">
      <w:pPr>
        <w:pStyle w:val="Heading1"/>
        <w:spacing w:before="300" w:after="140"/>
      </w:pPr>
      <w:r>
        <w:t>3. IEEE-Formatted References</w:t>
      </w:r>
    </w:p>
    <w:p w14:paraId="0062E0BB" w14:textId="77777777" w:rsidR="0014434E" w:rsidRDefault="00000000">
      <w:pPr>
        <w:spacing w:after="200"/>
      </w:pPr>
      <w:r w:rsidRPr="005F0DBB">
        <w:rPr>
          <w:b/>
          <w:bCs/>
          <w:highlight w:val="yellow"/>
        </w:rPr>
        <w:t xml:space="preserve">[1] </w:t>
      </w:r>
      <w:r w:rsidRPr="005F0DBB">
        <w:rPr>
          <w:highlight w:val="yellow"/>
        </w:rPr>
        <w:t>Coastal Livelihood and Environmental Action Network (CLEAN) and Bangladesh Working Group on External Debt (BWGED), "Easy Bike: A Savior for the Power Sector of Bangladesh," Research Study Report, Dhaka, Bangladesh, May 2024. [Online]. Available: https://www.cleanbd.org/publication/easy-bike:-a-savior-for-the-power-sector-of-bangladesh</w:t>
      </w:r>
    </w:p>
    <w:p w14:paraId="6C540793" w14:textId="3C590659" w:rsidR="0014434E" w:rsidRDefault="00000000">
      <w:pPr>
        <w:spacing w:after="200"/>
      </w:pPr>
      <w:r>
        <w:rPr>
          <w:b/>
          <w:bCs/>
        </w:rPr>
        <w:t xml:space="preserve">[2] </w:t>
      </w:r>
      <w:r>
        <w:t xml:space="preserve">H. Keshan, J. Thornburg, and T. S. </w:t>
      </w:r>
      <w:proofErr w:type="spellStart"/>
      <w:r>
        <w:t>Ustun</w:t>
      </w:r>
      <w:proofErr w:type="spellEnd"/>
      <w:r>
        <w:t xml:space="preserve">, "Comparison of Lead-Acid and </w:t>
      </w:r>
      <w:r w:rsidR="007E4145">
        <w:t>Lithium-Ion</w:t>
      </w:r>
      <w:r>
        <w:t xml:space="preserve"> Batteries for Stationary Storage in Off-Grid Energy Systems," in Proc. 4th IET Clean Energy and Technology Conference (CEAT 2016), Kuala Lumpur, Malaysia, 2016, </w:t>
      </w:r>
      <w:proofErr w:type="spellStart"/>
      <w:r>
        <w:t>doi</w:t>
      </w:r>
      <w:proofErr w:type="spellEnd"/>
      <w:r>
        <w:t>: 10.1049/cp.2016.1287.</w:t>
      </w:r>
    </w:p>
    <w:p w14:paraId="6EB38198" w14:textId="77777777" w:rsidR="0014434E" w:rsidRDefault="00000000">
      <w:pPr>
        <w:spacing w:after="200"/>
      </w:pPr>
      <w:r>
        <w:rPr>
          <w:b/>
          <w:bCs/>
        </w:rPr>
        <w:t xml:space="preserve">[3] </w:t>
      </w:r>
      <w:r>
        <w:t xml:space="preserve">J. Schöberl, M. Ank, M. Schreiber, N. </w:t>
      </w:r>
      <w:proofErr w:type="spellStart"/>
      <w:r>
        <w:t>Wassiliadis</w:t>
      </w:r>
      <w:proofErr w:type="spellEnd"/>
      <w:r>
        <w:t xml:space="preserve">, and M. </w:t>
      </w:r>
      <w:proofErr w:type="spellStart"/>
      <w:r>
        <w:t>Lienkamp</w:t>
      </w:r>
      <w:proofErr w:type="spellEnd"/>
      <w:r>
        <w:t xml:space="preserve">, "Thermal Runaway Propagation in Automotive Lithium-Ion Batteries with NMC-811 and LFP Cathodes: Safety Requirements and Impact on System Integration," </w:t>
      </w:r>
      <w:proofErr w:type="spellStart"/>
      <w:r>
        <w:t>eTransportation</w:t>
      </w:r>
      <w:proofErr w:type="spellEnd"/>
      <w:r>
        <w:t xml:space="preserve">, vol. 19, art. 100305, Jan. 2024, </w:t>
      </w:r>
      <w:proofErr w:type="spellStart"/>
      <w:r>
        <w:t>doi</w:t>
      </w:r>
      <w:proofErr w:type="spellEnd"/>
      <w:r>
        <w:t>: 10.1016/j.etran.2023.100305.</w:t>
      </w:r>
    </w:p>
    <w:p w14:paraId="777FA1B8" w14:textId="77777777" w:rsidR="0014434E" w:rsidRDefault="00000000">
      <w:pPr>
        <w:spacing w:after="200"/>
      </w:pPr>
      <w:r w:rsidRPr="005F0DBB">
        <w:rPr>
          <w:b/>
          <w:bCs/>
          <w:highlight w:val="yellow"/>
        </w:rPr>
        <w:t xml:space="preserve">[4] </w:t>
      </w:r>
      <w:r w:rsidRPr="005F0DBB">
        <w:rPr>
          <w:highlight w:val="yellow"/>
        </w:rPr>
        <w:t>Bangladesh Energy Regulatory Commission (BERC) EV/battery-charging tariff, as reported in: "How Much is EV Charging Station in Bangladesh?" 2025. [Online]. Available: https://crackplatooncsl.com/how-much-is-ev-charging-station-in-bangladesh/ (BDT 7.70/kWh flat rate + BDT 40/kW/month demand charge, 2024–25 figure; secondary source reporting BERC's gazette — cite the primary gazette directly from berc.org.bd if you can access it before submission</w:t>
      </w:r>
      <w:r>
        <w:t>).</w:t>
      </w:r>
    </w:p>
    <w:p w14:paraId="766C19A2" w14:textId="77777777" w:rsidR="0014434E" w:rsidRDefault="00000000">
      <w:pPr>
        <w:spacing w:after="200"/>
      </w:pPr>
      <w:r>
        <w:rPr>
          <w:b/>
          <w:bCs/>
        </w:rPr>
        <w:lastRenderedPageBreak/>
        <w:t xml:space="preserve">[4a] </w:t>
      </w:r>
      <w:r>
        <w:t xml:space="preserve">"How Much Does </w:t>
      </w:r>
      <w:proofErr w:type="gramStart"/>
      <w:r>
        <w:t>it</w:t>
      </w:r>
      <w:proofErr w:type="gramEnd"/>
      <w:r>
        <w:t xml:space="preserve"> Cost to Charge an EV on a Road Trip in Bangladesh?" 2025. [Online]. Available: https://crackplatooncsl.com/how-much-does-it-cost-to-charge-an-ev-on-a-road-trip-in-bangladesh/ (reports BDT 16.24/kWh BERC-approved flat rate observed at multiple public charging stations, 2025).</w:t>
      </w:r>
    </w:p>
    <w:p w14:paraId="2C205D8E" w14:textId="77777777" w:rsidR="0014434E" w:rsidRDefault="00000000">
      <w:pPr>
        <w:spacing w:after="200"/>
      </w:pPr>
      <w:r>
        <w:rPr>
          <w:b/>
          <w:bCs/>
        </w:rPr>
        <w:t xml:space="preserve">[4b] </w:t>
      </w:r>
      <w:r>
        <w:t>"Power Tariff Adjustment Alone Will Not Reduce Subsidy Burdens," The Financial Express, Dhaka, Jun. 2026. [Online]. Available: https://thefinancialexpress.com.bd/views/views/power-tariff-adjustment-alone-will-not-reduce-subsidy-burdens (reports the June 2026 BERC retail tariff revision: battery-charging-station rate BDT 11.36/kWh, general commercial BDT 15.36/kWh).</w:t>
      </w:r>
    </w:p>
    <w:p w14:paraId="71284F8C" w14:textId="77777777" w:rsidR="0014434E" w:rsidRDefault="00000000">
      <w:pPr>
        <w:spacing w:after="200"/>
      </w:pPr>
      <w:r>
        <w:rPr>
          <w:b/>
          <w:bCs/>
        </w:rPr>
        <w:t xml:space="preserve">[6] </w:t>
      </w:r>
      <w:r>
        <w:t xml:space="preserve">K. </w:t>
      </w:r>
      <w:proofErr w:type="spellStart"/>
      <w:r>
        <w:t>Karmaker</w:t>
      </w:r>
      <w:proofErr w:type="spellEnd"/>
      <w:r>
        <w:t xml:space="preserve">, M. A. Hossain, H. R. Pota, A. Onen, and J. Jung, "Energy Management System for Hybrid Renewable Energy-Based Electric Vehicle Charging Station," IEEE Access, vol. 11, pp. 27793–27805, 2023, </w:t>
      </w:r>
      <w:proofErr w:type="spellStart"/>
      <w:r>
        <w:t>doi</w:t>
      </w:r>
      <w:proofErr w:type="spellEnd"/>
      <w:r>
        <w:t>: 10.1109/ACCESS.2023.3259232. (Background reference on EV charging infrastructure and renewable integration in Bangladesh; relevant for a Discussion/Related Work section.)</w:t>
      </w:r>
    </w:p>
    <w:p w14:paraId="3280A5F8" w14:textId="77777777" w:rsidR="0014434E" w:rsidRDefault="00000000">
      <w:pPr>
        <w:spacing w:after="200"/>
      </w:pPr>
      <w:r>
        <w:rPr>
          <w:b/>
          <w:bCs/>
        </w:rPr>
        <w:t xml:space="preserve">[7] </w:t>
      </w:r>
      <w:r>
        <w:t xml:space="preserve">Mordor Intelligence, "Bangladesh Lithium-ion Battery Market — Size, Share &amp; Growth Forecast (2026–2031)," Industry Report, 2026. [Online]. Available: https://www.mordorintelligence.com/industry-reports/bangladesh-lithium-ion-battery-market (reports 2–4 million battery-powered rickshaws nationally, of which over 80% used lead-acid batteries as of 2024; citing A.S.M. </w:t>
      </w:r>
      <w:proofErr w:type="spellStart"/>
      <w:r>
        <w:t>Mominul</w:t>
      </w:r>
      <w:proofErr w:type="spellEnd"/>
      <w:r>
        <w:t xml:space="preserve"> Hasan, "Electric Rickshaw Charging Stations as Distributed Energy Storages for Integrating Intermittent Renewable Energy Sources: A Case of Bangladesh," Energies, vol. 13, no. 22, art. 6119, 2020, </w:t>
      </w:r>
      <w:proofErr w:type="spellStart"/>
      <w:r>
        <w:t>doi</w:t>
      </w:r>
      <w:proofErr w:type="spellEnd"/>
      <w:r>
        <w:t>: 10.3390/en13226119, as background context).</w:t>
      </w:r>
    </w:p>
    <w:p w14:paraId="568E2166" w14:textId="77777777" w:rsidR="007E4145" w:rsidRDefault="007E4145">
      <w:pPr>
        <w:spacing w:after="200"/>
      </w:pPr>
    </w:p>
    <w:sectPr w:rsidR="007E41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E2AF6"/>
    <w:multiLevelType w:val="hybridMultilevel"/>
    <w:tmpl w:val="94D67366"/>
    <w:lvl w:ilvl="0" w:tplc="9B0A3F12">
      <w:start w:val="1"/>
      <w:numFmt w:val="bullet"/>
      <w:lvlText w:val="●"/>
      <w:lvlJc w:val="left"/>
      <w:pPr>
        <w:ind w:left="720" w:hanging="360"/>
      </w:pPr>
    </w:lvl>
    <w:lvl w:ilvl="1" w:tplc="FA8A239C">
      <w:start w:val="1"/>
      <w:numFmt w:val="bullet"/>
      <w:lvlText w:val="○"/>
      <w:lvlJc w:val="left"/>
      <w:pPr>
        <w:ind w:left="1440" w:hanging="360"/>
      </w:pPr>
    </w:lvl>
    <w:lvl w:ilvl="2" w:tplc="9AAC6758">
      <w:start w:val="1"/>
      <w:numFmt w:val="bullet"/>
      <w:lvlText w:val="■"/>
      <w:lvlJc w:val="left"/>
      <w:pPr>
        <w:ind w:left="2160" w:hanging="360"/>
      </w:pPr>
    </w:lvl>
    <w:lvl w:ilvl="3" w:tplc="F1A020A4">
      <w:start w:val="1"/>
      <w:numFmt w:val="bullet"/>
      <w:lvlText w:val="●"/>
      <w:lvlJc w:val="left"/>
      <w:pPr>
        <w:ind w:left="2880" w:hanging="360"/>
      </w:pPr>
    </w:lvl>
    <w:lvl w:ilvl="4" w:tplc="88AA8AF6">
      <w:start w:val="1"/>
      <w:numFmt w:val="bullet"/>
      <w:lvlText w:val="○"/>
      <w:lvlJc w:val="left"/>
      <w:pPr>
        <w:ind w:left="3600" w:hanging="360"/>
      </w:pPr>
    </w:lvl>
    <w:lvl w:ilvl="5" w:tplc="6D2CABCC">
      <w:start w:val="1"/>
      <w:numFmt w:val="bullet"/>
      <w:lvlText w:val="■"/>
      <w:lvlJc w:val="left"/>
      <w:pPr>
        <w:ind w:left="4320" w:hanging="360"/>
      </w:pPr>
    </w:lvl>
    <w:lvl w:ilvl="6" w:tplc="58042CEE">
      <w:start w:val="1"/>
      <w:numFmt w:val="bullet"/>
      <w:lvlText w:val="●"/>
      <w:lvlJc w:val="left"/>
      <w:pPr>
        <w:ind w:left="5040" w:hanging="360"/>
      </w:pPr>
    </w:lvl>
    <w:lvl w:ilvl="7" w:tplc="EAD2424A">
      <w:start w:val="1"/>
      <w:numFmt w:val="bullet"/>
      <w:lvlText w:val="●"/>
      <w:lvlJc w:val="left"/>
      <w:pPr>
        <w:ind w:left="5760" w:hanging="360"/>
      </w:pPr>
    </w:lvl>
    <w:lvl w:ilvl="8" w:tplc="78062160">
      <w:start w:val="1"/>
      <w:numFmt w:val="bullet"/>
      <w:lvlText w:val="●"/>
      <w:lvlJc w:val="left"/>
      <w:pPr>
        <w:ind w:left="6480" w:hanging="360"/>
      </w:pPr>
    </w:lvl>
  </w:abstractNum>
  <w:num w:numId="1" w16cid:durableId="1528130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4E"/>
    <w:rsid w:val="0005478C"/>
    <w:rsid w:val="00096C48"/>
    <w:rsid w:val="0014434E"/>
    <w:rsid w:val="005F0DBB"/>
    <w:rsid w:val="007E4145"/>
    <w:rsid w:val="00F42EFE"/>
    <w:rsid w:val="00FC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3A09"/>
  <w15:docId w15:val="{8A8430FA-547C-473A-B01B-0E355F8C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1615</TotalTime>
  <Pages>3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Razowan Kabir</cp:lastModifiedBy>
  <cp:revision>4</cp:revision>
  <dcterms:created xsi:type="dcterms:W3CDTF">2026-08-23T05:24:00Z</dcterms:created>
  <dcterms:modified xsi:type="dcterms:W3CDTF">2026-08-24T09:01:00Z</dcterms:modified>
</cp:coreProperties>
</file>