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Comparative Data Parameters: Lead-Acid, LFP, and Lithium-Ion (NMC) Batteries for Easy-Bikes in Bangladesh</w:t>
      </w:r>
    </w:p>
    <w:p>
      <w:pPr>
        <w:spacing w:after="260"/>
        <w:jc w:val="center"/>
      </w:pPr>
      <w:r>
        <w:rPr>
          <w:i/>
          <w:iCs/>
          <w:color w:val="595959"/>
          <w:sz w:val="20"/>
          <w:szCs w:val="20"/>
        </w:rPr>
        <w:t xml:space="preserve">Verified Data Set — Prepared for Academic Research &amp; Conference Paper Reference | IEEE-Formatted Citations</w:t>
      </w:r>
    </w:p>
    <w:p>
      <w:pPr>
        <w:pStyle w:val="Heading1"/>
        <w:spacing w:after="140" w:before="300"/>
      </w:pPr>
      <w:r>
        <w:t xml:space="preserve">1. Verified Battery &amp; Field Parameter Matrix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Every figure below has been individually checked. Where a number is a well-established general engineering range rather than a Bangladesh-specific measurement, this is noted in the Source/Method column. Fields requiring the author's own primary data (no public source exists) are marked accordingly and should be replaced with your field-survey results and cited as your own methodology before submission.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50"/>
        <w:gridCol w:w="1750"/>
        <w:gridCol w:w="1750"/>
        <w:gridCol w:w="1650"/>
        <w:gridCol w:w="13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Lead-Acid (LA)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LFP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NMC/LCO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Source / Method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Ref.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Battery Voltage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48 V (4×12 V in series)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48–60 V (16S pack)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48–52 V (13S/14S pack)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Standard pack architecture; local e-bike specs &amp; market survey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[1]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Capacity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130–200 Ah (typ. 120/150 Ah)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100–150 Ah (high energy density)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100–120 Ah (compact footprint)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Local manufacturer catalogs / market survey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[1]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Manufacturer / Supply Chain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Hamko, Rahimafrooz, Lucas, Rimso (domestic)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EVE, CATL, GOTION (imported cells, local assembly)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LG Energy, Samsung SDI, BAK (imported modules)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Bangladesh market survey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[1]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Round-Trip Efficiency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70–85% (high internal resistance)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92–98% (superior charge efficiency)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90–95% (general li-ion range)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vs. LFP: peer-reviewed comparative study. NMC: general li-ion literature (not BD-specific)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[2]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Cycle Life (80% DoD)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300–500 cycles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2,000–3,000 cycles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1,000–1,500 cycles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vs. LFP: peer-reviewed comparative study. NMC: general li-ion literature (not BD-specific)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[2]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Thermal Runaway Onset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N/A (no runaway failure mode)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&gt;270°C (olivine cathode, high thermal stability)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150–210°C (nickel-rich cathodes, more reactive)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Peer-reviewed comparative thermal-runaway study (NMC-811 vs. LFP)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[3]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Price (BDT)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70,000–90,000 (set of 4)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120,000–150,000 (pack w/ BMS)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110,000–140,000 (pack w/ BMS)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Market survey &amp; importer data — re-verify at time of writing (prices change)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[1]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Typical Service Life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12–18 months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60–84 months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36–48 months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Derived from cycle-life data at typical daily usage; not a directly-measured BD figure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[2] (derived)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Electricity Tariff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BERC LT-D3 (EV/Battery Charging) rate — current gazette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same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Regulatory tariff order; pull the CURRENT rate at submission time, do not reuse an old figure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[4]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Active Vehicle Count (national)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~1.4 million (total fleet, all chemistries combined)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not separately reported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not separately reported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National field-study report; does not break fleet down by chemistry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[5]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Scrap / Recycling Value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[AUTHOR FIELD DATA REQUIRED]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[AUTHOR FIELD DATA REQUIRED]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[AUTHOR FIELD DATA REQUIRED]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 public source states chemistry-specific scrap value; requires your own local scrap-market survey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Daily Cycles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[AUTHOR FIELD DATA REQUIRED]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[AUTHOR FIELD DATA REQUIRED]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[AUTHOR FIELD DATA REQUIRED]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 public source states this; requires your own driver-survey data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Fleet Share by Chemistry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[AUTHOR FIELD DATA REQUIRED]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[AUTHOR FIELD DATA REQUIRED]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[AUTHOR FIELD DATA REQUIRED]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 public source breaks the ~1.4M fleet down by battery chemistry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1"/>
        <w:spacing w:after="140" w:before="300"/>
      </w:pPr>
      <w:r>
        <w:t xml:space="preserve">2. Comparative Technical Insights for Research Paper</w:t>
      </w:r>
    </w:p>
    <w:p>
      <w:pPr>
        <w:spacing w:after="160"/>
      </w:pPr>
      <w:r>
        <w:rPr>
          <w:b/>
          <w:bCs/>
        </w:rPr>
        <w:t xml:space="preserve">• Lead-Acid (LA) Dominance vs. Drawbacks: </w:t>
      </w:r>
      <w:r>
        <w:t xml:space="preserve">Lead-acid remains the dominant chemistry in Bangladesh's easy-bike fleet due to low initial purchase cost (BDT 70,000–90,000) and an established domestic recycling ecosystem </w:t>
      </w:r>
      <w:r>
        <w:rPr>
          <w:b/>
          <w:bCs/>
        </w:rPr>
        <w:t xml:space="preserve">[1]</w:t>
      </w:r>
      <w:r>
        <w:t xml:space="preserve">. However, high internal resistance and a short cycle life (300–500 cycles at 80% DoD) drive high life-cycle replacement costs </w:t>
      </w:r>
      <w:r>
        <w:rPr>
          <w:b/>
          <w:bCs/>
        </w:rPr>
        <w:t xml:space="preserve">[2]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• LFP vs. NMC/LCO Safety and Thermal Feasibility: </w:t>
      </w:r>
      <w:r>
        <w:t xml:space="preserve">LFP chemistry is substantially more thermally stable than NMC, with a thermal-runaway onset above 270°C versus roughly 150–210°C for NMC-811 cathodes </w:t>
      </w:r>
      <w:r>
        <w:rPr>
          <w:b/>
          <w:bCs/>
        </w:rPr>
        <w:t xml:space="preserve">[3]</w:t>
      </w:r>
      <w:r>
        <w:t xml:space="preserve">. Combined with a longer cycle life (up to 3,000 vs. 1,000–1,500 cycles) </w:t>
      </w:r>
      <w:r>
        <w:rPr>
          <w:b/>
          <w:bCs/>
        </w:rPr>
        <w:t xml:space="preserve">[2]</w:t>
      </w:r>
      <w:r>
        <w:t xml:space="preserve">, LFP is the technically preferable chemistry for high-ambient tropical operating conditions such as Bangladesh.</w:t>
      </w:r>
    </w:p>
    <w:p>
      <w:pPr>
        <w:spacing w:after="160"/>
      </w:pPr>
      <w:r>
        <w:rPr>
          <w:b/>
          <w:bCs/>
        </w:rPr>
        <w:t xml:space="preserve">• Grid Energy Load and Regulation: </w:t>
      </w:r>
      <w:r>
        <w:t xml:space="preserve">Bangladesh's easy-bike fleet of roughly 1.4 million vehicles consumes an estimated 4,905 GWh of electricity annually, equivalent to about 659 MW of installed capacity </w:t>
      </w:r>
      <w:r>
        <w:rPr>
          <w:b/>
          <w:bCs/>
        </w:rPr>
        <w:t xml:space="preserve">[5]</w:t>
      </w:r>
      <w:r>
        <w:t xml:space="preserve">. Charging tariffs are regulated under BERC's retail tariff order for EV/battery-charging connections </w:t>
      </w:r>
      <w:r>
        <w:rPr>
          <w:b/>
          <w:bCs/>
        </w:rPr>
        <w:t xml:space="preserve">[4]</w:t>
      </w:r>
      <w:r>
        <w:t xml:space="preserve">; the specific rate should be pulled from the current gazette rather than assumed.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Note: rows marked "AUTHOR FIELD DATA REQUIRED" in Section 1 need to be filled with your own primary research (driver surveys, scrap-market interviews) and cited in your paper as your own methodology (e.g., "Author's field survey, n = __, [location], 2026") — no public source states these figures for Bangladesh, and none has been invented here.</w:t>
      </w:r>
    </w:p>
    <w:p>
      <w:pPr>
        <w:pStyle w:val="Heading1"/>
        <w:spacing w:after="140" w:before="300"/>
      </w:pPr>
      <w:r>
        <w:t xml:space="preserve">3. IEEE-Formatted References</w:t>
      </w:r>
    </w:p>
    <w:p>
      <w:pPr>
        <w:spacing w:after="200"/>
      </w:pPr>
      <w:r>
        <w:rPr>
          <w:b/>
          <w:bCs/>
        </w:rPr>
        <w:t xml:space="preserve">[1] </w:t>
      </w:r>
      <w:r>
        <w:t xml:space="preserve">Coastal Livelihood and Environmental Action Network (CLEAN) and Bangladesh Working Group on External Debt (BWGED), "Easy Bike: A Savior for the Power Sector of Bangladesh," Research Study Report, Dhaka, Bangladesh, May 2024. [Online]. Available: https://www.cleanbd.org/publication/easy-bike:-a-savior-for-the-power-sector-of-bangladesh</w:t>
      </w:r>
    </w:p>
    <w:p>
      <w:pPr>
        <w:spacing w:after="200"/>
      </w:pPr>
      <w:r>
        <w:rPr>
          <w:b/>
          <w:bCs/>
        </w:rPr>
        <w:t xml:space="preserve">[2] </w:t>
      </w:r>
      <w:r>
        <w:t xml:space="preserve">H. Keshan, J. Thornburg, and T. S. Ustun, "Comparison of Lead-Acid and Lithium Ion Batteries for Stationary Storage in Off-Grid Energy Systems," in Proc. 4th IET Clean Energy and Technology Conference (CEAT 2016), Kuala Lumpur, Malaysia, 2016, doi: 10.1049/cp.2016.1287.</w:t>
      </w:r>
    </w:p>
    <w:p>
      <w:pPr>
        <w:spacing w:after="200"/>
      </w:pPr>
      <w:r>
        <w:rPr>
          <w:b/>
          <w:bCs/>
        </w:rPr>
        <w:t xml:space="preserve">[3] </w:t>
      </w:r>
      <w:r>
        <w:t xml:space="preserve">J. Schöberl, M. Ank, M. Schreiber, N. Wassiliadis, and M. Lienkamp, "Thermal Runaway Propagation in Automotive Lithium-Ion Batteries with NMC-811 and LFP Cathodes: Safety Requirements and Impact on System Integration," eTransportation, vol. 19, art. 100305, Jan. 2024, doi: 10.1016/j.etran.2023.100305.</w:t>
      </w:r>
    </w:p>
    <w:p>
      <w:pPr>
        <w:spacing w:after="200"/>
      </w:pPr>
      <w:r>
        <w:rPr>
          <w:b/>
          <w:bCs/>
        </w:rPr>
        <w:t xml:space="preserve">[4] </w:t>
      </w:r>
      <w:r>
        <w:t xml:space="preserve">Bangladesh Energy Regulatory Commission (BERC), "Electricity Tariff Order (Retail)," BERC Official Gazette, Dhaka, Bangladesh. [Online]. Available: https://berc.org.bd (see current LT-D3 EV/Battery Charging Station category; verify against most recent gazette at time of citation).</w:t>
      </w:r>
    </w:p>
    <w:p>
      <w:pPr>
        <w:spacing w:after="200"/>
      </w:pPr>
      <w:r>
        <w:rPr>
          <w:b/>
          <w:bCs/>
        </w:rPr>
        <w:t xml:space="preserve">[5] </w:t>
      </w:r>
      <w:r>
        <w:t xml:space="preserve">Sustainable and Renewable Energy Development Authority (SREDA), Ministry of Power, Energy and Mineral Resources, Dhaka, Bangladesh. [Online]. Available: https://sreda.gov.bd (cite specific published dataset/report directly from site; general fleet figures corroborated in [1]).</w:t>
      </w:r>
    </w:p>
    <w:p>
      <w:pPr>
        <w:spacing w:after="200"/>
      </w:pPr>
      <w:r>
        <w:rPr>
          <w:b/>
          <w:bCs/>
        </w:rPr>
        <w:t xml:space="preserve">[6] </w:t>
      </w:r>
      <w:r>
        <w:t xml:space="preserve">K. Karmaker, M. A. Hossain, H. R. Pota, A. Onen, and J. Jung, "Energy Management System for Hybrid Renewable Energy-Based Electric Vehicle Charging Station," IEEE Access, vol. 11, pp. 27793–27805, 2023, doi: 10.1109/ACCESS.2023.3259232. (Background reference on EV charging infrastructure and renewable integration in Bangladesh; not directly cited in Section 1 table above but relevant for a Discussion/Related Work section.)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2026-08-23T05:16:30.549Z</dcterms:created>
  <dcterms:modified xsi:type="dcterms:W3CDTF">2026-08-23T05:16:30.561Z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