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DB67" w14:textId="77777777" w:rsidR="005A1FCF" w:rsidRDefault="005A1FCF" w:rsidP="005A1FCF">
      <w:pPr>
        <w:pStyle w:val="NormalWeb"/>
        <w:spacing w:line="360" w:lineRule="auto"/>
        <w:jc w:val="both"/>
      </w:pPr>
      <w:r w:rsidRPr="005A1FCF">
        <w:rPr>
          <w:rStyle w:val="citation-1065"/>
          <w:bCs/>
        </w:rPr>
        <w:t>Assessment of Informal Used Lead Acid Battery Recycling and Associated Impacts in Bangladesh (</w:t>
      </w:r>
      <w:hyperlink r:id="rId5" w:tgtFrame="_blank" w:history="1">
        <w:r w:rsidRPr="005A1FCF">
          <w:rPr>
            <w:rStyle w:val="citation-1060"/>
            <w:color w:val="0000FF"/>
            <w:u w:val="single"/>
          </w:rPr>
          <w:t>10.3390/su172310815</w:t>
        </w:r>
      </w:hyperlink>
      <w:r w:rsidRPr="005A1FCF">
        <w:t xml:space="preserve">), </w:t>
      </w:r>
    </w:p>
    <w:p w14:paraId="5DE4E4B2" w14:textId="77777777" w:rsidR="005A1FCF" w:rsidRDefault="005A1FCF" w:rsidP="005A1FCF">
      <w:pPr>
        <w:pStyle w:val="NormalWeb"/>
        <w:spacing w:line="360" w:lineRule="auto"/>
        <w:jc w:val="both"/>
      </w:pPr>
      <w:r w:rsidRPr="005A1FCF">
        <w:t>Performance Comparison of Ion Lithium Batteries and Lead Acid Batteries in Electrical Energy Storage Systems (</w:t>
      </w:r>
      <w:hyperlink r:id="rId6" w:tgtFrame="_blank" w:history="1">
        <w:r w:rsidRPr="005A1FCF">
          <w:rPr>
            <w:rStyle w:val="Hyperlink"/>
            <w:bdr w:val="none" w:sz="0" w:space="0" w:color="auto" w:frame="1"/>
            <w:shd w:val="clear" w:color="auto" w:fill="FFFFFF"/>
          </w:rPr>
          <w:t>10.61628/jsce.v7i1.2266</w:t>
        </w:r>
      </w:hyperlink>
      <w:r w:rsidRPr="005A1FCF">
        <w:t>)</w:t>
      </w:r>
      <w:r>
        <w:t xml:space="preserve">, </w:t>
      </w:r>
    </w:p>
    <w:p w14:paraId="3126582E" w14:textId="77777777" w:rsidR="005A1FCF" w:rsidRDefault="005A1FCF" w:rsidP="005A1FCF">
      <w:pPr>
        <w:pStyle w:val="NormalWeb"/>
        <w:spacing w:line="360" w:lineRule="auto"/>
        <w:jc w:val="both"/>
      </w:pPr>
      <w:r w:rsidRPr="005A1FCF">
        <w:t>Lifecycle Assessment (LCA) in Tropical Climates (doi.org/10.1039/D5YA00057B)</w:t>
      </w:r>
      <w:r>
        <w:t xml:space="preserve">, </w:t>
      </w:r>
    </w:p>
    <w:p w14:paraId="2711BC8C" w14:textId="77777777" w:rsidR="005A1FCF" w:rsidRDefault="005A1FCF" w:rsidP="005A1FCF">
      <w:pPr>
        <w:pStyle w:val="NormalWeb"/>
        <w:spacing w:line="360" w:lineRule="auto"/>
        <w:jc w:val="both"/>
      </w:pPr>
      <w:r>
        <w:t xml:space="preserve">Hoppecke Batterien GmbH. (2025). Full life cycle assessment of an industrial lead–acid battery based on primary data. </w:t>
      </w:r>
      <w:r>
        <w:rPr>
          <w:i/>
          <w:iCs/>
        </w:rPr>
        <w:t>Energy Advances</w:t>
      </w:r>
      <w:r>
        <w:t xml:space="preserve">, (7). </w:t>
      </w:r>
      <w:hyperlink r:id="rId7" w:tgtFrame="_blank" w:history="1">
        <w:r>
          <w:rPr>
            <w:rStyle w:val="Hyperlink"/>
          </w:rPr>
          <w:t>https://doi.org/10.1039/D5YA00057B</w:t>
        </w:r>
      </w:hyperlink>
      <w:r>
        <w:t xml:space="preserve">, </w:t>
      </w:r>
    </w:p>
    <w:p w14:paraId="6E7B068C" w14:textId="77777777" w:rsidR="005A1FCF" w:rsidRDefault="005A1FCF" w:rsidP="005A1FCF">
      <w:pPr>
        <w:pStyle w:val="NormalWeb"/>
        <w:spacing w:line="360" w:lineRule="auto"/>
        <w:jc w:val="both"/>
      </w:pPr>
      <w:r>
        <w:t xml:space="preserve">LightCastle Partners. (2025). </w:t>
      </w:r>
      <w:r>
        <w:rPr>
          <w:i/>
          <w:iCs/>
        </w:rPr>
        <w:t>EV Adoption in Bangladesh: Market Dynamics &amp; Energy Readiness</w:t>
      </w:r>
      <w:r>
        <w:t xml:space="preserve">. </w:t>
      </w:r>
      <w:hyperlink r:id="rId8" w:tgtFrame="_blank" w:history="1">
        <w:r>
          <w:rPr>
            <w:rStyle w:val="Hyperlink"/>
          </w:rPr>
          <w:t>https://lightcastlepartners.com/insights/2025/12/ev-adoption-bangladesh-market-dynamics-energy-readiness/</w:t>
        </w:r>
      </w:hyperlink>
      <w:r>
        <w:t xml:space="preserve">, </w:t>
      </w:r>
    </w:p>
    <w:p w14:paraId="00B711D7" w14:textId="77777777" w:rsidR="005A1FCF" w:rsidRDefault="005A1FCF" w:rsidP="005A1FCF">
      <w:pPr>
        <w:pStyle w:val="NormalWeb"/>
        <w:spacing w:line="360" w:lineRule="auto"/>
        <w:jc w:val="both"/>
      </w:pPr>
      <w:r>
        <w:t xml:space="preserve">MDPI. (2025). Environmental Impact of Lead-Acid Batteries: A Review of Sustainable Alternatives for Production and Recycling Based on Life Cycle Analysis. </w:t>
      </w:r>
      <w:r>
        <w:rPr>
          <w:i/>
          <w:iCs/>
        </w:rPr>
        <w:t>Sustainability</w:t>
      </w:r>
      <w:r>
        <w:t xml:space="preserve">, </w:t>
      </w:r>
      <w:r>
        <w:rPr>
          <w:i/>
          <w:iCs/>
        </w:rPr>
        <w:t>17</w:t>
      </w:r>
      <w:r>
        <w:t xml:space="preserve">(23), 10815. </w:t>
      </w:r>
      <w:hyperlink r:id="rId9" w:tgtFrame="_blank" w:history="1">
        <w:r>
          <w:rPr>
            <w:rStyle w:val="Hyperlink"/>
          </w:rPr>
          <w:t>https://doi.org/10.3390/su172310815</w:t>
        </w:r>
      </w:hyperlink>
      <w:r>
        <w:t xml:space="preserve">, </w:t>
      </w:r>
    </w:p>
    <w:p w14:paraId="0A3404A7" w14:textId="77777777" w:rsidR="005A1FCF" w:rsidRDefault="005A1FCF" w:rsidP="005A1FCF">
      <w:pPr>
        <w:pStyle w:val="NormalWeb"/>
        <w:spacing w:line="360" w:lineRule="auto"/>
        <w:jc w:val="both"/>
      </w:pPr>
      <w:r>
        <w:t xml:space="preserve">ResearchGate. (2026). </w:t>
      </w:r>
      <w:r>
        <w:rPr>
          <w:i/>
          <w:iCs/>
        </w:rPr>
        <w:t>Performance Comparison of Ion Lithium Batteries and Lead Acid Batteries in Electrical Energy Storage Systems</w:t>
      </w:r>
      <w:r>
        <w:t xml:space="preserve">., </w:t>
      </w:r>
      <w:hyperlink r:id="rId10" w:tgtFrame="_blank" w:history="1">
        <w:r>
          <w:rPr>
            <w:rStyle w:val="Hyperlink"/>
          </w:rPr>
          <w:t>https://www.researchgate.net/publication/400355176_Performance_Comparison_of_Ion_Lithium_Batteries_and_Lead_Acid_Batteries_in_Electrical_Energy_Storage_Systems</w:t>
        </w:r>
      </w:hyperlink>
      <w:r>
        <w:t xml:space="preserve">, </w:t>
      </w:r>
    </w:p>
    <w:p w14:paraId="08A34035" w14:textId="77777777" w:rsidR="005A1FCF" w:rsidRDefault="005A1FCF" w:rsidP="005A1FCF">
      <w:pPr>
        <w:pStyle w:val="NormalWeb"/>
        <w:spacing w:line="360" w:lineRule="auto"/>
        <w:jc w:val="both"/>
      </w:pPr>
      <w:r>
        <w:t xml:space="preserve">UNEP. (2020). </w:t>
      </w:r>
      <w:r>
        <w:rPr>
          <w:i/>
          <w:iCs/>
        </w:rPr>
        <w:t>Assessment of Informal Used Lead Acid Battery Recycling and Associated Impacts in Bangladesh</w:t>
      </w:r>
      <w:r>
        <w:t xml:space="preserve">. </w:t>
      </w:r>
      <w:hyperlink r:id="rId11" w:tgtFrame="_blank" w:history="1">
        <w:r>
          <w:rPr>
            <w:rStyle w:val="Hyperlink"/>
          </w:rPr>
          <w:t>https://www.unep.org/resources/assessment/assessment-informal-used-lead-acid-battery-recycling-and-associated-impacts</w:t>
        </w:r>
      </w:hyperlink>
    </w:p>
    <w:p w14:paraId="79E2DF72" w14:textId="77777777" w:rsidR="00E36DF9" w:rsidRDefault="00E36DF9" w:rsidP="005A1FCF">
      <w:pPr>
        <w:spacing w:line="360" w:lineRule="auto"/>
        <w:jc w:val="both"/>
        <w:rPr>
          <w:rFonts w:ascii="Times New Roman" w:hAnsi="Times New Roman" w:cs="Times New Roman"/>
          <w:sz w:val="24"/>
          <w:szCs w:val="24"/>
        </w:rPr>
      </w:pPr>
    </w:p>
    <w:p w14:paraId="0FA304BA" w14:textId="77777777" w:rsidR="005A1FCF" w:rsidRDefault="005A1FCF" w:rsidP="005A1FCF">
      <w:pPr>
        <w:spacing w:line="360" w:lineRule="auto"/>
        <w:jc w:val="both"/>
        <w:rPr>
          <w:rFonts w:ascii="Times New Roman" w:hAnsi="Times New Roman" w:cs="Times New Roman"/>
          <w:sz w:val="24"/>
          <w:szCs w:val="24"/>
        </w:rPr>
      </w:pPr>
    </w:p>
    <w:p w14:paraId="7BF90971" w14:textId="77777777" w:rsidR="005A1FCF" w:rsidRDefault="005A1FCF" w:rsidP="005A1FCF">
      <w:pPr>
        <w:spacing w:line="360" w:lineRule="auto"/>
        <w:jc w:val="both"/>
        <w:rPr>
          <w:rFonts w:ascii="Times New Roman" w:hAnsi="Times New Roman" w:cs="Times New Roman"/>
          <w:sz w:val="24"/>
          <w:szCs w:val="24"/>
        </w:rPr>
      </w:pPr>
    </w:p>
    <w:p w14:paraId="1BEC24E5" w14:textId="77777777" w:rsidR="005A1FCF" w:rsidRDefault="005A1FCF" w:rsidP="005A1FCF">
      <w:pPr>
        <w:spacing w:line="360" w:lineRule="auto"/>
        <w:jc w:val="both"/>
        <w:rPr>
          <w:rFonts w:ascii="Times New Roman" w:hAnsi="Times New Roman" w:cs="Times New Roman"/>
          <w:sz w:val="24"/>
          <w:szCs w:val="24"/>
        </w:rPr>
      </w:pPr>
    </w:p>
    <w:p w14:paraId="4D502DF2" w14:textId="77777777" w:rsidR="005A1FCF" w:rsidRDefault="005A1FCF" w:rsidP="005A1FCF">
      <w:pPr>
        <w:spacing w:line="360" w:lineRule="auto"/>
        <w:jc w:val="both"/>
        <w:rPr>
          <w:rFonts w:ascii="Times New Roman" w:hAnsi="Times New Roman" w:cs="Times New Roman"/>
          <w:sz w:val="24"/>
          <w:szCs w:val="24"/>
        </w:rPr>
      </w:pPr>
    </w:p>
    <w:p w14:paraId="17FF8511" w14:textId="0BB8E63A" w:rsidR="005A1FCF" w:rsidRDefault="005A1FCF" w:rsidP="005A1FCF">
      <w:pPr>
        <w:spacing w:line="360" w:lineRule="auto"/>
        <w:jc w:val="center"/>
        <w:rPr>
          <w:rFonts w:ascii="Times New Roman" w:hAnsi="Times New Roman" w:cs="Times New Roman"/>
          <w:b/>
          <w:sz w:val="32"/>
          <w:szCs w:val="24"/>
        </w:rPr>
      </w:pPr>
      <w:r w:rsidRPr="005A1FCF">
        <w:rPr>
          <w:rFonts w:ascii="Times New Roman" w:hAnsi="Times New Roman" w:cs="Times New Roman"/>
          <w:b/>
          <w:sz w:val="32"/>
          <w:szCs w:val="24"/>
          <w:highlight w:val="green"/>
        </w:rPr>
        <w:lastRenderedPageBreak/>
        <w:t>Techno-Economic Modeling of Battery Technology Transitions in the Global South: Evaluating Constraints and Grid Impacts of Small-Scale E-mobility</w:t>
      </w:r>
      <w:r w:rsidRPr="005A1FCF">
        <w:rPr>
          <w:rFonts w:ascii="Times New Roman" w:hAnsi="Times New Roman" w:cs="Times New Roman"/>
          <w:b/>
          <w:sz w:val="32"/>
          <w:szCs w:val="24"/>
        </w:rPr>
        <w:t xml:space="preserve"> / </w:t>
      </w:r>
      <w:commentRangeStart w:id="0"/>
      <w:r w:rsidRPr="00CB20BA">
        <w:rPr>
          <w:rFonts w:ascii="Times New Roman" w:hAnsi="Times New Roman" w:cs="Times New Roman"/>
          <w:b/>
          <w:sz w:val="32"/>
          <w:szCs w:val="24"/>
          <w:highlight w:val="yellow"/>
        </w:rPr>
        <w:t>The Lead-Acid Trap: A Techno-Economic Analysis of Battery Transition Barriers in Global South E-mobility Ecosystems</w:t>
      </w:r>
      <w:r w:rsidR="00CB20BA">
        <w:rPr>
          <w:rFonts w:ascii="Times New Roman" w:hAnsi="Times New Roman" w:cs="Times New Roman"/>
          <w:b/>
          <w:sz w:val="32"/>
          <w:szCs w:val="24"/>
        </w:rPr>
        <w:t xml:space="preserve"> </w:t>
      </w:r>
      <w:commentRangeEnd w:id="0"/>
      <w:r w:rsidR="00CB20BA">
        <w:rPr>
          <w:rStyle w:val="CommentReference"/>
          <w:rFonts w:ascii="Times New Roman" w:hAnsi="Times New Roman" w:cs="Times New Roman"/>
          <w:b/>
          <w:sz w:val="32"/>
          <w:szCs w:val="24"/>
        </w:rPr>
        <w:commentReference w:id="0"/>
      </w:r>
    </w:p>
    <w:p w14:paraId="40A0A316" w14:textId="77777777" w:rsidR="005A1FCF" w:rsidRDefault="005A1FCF" w:rsidP="005A1FCF">
      <w:pPr>
        <w:spacing w:line="360" w:lineRule="auto"/>
        <w:jc w:val="center"/>
        <w:rPr>
          <w:rFonts w:ascii="Times New Roman" w:hAnsi="Times New Roman" w:cs="Times New Roman"/>
          <w:b/>
          <w:sz w:val="32"/>
          <w:szCs w:val="24"/>
        </w:rPr>
      </w:pPr>
    </w:p>
    <w:p w14:paraId="6D9D4886" w14:textId="77777777" w:rsidR="005A1FCF" w:rsidRDefault="005A1FCF" w:rsidP="005A1FCF">
      <w:pPr>
        <w:spacing w:line="360" w:lineRule="auto"/>
        <w:jc w:val="center"/>
        <w:rPr>
          <w:rFonts w:ascii="Times New Roman" w:hAnsi="Times New Roman" w:cs="Times New Roman"/>
          <w:b/>
          <w:sz w:val="32"/>
          <w:szCs w:val="24"/>
        </w:rPr>
      </w:pPr>
    </w:p>
    <w:p w14:paraId="45F42C19" w14:textId="77777777" w:rsidR="005A1FCF" w:rsidRPr="00765FF6" w:rsidRDefault="00765FF6" w:rsidP="00765FF6">
      <w:pPr>
        <w:pStyle w:val="ListParagraph"/>
        <w:numPr>
          <w:ilvl w:val="0"/>
          <w:numId w:val="8"/>
        </w:numPr>
        <w:spacing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b/>
          <w:bCs/>
          <w:sz w:val="27"/>
          <w:szCs w:val="27"/>
          <w:lang w:eastAsia="en-GB"/>
        </w:rPr>
        <w:t>Abstract:</w:t>
      </w:r>
      <w:r>
        <w:t xml:space="preserve"> </w:t>
      </w:r>
      <w:r w:rsidRPr="00765FF6">
        <w:rPr>
          <w:rFonts w:ascii="Times New Roman" w:eastAsia="Times New Roman" w:hAnsi="Times New Roman" w:cs="Times New Roman"/>
          <w:sz w:val="24"/>
          <w:szCs w:val="24"/>
          <w:lang w:eastAsia="en-GB"/>
        </w:rPr>
        <w:t xml:space="preserve">The rapid electrification of the informal transport sector in the </w:t>
      </w:r>
      <w:r w:rsidRPr="00765FF6">
        <w:rPr>
          <w:rFonts w:ascii="Times New Roman" w:eastAsia="Times New Roman" w:hAnsi="Times New Roman" w:cs="Times New Roman"/>
          <w:bCs/>
          <w:sz w:val="24"/>
          <w:szCs w:val="24"/>
          <w:lang w:eastAsia="en-GB"/>
        </w:rPr>
        <w:t>Global South</w:t>
      </w:r>
      <w:r w:rsidRPr="00765FF6">
        <w:rPr>
          <w:rFonts w:ascii="Times New Roman" w:eastAsia="Times New Roman" w:hAnsi="Times New Roman" w:cs="Times New Roman"/>
          <w:sz w:val="24"/>
          <w:szCs w:val="24"/>
          <w:lang w:eastAsia="en-GB"/>
        </w:rPr>
        <w:t xml:space="preserve">—characterized by millions of low-cost two- and three-wheelers—has created a critical technological and environmental paradox. While </w:t>
      </w:r>
      <w:r w:rsidRPr="00765FF6">
        <w:rPr>
          <w:rFonts w:ascii="Times New Roman" w:eastAsia="Times New Roman" w:hAnsi="Times New Roman" w:cs="Times New Roman"/>
          <w:bCs/>
          <w:sz w:val="24"/>
          <w:szCs w:val="24"/>
          <w:lang w:eastAsia="en-GB"/>
        </w:rPr>
        <w:t>Lithium-ion (Li-ion)</w:t>
      </w:r>
      <w:r w:rsidRPr="00765FF6">
        <w:rPr>
          <w:rFonts w:ascii="Times New Roman" w:eastAsia="Times New Roman" w:hAnsi="Times New Roman" w:cs="Times New Roman"/>
          <w:sz w:val="24"/>
          <w:szCs w:val="24"/>
          <w:lang w:eastAsia="en-GB"/>
        </w:rPr>
        <w:t xml:space="preserve"> batteries offer superior energy density and efficiency, the e-mobility market remains dominated by hazardous </w:t>
      </w:r>
      <w:r w:rsidRPr="00765FF6">
        <w:rPr>
          <w:rFonts w:ascii="Times New Roman" w:eastAsia="Times New Roman" w:hAnsi="Times New Roman" w:cs="Times New Roman"/>
          <w:bCs/>
          <w:sz w:val="24"/>
          <w:szCs w:val="24"/>
          <w:lang w:eastAsia="en-GB"/>
        </w:rPr>
        <w:t>lead-acid</w:t>
      </w:r>
      <w:r w:rsidRPr="00765FF6">
        <w:rPr>
          <w:rFonts w:ascii="Times New Roman" w:eastAsia="Times New Roman" w:hAnsi="Times New Roman" w:cs="Times New Roman"/>
          <w:sz w:val="24"/>
          <w:szCs w:val="24"/>
          <w:lang w:eastAsia="en-GB"/>
        </w:rPr>
        <w:t xml:space="preserve"> technology. This study introduces a </w:t>
      </w:r>
      <w:r w:rsidRPr="00765FF6">
        <w:rPr>
          <w:rFonts w:ascii="Times New Roman" w:eastAsia="Times New Roman" w:hAnsi="Times New Roman" w:cs="Times New Roman"/>
          <w:bCs/>
          <w:sz w:val="24"/>
          <w:szCs w:val="24"/>
          <w:lang w:eastAsia="en-GB"/>
        </w:rPr>
        <w:t>techno-economic modeling framework</w:t>
      </w:r>
      <w:r w:rsidRPr="00765FF6">
        <w:rPr>
          <w:rFonts w:ascii="Times New Roman" w:eastAsia="Times New Roman" w:hAnsi="Times New Roman" w:cs="Times New Roman"/>
          <w:sz w:val="24"/>
          <w:szCs w:val="24"/>
          <w:lang w:eastAsia="en-GB"/>
        </w:rPr>
        <w:t xml:space="preserve"> to analyze the </w:t>
      </w:r>
      <w:r w:rsidRPr="00765FF6">
        <w:rPr>
          <w:rFonts w:ascii="Times New Roman" w:eastAsia="Times New Roman" w:hAnsi="Times New Roman" w:cs="Times New Roman"/>
          <w:bCs/>
          <w:sz w:val="24"/>
          <w:szCs w:val="24"/>
          <w:lang w:eastAsia="en-GB"/>
        </w:rPr>
        <w:t>"Lead-Acid Trap"</w:t>
      </w:r>
      <w:r w:rsidRPr="00765FF6">
        <w:rPr>
          <w:rFonts w:ascii="Times New Roman" w:eastAsia="Times New Roman" w:hAnsi="Times New Roman" w:cs="Times New Roman"/>
          <w:sz w:val="24"/>
          <w:szCs w:val="24"/>
          <w:lang w:eastAsia="en-GB"/>
        </w:rPr>
        <w:t>: a socio-economic feedback loop where the high residual scrap value (</w:t>
      </w:r>
      <w:r>
        <w:rPr>
          <w:rFonts w:ascii="Times New Roman" w:eastAsia="Times New Roman" w:hAnsi="Times New Roman" w:cs="Times New Roman"/>
          <w:sz w:val="24"/>
          <w:szCs w:val="24"/>
          <w:lang w:eastAsia="en-GB"/>
        </w:rPr>
        <w:t>40-50%</w:t>
      </w:r>
      <w:r w:rsidRPr="00765FF6">
        <w:rPr>
          <w:rFonts w:ascii="Times New Roman" w:eastAsia="Times New Roman" w:hAnsi="Times New Roman" w:cs="Times New Roman"/>
          <w:sz w:val="24"/>
          <w:szCs w:val="24"/>
          <w:lang w:eastAsia="en-GB"/>
        </w:rPr>
        <w:t xml:space="preserve">) of lead-acid batteries offsets their short cycle life, creating a financial barrier to cleaner alternatives. Using primary data from the </w:t>
      </w:r>
      <w:r w:rsidRPr="00765FF6">
        <w:rPr>
          <w:rFonts w:ascii="Times New Roman" w:eastAsia="Times New Roman" w:hAnsi="Times New Roman" w:cs="Times New Roman"/>
          <w:bCs/>
          <w:sz w:val="24"/>
          <w:szCs w:val="24"/>
          <w:lang w:eastAsia="en-GB"/>
        </w:rPr>
        <w:t>Bangladesh</w:t>
      </w:r>
      <w:r w:rsidRPr="00765FF6">
        <w:rPr>
          <w:rFonts w:ascii="Times New Roman" w:eastAsia="Times New Roman" w:hAnsi="Times New Roman" w:cs="Times New Roman"/>
          <w:sz w:val="24"/>
          <w:szCs w:val="24"/>
          <w:lang w:eastAsia="en-GB"/>
        </w:rPr>
        <w:t xml:space="preserve"> e-mobility ecosystem and modeling </w:t>
      </w:r>
      <w:r w:rsidRPr="00765FF6">
        <w:rPr>
          <w:rFonts w:ascii="Times New Roman" w:eastAsia="Times New Roman" w:hAnsi="Times New Roman" w:cs="Times New Roman"/>
          <w:bCs/>
          <w:sz w:val="24"/>
          <w:szCs w:val="24"/>
          <w:lang w:eastAsia="en-GB"/>
        </w:rPr>
        <w:t>thermal degradation</w:t>
      </w:r>
      <w:r w:rsidRPr="00765FF6">
        <w:rPr>
          <w:rFonts w:ascii="Times New Roman" w:eastAsia="Times New Roman" w:hAnsi="Times New Roman" w:cs="Times New Roman"/>
          <w:sz w:val="24"/>
          <w:szCs w:val="24"/>
          <w:lang w:eastAsia="en-GB"/>
        </w:rPr>
        <w:t xml:space="preserve"> under tropical climates (</w:t>
      </w:r>
      <w:r>
        <w:rPr>
          <w:rFonts w:ascii="Times New Roman" w:eastAsia="Times New Roman" w:hAnsi="Times New Roman" w:cs="Times New Roman"/>
          <w:sz w:val="24"/>
          <w:szCs w:val="24"/>
          <w:lang w:eastAsia="en-GB"/>
        </w:rPr>
        <w:t>30-40 degree celcius</w:t>
      </w:r>
      <w:r w:rsidRPr="00765FF6">
        <w:rPr>
          <w:rFonts w:ascii="Times New Roman" w:eastAsia="Times New Roman" w:hAnsi="Times New Roman" w:cs="Times New Roman"/>
          <w:sz w:val="24"/>
          <w:szCs w:val="24"/>
          <w:lang w:eastAsia="en-GB"/>
        </w:rPr>
        <w:t xml:space="preserve">), we evaluate the technical performance and </w:t>
      </w:r>
      <w:r w:rsidRPr="00765FF6">
        <w:rPr>
          <w:rFonts w:ascii="Times New Roman" w:eastAsia="Times New Roman" w:hAnsi="Times New Roman" w:cs="Times New Roman"/>
          <w:bCs/>
          <w:sz w:val="24"/>
          <w:szCs w:val="24"/>
          <w:lang w:eastAsia="en-GB"/>
        </w:rPr>
        <w:t>Total Cost of Ownership (TCO)</w:t>
      </w:r>
      <w:r w:rsidRPr="00765FF6">
        <w:rPr>
          <w:rFonts w:ascii="Times New Roman" w:eastAsia="Times New Roman" w:hAnsi="Times New Roman" w:cs="Times New Roman"/>
          <w:sz w:val="24"/>
          <w:szCs w:val="24"/>
          <w:lang w:eastAsia="en-GB"/>
        </w:rPr>
        <w:t xml:space="preserve"> of both technologies. Our findings reveal that despite Li-ion’s higher upfront cost, it achieves a lower TCO by Year 3, provided that </w:t>
      </w:r>
      <w:r w:rsidRPr="00765FF6">
        <w:rPr>
          <w:rFonts w:ascii="Times New Roman" w:eastAsia="Times New Roman" w:hAnsi="Times New Roman" w:cs="Times New Roman"/>
          <w:bCs/>
          <w:sz w:val="24"/>
          <w:szCs w:val="24"/>
          <w:lang w:eastAsia="en-GB"/>
        </w:rPr>
        <w:t>Battery Management Systems (BMS)</w:t>
      </w:r>
      <w:r w:rsidRPr="00765FF6">
        <w:rPr>
          <w:rFonts w:ascii="Times New Roman" w:eastAsia="Times New Roman" w:hAnsi="Times New Roman" w:cs="Times New Roman"/>
          <w:sz w:val="24"/>
          <w:szCs w:val="24"/>
          <w:lang w:eastAsia="en-GB"/>
        </w:rPr>
        <w:t xml:space="preserve"> are optimized for high-temperature environments. Furthermore, we analyze the impact of the </w:t>
      </w:r>
      <w:r w:rsidRPr="00765FF6">
        <w:rPr>
          <w:rFonts w:ascii="Times New Roman" w:eastAsia="Times New Roman" w:hAnsi="Times New Roman" w:cs="Times New Roman"/>
          <w:bCs/>
          <w:sz w:val="24"/>
          <w:szCs w:val="24"/>
          <w:lang w:eastAsia="en-GB"/>
        </w:rPr>
        <w:t>June 2025 custom duty reversal</w:t>
      </w:r>
      <w:r w:rsidRPr="00765FF6">
        <w:rPr>
          <w:rFonts w:ascii="Times New Roman" w:eastAsia="Times New Roman" w:hAnsi="Times New Roman" w:cs="Times New Roman"/>
          <w:sz w:val="24"/>
          <w:szCs w:val="24"/>
          <w:lang w:eastAsia="en-GB"/>
        </w:rPr>
        <w:t xml:space="preserve"> (reduced to 1%) and propose a </w:t>
      </w:r>
      <w:r w:rsidRPr="00765FF6">
        <w:rPr>
          <w:rFonts w:ascii="Times New Roman" w:eastAsia="Times New Roman" w:hAnsi="Times New Roman" w:cs="Times New Roman"/>
          <w:bCs/>
          <w:sz w:val="24"/>
          <w:szCs w:val="24"/>
          <w:lang w:eastAsia="en-GB"/>
        </w:rPr>
        <w:t>policy roadmap</w:t>
      </w:r>
      <w:r w:rsidRPr="00765FF6">
        <w:rPr>
          <w:rFonts w:ascii="Times New Roman" w:eastAsia="Times New Roman" w:hAnsi="Times New Roman" w:cs="Times New Roman"/>
          <w:sz w:val="24"/>
          <w:szCs w:val="24"/>
          <w:lang w:eastAsia="en-GB"/>
        </w:rPr>
        <w:t xml:space="preserve"> including "Scrap Subsidies" and solar-integrated charging infrastructure to decouple emerging economies from lead dependency. This research provides a scalable engineering and policy template for decarbonizing informal transport sectors across developing nations.</w:t>
      </w:r>
    </w:p>
    <w:p w14:paraId="434C98D1" w14:textId="77777777" w:rsidR="00765FF6" w:rsidRDefault="00765FF6" w:rsidP="005A1FCF">
      <w:pPr>
        <w:spacing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b/>
          <w:sz w:val="24"/>
          <w:szCs w:val="24"/>
          <w:lang w:eastAsia="en-GB"/>
        </w:rPr>
        <w:t xml:space="preserve">Keywords: </w:t>
      </w:r>
      <w:r w:rsidRPr="00765FF6">
        <w:rPr>
          <w:rFonts w:ascii="Times New Roman" w:eastAsia="Times New Roman" w:hAnsi="Times New Roman" w:cs="Times New Roman"/>
          <w:sz w:val="24"/>
          <w:szCs w:val="24"/>
          <w:lang w:eastAsia="en-GB"/>
        </w:rPr>
        <w:t>Micromobility, Techno-economic analysis, Thermal degradation, Global South, Battery Management Systems (BMS), Lithium-ion transition.</w:t>
      </w:r>
    </w:p>
    <w:p w14:paraId="6C8F6CAE" w14:textId="77777777" w:rsidR="00765FF6" w:rsidRDefault="00765FF6" w:rsidP="005A1FCF">
      <w:pPr>
        <w:spacing w:line="360" w:lineRule="auto"/>
        <w:jc w:val="both"/>
        <w:rPr>
          <w:rFonts w:ascii="Times New Roman" w:eastAsia="Times New Roman" w:hAnsi="Times New Roman" w:cs="Times New Roman"/>
          <w:sz w:val="24"/>
          <w:szCs w:val="24"/>
          <w:lang w:eastAsia="en-GB"/>
        </w:rPr>
      </w:pPr>
    </w:p>
    <w:p w14:paraId="5549387C" w14:textId="77777777" w:rsidR="00765FF6" w:rsidRPr="00765FF6" w:rsidRDefault="00765FF6" w:rsidP="005A1FCF">
      <w:pPr>
        <w:spacing w:line="360" w:lineRule="auto"/>
        <w:jc w:val="both"/>
        <w:rPr>
          <w:rFonts w:ascii="Times New Roman" w:eastAsia="Times New Roman" w:hAnsi="Times New Roman" w:cs="Times New Roman"/>
          <w:sz w:val="24"/>
          <w:szCs w:val="24"/>
          <w:lang w:eastAsia="en-GB"/>
        </w:rPr>
      </w:pPr>
    </w:p>
    <w:p w14:paraId="7508CED3" w14:textId="77777777" w:rsidR="00765FF6" w:rsidRPr="00765FF6" w:rsidRDefault="00765FF6" w:rsidP="00765FF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65FF6">
        <w:rPr>
          <w:rFonts w:ascii="Times New Roman" w:eastAsia="Times New Roman" w:hAnsi="Times New Roman" w:cs="Times New Roman"/>
          <w:b/>
          <w:bCs/>
          <w:sz w:val="27"/>
          <w:szCs w:val="27"/>
          <w:lang w:eastAsia="en-GB"/>
        </w:rPr>
        <w:lastRenderedPageBreak/>
        <w:t>2. Introduction</w:t>
      </w:r>
    </w:p>
    <w:p w14:paraId="6DF3766D" w14:textId="77777777"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The global transition toward electric mobility (e-mobility) is often discussed through the lens of passenger vehicles in developed economies; however, the most rapid electrification is occurring in the </w:t>
      </w:r>
      <w:r w:rsidRPr="00765FF6">
        <w:rPr>
          <w:rFonts w:ascii="Times New Roman" w:eastAsia="Times New Roman" w:hAnsi="Times New Roman" w:cs="Times New Roman"/>
          <w:bCs/>
          <w:sz w:val="24"/>
          <w:szCs w:val="24"/>
          <w:lang w:eastAsia="en-GB"/>
        </w:rPr>
        <w:t>Global South's informal transport sector</w:t>
      </w:r>
      <w:r w:rsidRPr="00765FF6">
        <w:rPr>
          <w:rFonts w:ascii="Times New Roman" w:eastAsia="Times New Roman" w:hAnsi="Times New Roman" w:cs="Times New Roman"/>
          <w:sz w:val="24"/>
          <w:szCs w:val="24"/>
          <w:lang w:eastAsia="en-GB"/>
        </w:rPr>
        <w:t xml:space="preserve">. In countries like </w:t>
      </w:r>
      <w:r w:rsidRPr="00765FF6">
        <w:rPr>
          <w:rFonts w:ascii="Times New Roman" w:eastAsia="Times New Roman" w:hAnsi="Times New Roman" w:cs="Times New Roman"/>
          <w:bCs/>
          <w:sz w:val="24"/>
          <w:szCs w:val="24"/>
          <w:lang w:eastAsia="en-GB"/>
        </w:rPr>
        <w:t>Bangladesh</w:t>
      </w:r>
      <w:r w:rsidRPr="00765FF6">
        <w:rPr>
          <w:rFonts w:ascii="Times New Roman" w:eastAsia="Times New Roman" w:hAnsi="Times New Roman" w:cs="Times New Roman"/>
          <w:sz w:val="24"/>
          <w:szCs w:val="24"/>
          <w:lang w:eastAsia="en-GB"/>
        </w:rPr>
        <w:t xml:space="preserve">, millions of small-scale electric vehicles (EVs)—locally known as "easy-bikes" and electric rickshaws—form the backbone of urban and rural transit. While these vehicles offer a pathway to decarbonization, they are currently tethered to a highly inefficient and hazardous energy storage medium: the </w:t>
      </w:r>
      <w:r w:rsidRPr="00765FF6">
        <w:rPr>
          <w:rFonts w:ascii="Times New Roman" w:eastAsia="Times New Roman" w:hAnsi="Times New Roman" w:cs="Times New Roman"/>
          <w:bCs/>
          <w:sz w:val="24"/>
          <w:szCs w:val="24"/>
          <w:lang w:eastAsia="en-GB"/>
        </w:rPr>
        <w:t>Lead-Acid (LA) battery</w:t>
      </w:r>
      <w:r w:rsidRPr="00765FF6">
        <w:rPr>
          <w:rFonts w:ascii="Times New Roman" w:eastAsia="Times New Roman" w:hAnsi="Times New Roman" w:cs="Times New Roman"/>
          <w:sz w:val="24"/>
          <w:szCs w:val="24"/>
          <w:lang w:eastAsia="en-GB"/>
        </w:rPr>
        <w:t>.</w:t>
      </w:r>
    </w:p>
    <w:p w14:paraId="30132484" w14:textId="77777777"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Despite the clear technical superiority of </w:t>
      </w:r>
      <w:r w:rsidRPr="00765FF6">
        <w:rPr>
          <w:rFonts w:ascii="Times New Roman" w:eastAsia="Times New Roman" w:hAnsi="Times New Roman" w:cs="Times New Roman"/>
          <w:bCs/>
          <w:sz w:val="24"/>
          <w:szCs w:val="24"/>
          <w:lang w:eastAsia="en-GB"/>
        </w:rPr>
        <w:t>Lithium-Ion (Li-ion)</w:t>
      </w:r>
      <w:r w:rsidRPr="00765FF6">
        <w:rPr>
          <w:rFonts w:ascii="Times New Roman" w:eastAsia="Times New Roman" w:hAnsi="Times New Roman" w:cs="Times New Roman"/>
          <w:sz w:val="24"/>
          <w:szCs w:val="24"/>
          <w:lang w:eastAsia="en-GB"/>
        </w:rPr>
        <w:t xml:space="preserve"> batteries in terms of energy density, efficiency, and cycle life, lead-acid technology continues to dominate the market. This persistent dependency is not merely a technical choice but a result of what we define as the </w:t>
      </w:r>
      <w:r w:rsidRPr="00765FF6">
        <w:rPr>
          <w:rFonts w:ascii="Times New Roman" w:eastAsia="Times New Roman" w:hAnsi="Times New Roman" w:cs="Times New Roman"/>
          <w:bCs/>
          <w:sz w:val="24"/>
          <w:szCs w:val="24"/>
          <w:lang w:eastAsia="en-GB"/>
        </w:rPr>
        <w:t>"Lead-Acid Trap"</w:t>
      </w:r>
      <w:r w:rsidRPr="00765FF6">
        <w:rPr>
          <w:rFonts w:ascii="Times New Roman" w:eastAsia="Times New Roman" w:hAnsi="Times New Roman" w:cs="Times New Roman"/>
          <w:sz w:val="24"/>
          <w:szCs w:val="24"/>
          <w:lang w:eastAsia="en-GB"/>
        </w:rPr>
        <w:t>. This trap is characterized by a unique socio-economic feedback loop: the high residual scrap valu</w:t>
      </w:r>
      <w:r>
        <w:rPr>
          <w:rFonts w:ascii="Times New Roman" w:eastAsia="Times New Roman" w:hAnsi="Times New Roman" w:cs="Times New Roman"/>
          <w:sz w:val="24"/>
          <w:szCs w:val="24"/>
          <w:lang w:eastAsia="en-GB"/>
        </w:rPr>
        <w:t>e of lead-acid batteries (often 40-50%</w:t>
      </w:r>
      <w:r w:rsidRPr="00765FF6">
        <w:rPr>
          <w:rFonts w:ascii="Times New Roman" w:eastAsia="Times New Roman" w:hAnsi="Times New Roman" w:cs="Times New Roman"/>
          <w:sz w:val="24"/>
          <w:szCs w:val="24"/>
          <w:lang w:eastAsia="en-GB"/>
        </w:rPr>
        <w:t xml:space="preserve"> of the initial cost) provides the necessary liquidity for low-income operators to purchase their next battery set. In contrast, Li-ion batteries, despite their longer lifespan, currently possess negligible resale value in the informal market and require an upfront investment that is often triple that of LA alternatives.</w:t>
      </w:r>
    </w:p>
    <w:p w14:paraId="696CAB9A" w14:textId="25878632"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The consequences of this "trap" are twofold. Environmentally, the informal recycling of lead-acid batteries in unregulated smelters across South Asia leads to catastrophic lead poisoning, contributing to an estimated </w:t>
      </w:r>
      <w:r w:rsidRPr="00765FF6">
        <w:rPr>
          <w:rFonts w:ascii="Times New Roman" w:eastAsia="Times New Roman" w:hAnsi="Times New Roman" w:cs="Times New Roman"/>
          <w:bCs/>
          <w:sz w:val="24"/>
          <w:szCs w:val="24"/>
          <w:lang w:eastAsia="en-GB"/>
        </w:rPr>
        <w:t>US $15.9 billion annual GDP loss</w:t>
      </w:r>
      <w:r w:rsidRPr="00765FF6">
        <w:rPr>
          <w:rFonts w:ascii="Times New Roman" w:eastAsia="Times New Roman" w:hAnsi="Times New Roman" w:cs="Times New Roman"/>
          <w:sz w:val="24"/>
          <w:szCs w:val="24"/>
          <w:lang w:eastAsia="en-GB"/>
        </w:rPr>
        <w:t xml:space="preserve"> in Bangladesh alone due to health-related impacts and cognitive impairment in children. Technically, the operation of these batteries under </w:t>
      </w:r>
      <w:r w:rsidRPr="00765FF6">
        <w:rPr>
          <w:rFonts w:ascii="Times New Roman" w:eastAsia="Times New Roman" w:hAnsi="Times New Roman" w:cs="Times New Roman"/>
          <w:bCs/>
          <w:sz w:val="24"/>
          <w:szCs w:val="24"/>
          <w:lang w:eastAsia="en-GB"/>
        </w:rPr>
        <w:t>tropical climates (</w:t>
      </w:r>
      <w:r>
        <w:rPr>
          <w:rFonts w:ascii="Times New Roman" w:eastAsia="Times New Roman" w:hAnsi="Times New Roman" w:cs="Times New Roman"/>
          <w:sz w:val="24"/>
          <w:szCs w:val="24"/>
          <w:lang w:eastAsia="en-GB"/>
        </w:rPr>
        <w:t xml:space="preserve">30-40 degree celcius) </w:t>
      </w:r>
      <w:r w:rsidRPr="00765FF6">
        <w:rPr>
          <w:rFonts w:ascii="Times New Roman" w:eastAsia="Times New Roman" w:hAnsi="Times New Roman" w:cs="Times New Roman"/>
          <w:sz w:val="24"/>
          <w:szCs w:val="24"/>
          <w:lang w:eastAsia="en-GB"/>
        </w:rPr>
        <w:t>significantly accelerates degradation, leading to frequent replacements and increased grid stress during uncoordinated charging cycles</w:t>
      </w:r>
      <w:r w:rsidRPr="005B05E3">
        <w:rPr>
          <w:rFonts w:ascii="Times New Roman" w:eastAsia="Times New Roman" w:hAnsi="Times New Roman" w:cs="Times New Roman"/>
          <w:sz w:val="24"/>
          <w:szCs w:val="24"/>
          <w:highlight w:val="yellow"/>
          <w:lang w:eastAsia="en-GB"/>
        </w:rPr>
        <w:t>.</w:t>
      </w:r>
      <w:r w:rsidR="005B05E3" w:rsidRPr="005B05E3">
        <w:rPr>
          <w:rFonts w:ascii="Times New Roman" w:eastAsia="Times New Roman" w:hAnsi="Times New Roman" w:cs="Times New Roman"/>
          <w:sz w:val="24"/>
          <w:szCs w:val="24"/>
          <w:highlight w:val="yellow"/>
          <w:lang w:eastAsia="en-GB"/>
        </w:rPr>
        <w:t>[here we need  to collect the data of market share and find the total number or ebikes and then the total amount energy and then connect with the social and environmental impact on it like how</w:t>
      </w:r>
      <w:r w:rsidR="005B05E3">
        <w:rPr>
          <w:rFonts w:ascii="Times New Roman" w:eastAsia="Times New Roman" w:hAnsi="Times New Roman" w:cs="Times New Roman"/>
          <w:sz w:val="24"/>
          <w:szCs w:val="24"/>
          <w:highlight w:val="yellow"/>
          <w:lang w:eastAsia="en-GB"/>
        </w:rPr>
        <w:t xml:space="preserve"> the can minimized the co2 or or lead polutions after using the lithum ion</w:t>
      </w:r>
      <w:r w:rsidR="005B05E3" w:rsidRPr="005B05E3">
        <w:rPr>
          <w:rFonts w:ascii="Times New Roman" w:eastAsia="Times New Roman" w:hAnsi="Times New Roman" w:cs="Times New Roman"/>
          <w:sz w:val="24"/>
          <w:szCs w:val="24"/>
          <w:highlight w:val="yellow"/>
          <w:lang w:eastAsia="en-GB"/>
        </w:rPr>
        <w:t xml:space="preserve"> ]</w:t>
      </w:r>
    </w:p>
    <w:p w14:paraId="09001003" w14:textId="77777777"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While recent policy shifts, such as the </w:t>
      </w:r>
      <w:r w:rsidRPr="00765FF6">
        <w:rPr>
          <w:rFonts w:ascii="Times New Roman" w:eastAsia="Times New Roman" w:hAnsi="Times New Roman" w:cs="Times New Roman"/>
          <w:bCs/>
          <w:sz w:val="24"/>
          <w:szCs w:val="24"/>
          <w:lang w:eastAsia="en-GB"/>
        </w:rPr>
        <w:t>June 2025 custom duty reversal</w:t>
      </w:r>
      <w:r w:rsidRPr="00765FF6">
        <w:rPr>
          <w:rFonts w:ascii="Times New Roman" w:eastAsia="Times New Roman" w:hAnsi="Times New Roman" w:cs="Times New Roman"/>
          <w:sz w:val="24"/>
          <w:szCs w:val="24"/>
          <w:lang w:eastAsia="en-GB"/>
        </w:rPr>
        <w:t xml:space="preserve"> in Bangladesh which slashed lithium raw material duties to </w:t>
      </w:r>
      <w:r>
        <w:rPr>
          <w:rFonts w:ascii="Times New Roman" w:eastAsia="Times New Roman" w:hAnsi="Times New Roman" w:cs="Times New Roman"/>
          <w:sz w:val="24"/>
          <w:szCs w:val="24"/>
          <w:lang w:eastAsia="en-GB"/>
        </w:rPr>
        <w:t>1%</w:t>
      </w:r>
      <w:r w:rsidRPr="00765FF6">
        <w:rPr>
          <w:rFonts w:ascii="Times New Roman" w:eastAsia="Times New Roman" w:hAnsi="Times New Roman" w:cs="Times New Roman"/>
          <w:sz w:val="24"/>
          <w:szCs w:val="24"/>
          <w:lang w:eastAsia="en-GB"/>
        </w:rPr>
        <w:t xml:space="preserve">, aim to bridge this gap, a significant research void remains. Most existing literature focuses on Western EV standards or lab-scale battery performance, failing to account for the techno-economic constraints of the </w:t>
      </w:r>
      <w:r w:rsidRPr="00765FF6">
        <w:rPr>
          <w:rFonts w:ascii="Times New Roman" w:eastAsia="Times New Roman" w:hAnsi="Times New Roman" w:cs="Times New Roman"/>
          <w:bCs/>
          <w:sz w:val="24"/>
          <w:szCs w:val="24"/>
          <w:lang w:eastAsia="en-GB"/>
        </w:rPr>
        <w:t>informal transport ecosystem</w:t>
      </w:r>
      <w:r w:rsidRPr="00765FF6">
        <w:rPr>
          <w:rFonts w:ascii="Times New Roman" w:eastAsia="Times New Roman" w:hAnsi="Times New Roman" w:cs="Times New Roman"/>
          <w:sz w:val="24"/>
          <w:szCs w:val="24"/>
          <w:lang w:eastAsia="en-GB"/>
        </w:rPr>
        <w:t>.</w:t>
      </w:r>
    </w:p>
    <w:p w14:paraId="6272E721" w14:textId="77777777"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lastRenderedPageBreak/>
        <w:t>This paper addresses this gap by:</w:t>
      </w:r>
    </w:p>
    <w:p w14:paraId="6D19C4FC" w14:textId="77777777" w:rsidR="00765FF6" w:rsidRPr="00765FF6" w:rsidRDefault="00765FF6" w:rsidP="00765FF6">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Developing a </w:t>
      </w:r>
      <w:r w:rsidRPr="00765FF6">
        <w:rPr>
          <w:rFonts w:ascii="Times New Roman" w:eastAsia="Times New Roman" w:hAnsi="Times New Roman" w:cs="Times New Roman"/>
          <w:bCs/>
          <w:sz w:val="24"/>
          <w:szCs w:val="24"/>
          <w:lang w:eastAsia="en-GB"/>
        </w:rPr>
        <w:t>techno-economic framework</w:t>
      </w:r>
      <w:r w:rsidRPr="00765FF6">
        <w:rPr>
          <w:rFonts w:ascii="Times New Roman" w:eastAsia="Times New Roman" w:hAnsi="Times New Roman" w:cs="Times New Roman"/>
          <w:sz w:val="24"/>
          <w:szCs w:val="24"/>
          <w:lang w:eastAsia="en-GB"/>
        </w:rPr>
        <w:t xml:space="preserve"> that incorporates "scrap value" as a critical variable in Total Cost of Ownership (TCO) calculations.</w:t>
      </w:r>
    </w:p>
    <w:p w14:paraId="10A6FC40" w14:textId="77777777" w:rsidR="00765FF6" w:rsidRPr="00765FF6" w:rsidRDefault="00765FF6" w:rsidP="00765FF6">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Modeling </w:t>
      </w:r>
      <w:r w:rsidRPr="00765FF6">
        <w:rPr>
          <w:rFonts w:ascii="Times New Roman" w:eastAsia="Times New Roman" w:hAnsi="Times New Roman" w:cs="Times New Roman"/>
          <w:bCs/>
          <w:sz w:val="24"/>
          <w:szCs w:val="24"/>
          <w:lang w:eastAsia="en-GB"/>
        </w:rPr>
        <w:t>thermal degradation</w:t>
      </w:r>
      <w:r w:rsidRPr="00765FF6">
        <w:rPr>
          <w:rFonts w:ascii="Times New Roman" w:eastAsia="Times New Roman" w:hAnsi="Times New Roman" w:cs="Times New Roman"/>
          <w:sz w:val="24"/>
          <w:szCs w:val="24"/>
          <w:lang w:eastAsia="en-GB"/>
        </w:rPr>
        <w:t xml:space="preserve"> of Li-ion vs. LA batteries under realistic tropical ambient conditions (</w:t>
      </w:r>
      <w:r>
        <w:rPr>
          <w:rFonts w:ascii="Times New Roman" w:eastAsia="Times New Roman" w:hAnsi="Times New Roman" w:cs="Times New Roman"/>
          <w:sz w:val="24"/>
          <w:szCs w:val="24"/>
          <w:lang w:eastAsia="en-GB"/>
        </w:rPr>
        <w:t>30-40 degree celcius</w:t>
      </w:r>
      <w:r w:rsidRPr="00765FF6">
        <w:rPr>
          <w:rFonts w:ascii="Times New Roman" w:eastAsia="Times New Roman" w:hAnsi="Times New Roman" w:cs="Times New Roman"/>
          <w:sz w:val="24"/>
          <w:szCs w:val="24"/>
          <w:lang w:eastAsia="en-GB"/>
        </w:rPr>
        <w:t>).</w:t>
      </w:r>
    </w:p>
    <w:p w14:paraId="7127CABC" w14:textId="77777777" w:rsidR="00765FF6" w:rsidRDefault="00765FF6" w:rsidP="00765FF6">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 xml:space="preserve">Evaluating the effectiveness of recent </w:t>
      </w:r>
      <w:r w:rsidRPr="00765FF6">
        <w:rPr>
          <w:rFonts w:ascii="Times New Roman" w:eastAsia="Times New Roman" w:hAnsi="Times New Roman" w:cs="Times New Roman"/>
          <w:bCs/>
          <w:sz w:val="24"/>
          <w:szCs w:val="24"/>
          <w:lang w:eastAsia="en-GB"/>
        </w:rPr>
        <w:t>policy interventions</w:t>
      </w:r>
      <w:r w:rsidRPr="00765FF6">
        <w:rPr>
          <w:rFonts w:ascii="Times New Roman" w:eastAsia="Times New Roman" w:hAnsi="Times New Roman" w:cs="Times New Roman"/>
          <w:sz w:val="24"/>
          <w:szCs w:val="24"/>
          <w:lang w:eastAsia="en-GB"/>
        </w:rPr>
        <w:t xml:space="preserve"> and proposing a roadmap for a sustainable transition through scrap subsidies and solar-integrated charging infrastructure.</w:t>
      </w:r>
    </w:p>
    <w:p w14:paraId="63D4AAA8" w14:textId="1EF5C5B1" w:rsidR="00D14E7A" w:rsidRPr="00410F00" w:rsidRDefault="00D14E7A" w:rsidP="00765FF6">
      <w:pPr>
        <w:numPr>
          <w:ilvl w:val="0"/>
          <w:numId w:val="9"/>
        </w:numPr>
        <w:spacing w:before="100" w:beforeAutospacing="1" w:after="100" w:afterAutospacing="1" w:line="360" w:lineRule="auto"/>
        <w:jc w:val="both"/>
        <w:rPr>
          <w:rFonts w:ascii="Times New Roman" w:eastAsia="Times New Roman" w:hAnsi="Times New Roman" w:cs="Times New Roman"/>
          <w:sz w:val="24"/>
          <w:szCs w:val="24"/>
          <w:highlight w:val="yellow"/>
          <w:lang w:eastAsia="en-GB"/>
        </w:rPr>
      </w:pPr>
      <w:r w:rsidRPr="00410F00">
        <w:rPr>
          <w:rFonts w:ascii="Times New Roman" w:eastAsia="Times New Roman" w:hAnsi="Times New Roman" w:cs="Times New Roman"/>
          <w:sz w:val="24"/>
          <w:szCs w:val="24"/>
          <w:highlight w:val="yellow"/>
          <w:lang w:eastAsia="en-GB"/>
        </w:rPr>
        <w:t xml:space="preserve">Also connect the </w:t>
      </w:r>
      <w:r w:rsidRPr="00410F00">
        <w:rPr>
          <w:rFonts w:ascii="Times New Roman" w:eastAsia="Times New Roman" w:hAnsi="Times New Roman" w:cs="Times New Roman"/>
          <w:sz w:val="24"/>
          <w:szCs w:val="24"/>
          <w:highlight w:val="yellow"/>
          <w:lang w:eastAsia="en-GB"/>
        </w:rPr>
        <w:t>Policy Gap</w:t>
      </w:r>
      <w:r w:rsidRPr="00410F00">
        <w:rPr>
          <w:rFonts w:ascii="Times New Roman" w:eastAsia="Times New Roman" w:hAnsi="Times New Roman" w:cs="Times New Roman"/>
          <w:sz w:val="24"/>
          <w:szCs w:val="24"/>
          <w:highlight w:val="yellow"/>
          <w:lang w:eastAsia="en-GB"/>
        </w:rPr>
        <w:t>:</w:t>
      </w:r>
      <w:r w:rsidRPr="00410F00">
        <w:rPr>
          <w:rFonts w:ascii="Times New Roman" w:eastAsia="Times New Roman" w:hAnsi="Times New Roman" w:cs="Times New Roman"/>
          <w:sz w:val="24"/>
          <w:szCs w:val="24"/>
          <w:highlight w:val="yellow"/>
          <w:lang w:eastAsia="en-GB"/>
        </w:rPr>
        <w:tab/>
        <w:t>Post-2023 BD energy policy (NDC goals, EV subsidies, Chinese factory competition) has not been analyzed in peer-reviewed literature. Your paper bridges this gap.</w:t>
      </w:r>
    </w:p>
    <w:p w14:paraId="36B3DB61" w14:textId="40A7B14A" w:rsidR="00410F00" w:rsidRPr="00410F00" w:rsidRDefault="00410F00" w:rsidP="00765FF6">
      <w:pPr>
        <w:numPr>
          <w:ilvl w:val="0"/>
          <w:numId w:val="9"/>
        </w:numPr>
        <w:spacing w:before="100" w:beforeAutospacing="1" w:after="100" w:afterAutospacing="1" w:line="360" w:lineRule="auto"/>
        <w:jc w:val="both"/>
        <w:rPr>
          <w:rFonts w:ascii="Times New Roman" w:eastAsia="Times New Roman" w:hAnsi="Times New Roman" w:cs="Times New Roman"/>
          <w:sz w:val="24"/>
          <w:szCs w:val="24"/>
          <w:highlight w:val="yellow"/>
          <w:lang w:eastAsia="en-GB"/>
        </w:rPr>
      </w:pPr>
      <w:r w:rsidRPr="00410F00">
        <w:rPr>
          <w:rFonts w:ascii="Times New Roman" w:eastAsia="Times New Roman" w:hAnsi="Times New Roman" w:cs="Times New Roman"/>
          <w:sz w:val="24"/>
          <w:szCs w:val="24"/>
          <w:highlight w:val="yellow"/>
          <w:lang w:eastAsia="en-GB"/>
        </w:rPr>
        <w:t>Cmpare with</w:t>
      </w:r>
      <w:r w:rsidRPr="00410F00">
        <w:rPr>
          <w:rFonts w:ascii="Georgia" w:hAnsi="Georgia"/>
          <w:color w:val="27251E"/>
          <w:highlight w:val="yellow"/>
        </w:rPr>
        <w:t xml:space="preserve"> new batteries </w:t>
      </w:r>
      <w:r w:rsidRPr="00410F00">
        <w:rPr>
          <w:rFonts w:ascii="Georgia" w:hAnsi="Georgia"/>
          <w:color w:val="27251E"/>
          <w:highlight w:val="yellow"/>
        </w:rPr>
        <w:t xml:space="preserve">LiFePO4 </w:t>
      </w:r>
      <w:r w:rsidRPr="00410F00">
        <w:rPr>
          <w:rFonts w:ascii="Georgia" w:hAnsi="Georgia"/>
          <w:color w:val="27251E"/>
          <w:highlight w:val="yellow"/>
        </w:rPr>
        <w:t xml:space="preserve"> model with this 2 connect in the energy graph or others</w:t>
      </w:r>
    </w:p>
    <w:p w14:paraId="1E9983F0" w14:textId="77777777" w:rsidR="00765FF6" w:rsidRPr="00765FF6" w:rsidRDefault="00765FF6" w:rsidP="00765FF6">
      <w:pPr>
        <w:spacing w:before="100" w:beforeAutospacing="1" w:after="100" w:afterAutospacing="1" w:line="360" w:lineRule="auto"/>
        <w:jc w:val="both"/>
        <w:rPr>
          <w:rFonts w:ascii="Times New Roman" w:eastAsia="Times New Roman" w:hAnsi="Times New Roman" w:cs="Times New Roman"/>
          <w:sz w:val="24"/>
          <w:szCs w:val="24"/>
          <w:lang w:eastAsia="en-GB"/>
        </w:rPr>
      </w:pPr>
      <w:r w:rsidRPr="00765FF6">
        <w:rPr>
          <w:rFonts w:ascii="Times New Roman" w:eastAsia="Times New Roman" w:hAnsi="Times New Roman" w:cs="Times New Roman"/>
          <w:sz w:val="24"/>
          <w:szCs w:val="24"/>
          <w:lang w:eastAsia="en-GB"/>
        </w:rPr>
        <w:t>Through this analysis, the study provides a scalable engineering template to decouple emerging economies from toxic lead dependency while optimizing the performance of small-scale e-mobility systems</w:t>
      </w:r>
    </w:p>
    <w:p w14:paraId="02674890" w14:textId="77777777" w:rsidR="00765FF6" w:rsidRDefault="00765FF6" w:rsidP="00765FF6">
      <w:pPr>
        <w:pStyle w:val="Heading3"/>
      </w:pPr>
    </w:p>
    <w:p w14:paraId="4F575C88" w14:textId="77777777" w:rsidR="00765FF6" w:rsidRDefault="00765FF6" w:rsidP="00765FF6">
      <w:pPr>
        <w:pStyle w:val="Heading3"/>
      </w:pPr>
      <w:r>
        <w:t>3. Literature Review</w:t>
      </w:r>
    </w:p>
    <w:p w14:paraId="6585AB4B" w14:textId="77777777" w:rsidR="00765FF6" w:rsidRDefault="00765FF6" w:rsidP="00765FF6">
      <w:pPr>
        <w:pStyle w:val="NormalWeb"/>
        <w:numPr>
          <w:ilvl w:val="0"/>
          <w:numId w:val="3"/>
        </w:numPr>
      </w:pPr>
      <w:r>
        <w:rPr>
          <w:b/>
          <w:bCs/>
        </w:rPr>
        <w:t>State of the Art</w:t>
      </w:r>
      <w:r>
        <w:t>: Reviewing current battery technologies (LFP, NMC vs. VRLA).</w:t>
      </w:r>
    </w:p>
    <w:p w14:paraId="54093D94" w14:textId="77777777" w:rsidR="00765FF6" w:rsidRDefault="00765FF6" w:rsidP="00765FF6">
      <w:pPr>
        <w:pStyle w:val="NormalWeb"/>
        <w:numPr>
          <w:ilvl w:val="0"/>
          <w:numId w:val="3"/>
        </w:numPr>
      </w:pPr>
      <w:r>
        <w:rPr>
          <w:b/>
          <w:bCs/>
        </w:rPr>
        <w:t>The Global South Context</w:t>
      </w:r>
      <w:r>
        <w:t>: Highlighting the $15.9 billion GDP loss due to lead poisoning and previous failed transition attempts.</w:t>
      </w:r>
    </w:p>
    <w:p w14:paraId="018C2EBC" w14:textId="77777777" w:rsidR="00765FF6" w:rsidRDefault="00765FF6" w:rsidP="00765FF6">
      <w:pPr>
        <w:pStyle w:val="NormalWeb"/>
        <w:numPr>
          <w:ilvl w:val="0"/>
          <w:numId w:val="3"/>
        </w:numPr>
      </w:pPr>
      <w:r>
        <w:rPr>
          <w:b/>
          <w:bCs/>
        </w:rPr>
        <w:t>Relevant Articles</w:t>
      </w:r>
      <w:r>
        <w:t xml:space="preserve">: Citing the Q1 papers we discussed (e.g., </w:t>
      </w:r>
      <w:r>
        <w:rPr>
          <w:i/>
          <w:iCs/>
        </w:rPr>
        <w:t>Journal of Cleaner Production</w:t>
      </w:r>
      <w:r>
        <w:t xml:space="preserve">, </w:t>
      </w:r>
      <w:r>
        <w:rPr>
          <w:i/>
          <w:iCs/>
        </w:rPr>
        <w:t>Applied Energy</w:t>
      </w:r>
      <w:r>
        <w:t>) to ground your research in existing high-level discourse.</w:t>
      </w:r>
    </w:p>
    <w:p w14:paraId="79E99F36" w14:textId="77777777" w:rsidR="00765FF6" w:rsidRDefault="00765FF6" w:rsidP="00765FF6">
      <w:pPr>
        <w:pStyle w:val="Heading3"/>
      </w:pPr>
      <w:r>
        <w:t>4. Methodology (The "Engineering" Core)</w:t>
      </w:r>
    </w:p>
    <w:p w14:paraId="128DCE50" w14:textId="77777777" w:rsidR="00765FF6" w:rsidRDefault="00765FF6" w:rsidP="00765FF6">
      <w:pPr>
        <w:pStyle w:val="NormalWeb"/>
        <w:numPr>
          <w:ilvl w:val="0"/>
          <w:numId w:val="4"/>
        </w:numPr>
      </w:pPr>
      <w:r>
        <w:rPr>
          <w:b/>
          <w:bCs/>
        </w:rPr>
        <w:t>Technical Modeling</w:t>
      </w:r>
      <w:r>
        <w:t xml:space="preserve">: Thermal degradation analysis at </w:t>
      </w:r>
      <w:r>
        <w:rPr>
          <w:rStyle w:val="math-inline"/>
        </w:rPr>
        <w:t>$30\text{--}40^\circ\text{C}$</w:t>
      </w:r>
      <w:r>
        <w:t>.</w:t>
      </w:r>
    </w:p>
    <w:p w14:paraId="65307D18" w14:textId="77777777" w:rsidR="00765FF6" w:rsidRDefault="00765FF6" w:rsidP="00765FF6">
      <w:pPr>
        <w:pStyle w:val="NormalWeb"/>
        <w:numPr>
          <w:ilvl w:val="0"/>
          <w:numId w:val="4"/>
        </w:numPr>
      </w:pPr>
      <w:r>
        <w:rPr>
          <w:b/>
          <w:bCs/>
        </w:rPr>
        <w:t>Techno-Economic Framework</w:t>
      </w:r>
      <w:r>
        <w:t>: Defining the Total Cost of Ownership (TCO) formula, including the "Scrap Value" variable.</w:t>
      </w:r>
    </w:p>
    <w:p w14:paraId="39734923" w14:textId="723C0D61" w:rsidR="00D14E7A" w:rsidRPr="00410F00" w:rsidRDefault="00765FF6" w:rsidP="00D14E7A">
      <w:pPr>
        <w:pStyle w:val="NormalWeb"/>
        <w:numPr>
          <w:ilvl w:val="0"/>
          <w:numId w:val="4"/>
        </w:numPr>
        <w:rPr>
          <w:highlight w:val="yellow"/>
        </w:rPr>
      </w:pPr>
      <w:r w:rsidRPr="00410F00">
        <w:rPr>
          <w:b/>
          <w:bCs/>
          <w:highlight w:val="yellow"/>
        </w:rPr>
        <w:t>Data Collection</w:t>
      </w:r>
      <w:r w:rsidRPr="00410F00">
        <w:rPr>
          <w:highlight w:val="yellow"/>
        </w:rPr>
        <w:t xml:space="preserve">: Surveying </w:t>
      </w:r>
      <w:r w:rsidRPr="00410F00">
        <w:rPr>
          <w:rStyle w:val="math-inline"/>
          <w:highlight w:val="yellow"/>
        </w:rPr>
        <w:t>$50\text{--}100$</w:t>
      </w:r>
      <w:r w:rsidRPr="00410F00">
        <w:rPr>
          <w:highlight w:val="yellow"/>
        </w:rPr>
        <w:t xml:space="preserve"> vehicle operators and collecting market data from local manufacturers.</w:t>
      </w:r>
    </w:p>
    <w:p w14:paraId="16C9A294" w14:textId="77777777" w:rsidR="00D14E7A" w:rsidRPr="00410F00" w:rsidRDefault="00D14E7A" w:rsidP="00D14E7A">
      <w:pPr>
        <w:pStyle w:val="NormalWeb"/>
        <w:numPr>
          <w:ilvl w:val="1"/>
          <w:numId w:val="4"/>
        </w:numPr>
        <w:rPr>
          <w:highlight w:val="yellow"/>
        </w:rPr>
      </w:pPr>
      <w:r w:rsidRPr="00410F00">
        <w:rPr>
          <w:highlight w:val="yellow"/>
        </w:rPr>
        <w:t>Design a structured questionnaire (see Section 5 for survey design)</w:t>
      </w:r>
    </w:p>
    <w:p w14:paraId="42D2CE0A" w14:textId="77777777" w:rsidR="00D14E7A" w:rsidRPr="00410F00" w:rsidRDefault="00D14E7A" w:rsidP="00D14E7A">
      <w:pPr>
        <w:pStyle w:val="NormalWeb"/>
        <w:numPr>
          <w:ilvl w:val="1"/>
          <w:numId w:val="4"/>
        </w:numPr>
        <w:rPr>
          <w:highlight w:val="yellow"/>
        </w:rPr>
      </w:pPr>
      <w:r w:rsidRPr="00410F00">
        <w:rPr>
          <w:highlight w:val="yellow"/>
        </w:rPr>
        <w:t>Locations: Khulna, Dhaka, Rajshahi, Sylhet (diverse climate zones)</w:t>
      </w:r>
    </w:p>
    <w:p w14:paraId="2C373CF6" w14:textId="77777777" w:rsidR="00D14E7A" w:rsidRPr="00410F00" w:rsidRDefault="00D14E7A" w:rsidP="00D14E7A">
      <w:pPr>
        <w:pStyle w:val="NormalWeb"/>
        <w:numPr>
          <w:ilvl w:val="1"/>
          <w:numId w:val="4"/>
        </w:numPr>
        <w:rPr>
          <w:highlight w:val="yellow"/>
        </w:rPr>
      </w:pPr>
      <w:r w:rsidRPr="00410F00">
        <w:rPr>
          <w:highlight w:val="yellow"/>
        </w:rPr>
        <w:t>Collect battery failure records, replacement rates, cost data</w:t>
      </w:r>
    </w:p>
    <w:p w14:paraId="5E2A6F59" w14:textId="77777777" w:rsidR="00D14E7A" w:rsidRPr="00410F00" w:rsidRDefault="00D14E7A" w:rsidP="00D14E7A">
      <w:pPr>
        <w:pStyle w:val="NormalWeb"/>
        <w:numPr>
          <w:ilvl w:val="1"/>
          <w:numId w:val="4"/>
        </w:numPr>
        <w:rPr>
          <w:highlight w:val="yellow"/>
        </w:rPr>
      </w:pPr>
      <w:r w:rsidRPr="00410F00">
        <w:rPr>
          <w:highlight w:val="yellow"/>
        </w:rPr>
        <w:t>Interview 5–10 local battery importers/manufacturers for market data</w:t>
      </w:r>
    </w:p>
    <w:p w14:paraId="032BB536" w14:textId="1CFE9C33" w:rsidR="00D14E7A" w:rsidRPr="00410F00" w:rsidRDefault="00D14E7A" w:rsidP="00D14E7A">
      <w:pPr>
        <w:pStyle w:val="NormalWeb"/>
        <w:numPr>
          <w:ilvl w:val="1"/>
          <w:numId w:val="4"/>
        </w:numPr>
        <w:rPr>
          <w:highlight w:val="yellow"/>
        </w:rPr>
      </w:pPr>
      <w:r w:rsidRPr="00410F00">
        <w:rPr>
          <w:highlight w:val="yellow"/>
        </w:rPr>
        <w:t>Photograph battery disposal sites (with consent) for environmental section</w:t>
      </w:r>
    </w:p>
    <w:p w14:paraId="0571C79E" w14:textId="77777777" w:rsidR="00D14E7A" w:rsidRPr="00410F00" w:rsidRDefault="00D14E7A" w:rsidP="00D14E7A">
      <w:pPr>
        <w:pStyle w:val="NormalWeb"/>
        <w:numPr>
          <w:ilvl w:val="0"/>
          <w:numId w:val="4"/>
        </w:numPr>
        <w:rPr>
          <w:highlight w:val="yellow"/>
        </w:rPr>
      </w:pPr>
      <w:r w:rsidRPr="00410F00">
        <w:rPr>
          <w:highlight w:val="yellow"/>
        </w:rPr>
        <w:t>Calculate CO2 emissions and lead pollution estimates from survey data</w:t>
      </w:r>
    </w:p>
    <w:p w14:paraId="2A35C048" w14:textId="434D85E6" w:rsidR="00410F00" w:rsidRDefault="00D14E7A" w:rsidP="00410F00">
      <w:pPr>
        <w:pStyle w:val="NormalWeb"/>
        <w:numPr>
          <w:ilvl w:val="0"/>
          <w:numId w:val="4"/>
        </w:numPr>
        <w:rPr>
          <w:highlight w:val="yellow"/>
        </w:rPr>
      </w:pPr>
      <w:r w:rsidRPr="00410F00">
        <w:rPr>
          <w:highlight w:val="yellow"/>
        </w:rPr>
        <w:lastRenderedPageBreak/>
        <w:t>Create degradation curves, cost comparison charts, bar graphs</w:t>
      </w:r>
    </w:p>
    <w:p w14:paraId="47584644" w14:textId="6507CA53" w:rsidR="00410F00" w:rsidRPr="00410F00" w:rsidRDefault="00410F00" w:rsidP="00410F00">
      <w:pPr>
        <w:pStyle w:val="NormalWeb"/>
        <w:numPr>
          <w:ilvl w:val="0"/>
          <w:numId w:val="4"/>
        </w:numPr>
        <w:rPr>
          <w:highlight w:val="yellow"/>
        </w:rPr>
      </w:pPr>
      <w:r w:rsidRPr="00410F00">
        <w:rPr>
          <w:highlight w:val="yellow"/>
        </w:rPr>
        <w:t>Start with industry reports: IDLC's "Battery Industry in Bangladesh" (2024) on market size/growth; TBS interview with Rahimafrooz exec on barriers; Mordor Intelligence on lead-acid (USD 1.1B by 2031) and lithium markets</w:t>
      </w:r>
    </w:p>
    <w:p w14:paraId="688FF300" w14:textId="77777777" w:rsidR="00765FF6" w:rsidRDefault="00765FF6" w:rsidP="00765FF6">
      <w:pPr>
        <w:pStyle w:val="Heading3"/>
      </w:pPr>
      <w:r>
        <w:t>5. Results and Discussion</w:t>
      </w:r>
    </w:p>
    <w:p w14:paraId="756A32BE" w14:textId="77777777" w:rsidR="00765FF6" w:rsidRDefault="00765FF6" w:rsidP="00765FF6">
      <w:pPr>
        <w:pStyle w:val="NormalWeb"/>
        <w:numPr>
          <w:ilvl w:val="0"/>
          <w:numId w:val="5"/>
        </w:numPr>
      </w:pPr>
      <w:r>
        <w:rPr>
          <w:b/>
          <w:bCs/>
        </w:rPr>
        <w:t>Comparative Analysis</w:t>
      </w:r>
      <w:r>
        <w:t>: Cycle life vs. Cost over a 5-year period.</w:t>
      </w:r>
    </w:p>
    <w:p w14:paraId="0629AADF" w14:textId="77777777" w:rsidR="00765FF6" w:rsidRDefault="00765FF6" w:rsidP="00765FF6">
      <w:pPr>
        <w:pStyle w:val="NormalWeb"/>
        <w:numPr>
          <w:ilvl w:val="0"/>
          <w:numId w:val="5"/>
        </w:numPr>
      </w:pPr>
      <w:r>
        <w:rPr>
          <w:b/>
          <w:bCs/>
        </w:rPr>
        <w:t>Grid Impact</w:t>
      </w:r>
      <w:r>
        <w:t>: How shifting to lithium (with better efficiency) reduces peak load stress.</w:t>
      </w:r>
    </w:p>
    <w:p w14:paraId="078CECA1" w14:textId="77777777" w:rsidR="00765FF6" w:rsidRDefault="00765FF6" w:rsidP="00765FF6">
      <w:pPr>
        <w:pStyle w:val="NormalWeb"/>
        <w:numPr>
          <w:ilvl w:val="0"/>
          <w:numId w:val="5"/>
        </w:numPr>
      </w:pPr>
      <w:r>
        <w:rPr>
          <w:b/>
          <w:bCs/>
        </w:rPr>
        <w:t>The Policy Lever</w:t>
      </w:r>
      <w:r>
        <w:t>: Modeling the impact of the June 2025 custom duty reduction to 1%.</w:t>
      </w:r>
    </w:p>
    <w:p w14:paraId="445E9822" w14:textId="77777777" w:rsidR="00765FF6" w:rsidRDefault="00765FF6" w:rsidP="00765FF6">
      <w:pPr>
        <w:pStyle w:val="Heading3"/>
      </w:pPr>
      <w:r>
        <w:t>6. Recommendations &amp; Policy Roadmap</w:t>
      </w:r>
    </w:p>
    <w:p w14:paraId="7BFF1A4D" w14:textId="77777777" w:rsidR="00765FF6" w:rsidRDefault="00765FF6" w:rsidP="00765FF6">
      <w:pPr>
        <w:pStyle w:val="NormalWeb"/>
        <w:numPr>
          <w:ilvl w:val="0"/>
          <w:numId w:val="6"/>
        </w:numPr>
      </w:pPr>
      <w:r>
        <w:rPr>
          <w:b/>
          <w:bCs/>
        </w:rPr>
        <w:t>Scrap Subsidies</w:t>
      </w:r>
      <w:r>
        <w:t>: Proposing a "Lithium Rebate" for turning in old lead-acid batteries.</w:t>
      </w:r>
    </w:p>
    <w:p w14:paraId="04A106E5" w14:textId="77777777" w:rsidR="00765FF6" w:rsidRDefault="00765FF6" w:rsidP="00765FF6">
      <w:pPr>
        <w:pStyle w:val="NormalWeb"/>
        <w:numPr>
          <w:ilvl w:val="0"/>
          <w:numId w:val="6"/>
        </w:numPr>
      </w:pPr>
      <w:r>
        <w:rPr>
          <w:b/>
          <w:bCs/>
        </w:rPr>
        <w:t>Infrastructure</w:t>
      </w:r>
      <w:r>
        <w:t>: Conceptual model for solar-powered charging stations and battery swapping.</w:t>
      </w:r>
    </w:p>
    <w:p w14:paraId="309229AD" w14:textId="77777777" w:rsidR="00765FF6" w:rsidRDefault="00765FF6" w:rsidP="00765FF6">
      <w:pPr>
        <w:pStyle w:val="Heading3"/>
      </w:pPr>
      <w:r>
        <w:t>7. Conclusion</w:t>
      </w:r>
    </w:p>
    <w:p w14:paraId="7255AB4F" w14:textId="77777777" w:rsidR="00765FF6" w:rsidRDefault="00765FF6" w:rsidP="00765FF6">
      <w:pPr>
        <w:pStyle w:val="NormalWeb"/>
        <w:numPr>
          <w:ilvl w:val="0"/>
          <w:numId w:val="7"/>
        </w:numPr>
      </w:pPr>
      <w:r>
        <w:t>Summary of findings and final "Call to Action" for sustainable transition.</w:t>
      </w:r>
    </w:p>
    <w:p w14:paraId="5B99F141" w14:textId="77777777" w:rsidR="000F1718" w:rsidRDefault="000F1718" w:rsidP="000F1718">
      <w:pPr>
        <w:pStyle w:val="NormalWeb"/>
      </w:pPr>
    </w:p>
    <w:p w14:paraId="3BC938AF" w14:textId="77777777" w:rsidR="000F1718" w:rsidRDefault="000F1718" w:rsidP="000F1718">
      <w:pPr>
        <w:pStyle w:val="NormalWeb"/>
      </w:pPr>
    </w:p>
    <w:p w14:paraId="319064E5" w14:textId="77777777" w:rsidR="000F1718" w:rsidRDefault="000F1718" w:rsidP="000F1718">
      <w:pPr>
        <w:pStyle w:val="NormalWeb"/>
      </w:pPr>
    </w:p>
    <w:p w14:paraId="0B7B7E6F" w14:textId="77777777" w:rsidR="000F1718" w:rsidRDefault="000F1718" w:rsidP="000F1718">
      <w:pPr>
        <w:pStyle w:val="NormalWeb"/>
      </w:pPr>
    </w:p>
    <w:p w14:paraId="1BAE289E" w14:textId="77777777" w:rsidR="000F1718" w:rsidRDefault="000F1718" w:rsidP="000F1718">
      <w:pPr>
        <w:pStyle w:val="NormalWeb"/>
      </w:pPr>
    </w:p>
    <w:p w14:paraId="0358E309" w14:textId="77777777" w:rsidR="000F1718" w:rsidRDefault="000F1718" w:rsidP="000F1718">
      <w:pPr>
        <w:pStyle w:val="NormalWeb"/>
      </w:pPr>
    </w:p>
    <w:p w14:paraId="040A7523" w14:textId="77777777" w:rsidR="000F1718" w:rsidRDefault="000F1718" w:rsidP="000F1718">
      <w:pPr>
        <w:pStyle w:val="NormalWeb"/>
      </w:pPr>
    </w:p>
    <w:p w14:paraId="203C8148" w14:textId="77777777" w:rsidR="000F1718" w:rsidRDefault="000F1718" w:rsidP="000F1718">
      <w:pPr>
        <w:pStyle w:val="NormalWeb"/>
      </w:pPr>
    </w:p>
    <w:p w14:paraId="4C385829" w14:textId="77777777" w:rsidR="000F1718" w:rsidRDefault="000F1718" w:rsidP="000F1718">
      <w:pPr>
        <w:pStyle w:val="NormalWeb"/>
      </w:pPr>
    </w:p>
    <w:p w14:paraId="289AEECB" w14:textId="77777777" w:rsidR="000F1718" w:rsidRDefault="000F1718" w:rsidP="000F1718">
      <w:pPr>
        <w:pStyle w:val="NormalWeb"/>
      </w:pPr>
    </w:p>
    <w:p w14:paraId="5AC7A9AD" w14:textId="77777777" w:rsidR="000F1718" w:rsidRDefault="000F1718" w:rsidP="000F1718">
      <w:pPr>
        <w:pStyle w:val="NormalWeb"/>
      </w:pPr>
    </w:p>
    <w:p w14:paraId="38C53A13" w14:textId="77777777" w:rsidR="000F1718" w:rsidRDefault="000F1718" w:rsidP="000F1718">
      <w:pPr>
        <w:pStyle w:val="NormalWeb"/>
      </w:pPr>
    </w:p>
    <w:p w14:paraId="0151B7C8" w14:textId="77777777" w:rsidR="000F1718" w:rsidRDefault="000F1718" w:rsidP="000F1718">
      <w:pPr>
        <w:pStyle w:val="NormalWeb"/>
      </w:pPr>
    </w:p>
    <w:p w14:paraId="37043512" w14:textId="77777777" w:rsidR="000F1718" w:rsidRDefault="000F1718" w:rsidP="000F1718">
      <w:pPr>
        <w:pStyle w:val="NormalWeb"/>
      </w:pPr>
    </w:p>
    <w:p w14:paraId="3774BCF9" w14:textId="77777777" w:rsidR="000F1718" w:rsidRDefault="000F1718" w:rsidP="000F1718">
      <w:pPr>
        <w:pStyle w:val="NormalWeb"/>
      </w:pPr>
    </w:p>
    <w:p w14:paraId="14825BB3" w14:textId="77777777" w:rsidR="000F1718" w:rsidRDefault="000F1718" w:rsidP="000F1718">
      <w:pPr>
        <w:pStyle w:val="NormalWeb"/>
      </w:pPr>
    </w:p>
    <w:p w14:paraId="6804A131" w14:textId="77777777" w:rsidR="000F1718" w:rsidRDefault="000F1718" w:rsidP="000F1718">
      <w:pPr>
        <w:pStyle w:val="NormalWeb"/>
      </w:pPr>
    </w:p>
    <w:p w14:paraId="14A8B35D" w14:textId="77777777" w:rsidR="000F1718" w:rsidRDefault="000F1718" w:rsidP="000F1718">
      <w:pPr>
        <w:pStyle w:val="NormalWeb"/>
      </w:pPr>
    </w:p>
    <w:p w14:paraId="26F5B31B" w14:textId="77777777" w:rsidR="000F1718" w:rsidRDefault="000F1718" w:rsidP="000F1718">
      <w:pPr>
        <w:pStyle w:val="NormalWeb"/>
      </w:pPr>
    </w:p>
    <w:p w14:paraId="3AE4CEC0" w14:textId="77777777" w:rsidR="000F1718" w:rsidRDefault="000F1718" w:rsidP="000F1718">
      <w:pPr>
        <w:pStyle w:val="NormalWeb"/>
      </w:pPr>
    </w:p>
    <w:p w14:paraId="76DC8193" w14:textId="77777777" w:rsidR="000F1718" w:rsidRDefault="000F1718" w:rsidP="000F1718">
      <w:pPr>
        <w:pStyle w:val="NormalWeb"/>
      </w:pPr>
    </w:p>
    <w:p w14:paraId="0463DED7" w14:textId="77777777" w:rsidR="000F1718" w:rsidRDefault="000F1718" w:rsidP="000F1718">
      <w:pPr>
        <w:pStyle w:val="NormalWeb"/>
      </w:pPr>
    </w:p>
    <w:p w14:paraId="06688A18" w14:textId="77777777" w:rsidR="000F1718" w:rsidRDefault="000F1718" w:rsidP="000F1718">
      <w:pPr>
        <w:pStyle w:val="NormalWeb"/>
      </w:pPr>
    </w:p>
    <w:p w14:paraId="73865FBB" w14:textId="77777777" w:rsidR="000F1718" w:rsidRDefault="000F1718" w:rsidP="000F1718">
      <w:pPr>
        <w:pStyle w:val="Heading3"/>
      </w:pPr>
      <w:r>
        <w:t>1. Figure: The Socio-Technical "Lead-Acid Trap" Feedback Loop</w:t>
      </w:r>
    </w:p>
    <w:p w14:paraId="05137ECD" w14:textId="77777777" w:rsidR="000F1718" w:rsidRDefault="000F1718" w:rsidP="000F1718">
      <w:pPr>
        <w:pStyle w:val="NormalWeb"/>
      </w:pPr>
      <w:r>
        <w:t>This figure explains the central thesis of the paper—why the transition is stuck despite better technology.</w:t>
      </w:r>
    </w:p>
    <w:p w14:paraId="57F4274F" w14:textId="77777777" w:rsidR="000F1718" w:rsidRDefault="000F1718" w:rsidP="000F1718">
      <w:pPr>
        <w:pStyle w:val="NormalWeb"/>
        <w:numPr>
          <w:ilvl w:val="0"/>
          <w:numId w:val="13"/>
        </w:numPr>
      </w:pPr>
      <w:r>
        <w:rPr>
          <w:b/>
          <w:bCs/>
        </w:rPr>
        <w:t>Type:</w:t>
      </w:r>
      <w:r>
        <w:t xml:space="preserve"> Comparative Flowchart / System Diagram.</w:t>
      </w:r>
    </w:p>
    <w:p w14:paraId="4C94DB50" w14:textId="77777777" w:rsidR="000F1718" w:rsidRDefault="000F1718" w:rsidP="000F1718">
      <w:pPr>
        <w:pStyle w:val="NormalWeb"/>
        <w:numPr>
          <w:ilvl w:val="0"/>
          <w:numId w:val="13"/>
        </w:numPr>
      </w:pPr>
      <w:r>
        <w:rPr>
          <w:b/>
          <w:bCs/>
        </w:rPr>
        <w:t>Visual Elements:</w:t>
      </w:r>
      <w:r>
        <w:t xml:space="preserve"> Two parallel circular flows.</w:t>
      </w:r>
    </w:p>
    <w:p w14:paraId="05AE6F32" w14:textId="77777777" w:rsidR="000F1718" w:rsidRDefault="000F1718" w:rsidP="000F1718">
      <w:pPr>
        <w:pStyle w:val="NormalWeb"/>
        <w:numPr>
          <w:ilvl w:val="1"/>
          <w:numId w:val="13"/>
        </w:numPr>
      </w:pPr>
      <w:r>
        <w:rPr>
          <w:b/>
          <w:bCs/>
        </w:rPr>
        <w:t>Loop A (Lead-Acid):</w:t>
      </w:r>
      <w:r>
        <w:t xml:space="preserve"> Shows a driver purchasing a battery -&gt; 6-month usage -&gt; </w:t>
      </w:r>
      <w:r>
        <w:rPr>
          <w:b/>
          <w:bCs/>
        </w:rPr>
        <w:t>High Scrap Value (40-50%)</w:t>
      </w:r>
      <w:r>
        <w:t xml:space="preserve"> -&gt; Cash used as down payment for the next battery.</w:t>
      </w:r>
    </w:p>
    <w:p w14:paraId="0FEC908F" w14:textId="77777777" w:rsidR="000F1718" w:rsidRDefault="000F1718" w:rsidP="000F1718">
      <w:pPr>
        <w:pStyle w:val="NormalWeb"/>
        <w:numPr>
          <w:ilvl w:val="1"/>
          <w:numId w:val="13"/>
        </w:numPr>
      </w:pPr>
      <w:r>
        <w:rPr>
          <w:b/>
          <w:bCs/>
        </w:rPr>
        <w:t>Loop B (Lithium-ion):</w:t>
      </w:r>
      <w:r>
        <w:t xml:space="preserve"> Shows a driver purchasing a battery -&gt; 3-year usage -&gt; </w:t>
      </w:r>
      <w:r>
        <w:rPr>
          <w:b/>
          <w:bCs/>
        </w:rPr>
        <w:t>Zero/Negligible Scrap Value</w:t>
      </w:r>
      <w:r>
        <w:t xml:space="preserve"> -&gt; No cash for the next high-cost purchase.</w:t>
      </w:r>
    </w:p>
    <w:p w14:paraId="017264B1" w14:textId="77777777" w:rsidR="000F1718" w:rsidRDefault="000F1718" w:rsidP="000F1718">
      <w:pPr>
        <w:pStyle w:val="NormalWeb"/>
        <w:numPr>
          <w:ilvl w:val="0"/>
          <w:numId w:val="13"/>
        </w:numPr>
      </w:pPr>
      <w:r>
        <w:rPr>
          <w:b/>
          <w:bCs/>
        </w:rPr>
        <w:t>Purpose:</w:t>
      </w:r>
      <w:r>
        <w:t xml:space="preserve"> To visually prove that "Scrap Value" is a functional financial mechanism for low-income operators.</w:t>
      </w:r>
    </w:p>
    <w:p w14:paraId="1C8D8A42" w14:textId="77777777" w:rsidR="000F1718" w:rsidRDefault="000F1718" w:rsidP="000F1718">
      <w:pPr>
        <w:pStyle w:val="Heading3"/>
      </w:pPr>
      <w:r>
        <w:t>2. Figure: Thermal Degradation Profile in Tropical Climates</w:t>
      </w:r>
    </w:p>
    <w:p w14:paraId="7CFDC30A" w14:textId="77777777" w:rsidR="000F1718" w:rsidRDefault="000F1718" w:rsidP="000F1718">
      <w:pPr>
        <w:pStyle w:val="NormalWeb"/>
        <w:numPr>
          <w:ilvl w:val="0"/>
          <w:numId w:val="14"/>
        </w:numPr>
      </w:pPr>
      <w:r>
        <w:rPr>
          <w:b/>
          <w:bCs/>
        </w:rPr>
        <w:t>Type:</w:t>
      </w:r>
      <w:r>
        <w:t xml:space="preserve"> Line Graph (X-axis: Cycles; Y-axis: Capacity Retention %).</w:t>
      </w:r>
    </w:p>
    <w:p w14:paraId="2E3063C3" w14:textId="77777777" w:rsidR="000F1718" w:rsidRDefault="000F1718" w:rsidP="000F1718">
      <w:pPr>
        <w:pStyle w:val="NormalWeb"/>
        <w:numPr>
          <w:ilvl w:val="0"/>
          <w:numId w:val="14"/>
        </w:numPr>
      </w:pPr>
      <w:r>
        <w:rPr>
          <w:b/>
          <w:bCs/>
        </w:rPr>
        <w:t>Visual Elements:</w:t>
      </w:r>
    </w:p>
    <w:p w14:paraId="116FFB25" w14:textId="77777777" w:rsidR="000F1718" w:rsidRDefault="000F1718" w:rsidP="000F1718">
      <w:pPr>
        <w:pStyle w:val="NormalWeb"/>
        <w:numPr>
          <w:ilvl w:val="1"/>
          <w:numId w:val="14"/>
        </w:numPr>
      </w:pPr>
      <w:r>
        <w:rPr>
          <w:b/>
          <w:bCs/>
        </w:rPr>
        <w:t>Curve 1:</w:t>
      </w:r>
      <w:r>
        <w:t xml:space="preserve"> Li-ion at 25°C (Standard Lab Condition).</w:t>
      </w:r>
    </w:p>
    <w:p w14:paraId="100282FA" w14:textId="77777777" w:rsidR="000F1718" w:rsidRDefault="000F1718" w:rsidP="000F1718">
      <w:pPr>
        <w:pStyle w:val="NormalWeb"/>
        <w:numPr>
          <w:ilvl w:val="1"/>
          <w:numId w:val="14"/>
        </w:numPr>
      </w:pPr>
      <w:r>
        <w:rPr>
          <w:b/>
          <w:bCs/>
        </w:rPr>
        <w:t>Curve 2:</w:t>
      </w:r>
      <w:r>
        <w:t xml:space="preserve"> Li-ion at 35-40°C (Bangladesh "Death Zone").</w:t>
      </w:r>
    </w:p>
    <w:p w14:paraId="4B675DB4" w14:textId="77777777" w:rsidR="000F1718" w:rsidRDefault="000F1718" w:rsidP="000F1718">
      <w:pPr>
        <w:pStyle w:val="NormalWeb"/>
        <w:numPr>
          <w:ilvl w:val="1"/>
          <w:numId w:val="14"/>
        </w:numPr>
      </w:pPr>
      <w:r>
        <w:rPr>
          <w:b/>
          <w:bCs/>
        </w:rPr>
        <w:t>Curve 3:</w:t>
      </w:r>
      <w:r>
        <w:t xml:space="preserve"> Lead-Acid at 35-40°C showing rapid failure after 150-250 cycles.</w:t>
      </w:r>
    </w:p>
    <w:p w14:paraId="578294A9" w14:textId="77777777" w:rsidR="000F1718" w:rsidRDefault="000F1718" w:rsidP="000F1718">
      <w:pPr>
        <w:pStyle w:val="NormalWeb"/>
        <w:numPr>
          <w:ilvl w:val="0"/>
          <w:numId w:val="14"/>
        </w:numPr>
      </w:pPr>
      <w:r>
        <w:rPr>
          <w:b/>
          <w:bCs/>
        </w:rPr>
        <w:t>Purpose:</w:t>
      </w:r>
      <w:r>
        <w:t xml:space="preserve"> To justify the need for </w:t>
      </w:r>
      <w:r>
        <w:rPr>
          <w:b/>
          <w:bCs/>
        </w:rPr>
        <w:t>Battery Management Systems (BMS)</w:t>
      </w:r>
      <w:r>
        <w:t xml:space="preserve"> optimized for tropical heat.</w:t>
      </w:r>
    </w:p>
    <w:p w14:paraId="478E022B" w14:textId="77777777" w:rsidR="000F1718" w:rsidRDefault="000F1718" w:rsidP="000F1718">
      <w:pPr>
        <w:pStyle w:val="Heading3"/>
      </w:pPr>
      <w:r>
        <w:t>3. Table: Techno-Economic Comparison Matrix</w:t>
      </w:r>
    </w:p>
    <w:p w14:paraId="2DF5FF3E" w14:textId="77777777" w:rsidR="000F1718" w:rsidRDefault="000F1718" w:rsidP="000F1718">
      <w:pPr>
        <w:pStyle w:val="NormalWeb"/>
      </w:pPr>
      <w:r>
        <w:t>This organizes the primary data for quick reference by reviewers.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3082"/>
        <w:gridCol w:w="2873"/>
      </w:tblGrid>
      <w:tr w:rsidR="000F1718" w14:paraId="75FB6A67" w14:textId="77777777" w:rsidTr="000F171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4DBC46" w14:textId="77777777" w:rsidR="000F1718" w:rsidRDefault="000F1718">
            <w:pPr>
              <w:spacing w:after="480"/>
            </w:pPr>
            <w:r>
              <w:rPr>
                <w:rStyle w:val="Strong"/>
              </w:rPr>
              <w:lastRenderedPageBreak/>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C9F99" w14:textId="77777777" w:rsidR="000F1718" w:rsidRDefault="000F1718">
            <w:pPr>
              <w:spacing w:after="480"/>
            </w:pPr>
            <w:r>
              <w:rPr>
                <w:rStyle w:val="Strong"/>
              </w:rPr>
              <w:t>Lead-Acid (The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38613" w14:textId="77777777" w:rsidR="000F1718" w:rsidRDefault="000F1718">
            <w:pPr>
              <w:spacing w:after="480"/>
            </w:pPr>
            <w:r>
              <w:rPr>
                <w:rStyle w:val="Strong"/>
              </w:rPr>
              <w:t>Lithium-Ion (The "Future")</w:t>
            </w:r>
          </w:p>
        </w:tc>
      </w:tr>
      <w:tr w:rsidR="000F1718" w14:paraId="228DAC4F" w14:textId="77777777" w:rsidTr="000F17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DFA03" w14:textId="77777777" w:rsidR="000F1718" w:rsidRDefault="000F1718">
            <w:pPr>
              <w:spacing w:after="480"/>
            </w:pPr>
            <w:r>
              <w:rPr>
                <w:b/>
                <w:bCs/>
              </w:rPr>
              <w:t>Upfront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D2407" w14:textId="77777777" w:rsidR="000F1718" w:rsidRDefault="000F1718">
            <w:pPr>
              <w:spacing w:after="480"/>
            </w:pPr>
            <w:r>
              <w:t>Low (approx. 60k - 80k BDT)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BD956" w14:textId="77777777" w:rsidR="000F1718" w:rsidRDefault="000F1718">
            <w:pPr>
              <w:spacing w:after="480"/>
            </w:pPr>
            <w:r>
              <w:t>High (approx. 150k - 200k BDT)</w:t>
            </w:r>
          </w:p>
        </w:tc>
      </w:tr>
      <w:tr w:rsidR="000F1718" w14:paraId="20B577FE" w14:textId="77777777" w:rsidTr="000F17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8140A" w14:textId="77777777" w:rsidR="000F1718" w:rsidRDefault="000F1718">
            <w:pPr>
              <w:spacing w:after="480"/>
            </w:pPr>
            <w:r>
              <w:rPr>
                <w:b/>
                <w:bCs/>
              </w:rPr>
              <w:t>Cycle Life (BD Climate)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58619" w14:textId="77777777" w:rsidR="000F1718" w:rsidRDefault="000F1718">
            <w:pPr>
              <w:spacing w:after="480"/>
            </w:pPr>
            <w:r>
              <w:t>4-6 months (150-250 cycles)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624FC" w14:textId="77777777" w:rsidR="000F1718" w:rsidRDefault="000F1718">
            <w:pPr>
              <w:spacing w:after="480"/>
            </w:pPr>
            <w:r>
              <w:t>3+ years (if BMS is optimized)</w:t>
            </w:r>
          </w:p>
        </w:tc>
      </w:tr>
      <w:tr w:rsidR="000F1718" w14:paraId="7E1B451E" w14:textId="77777777" w:rsidTr="000F17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917B3" w14:textId="77777777" w:rsidR="000F1718" w:rsidRDefault="000F1718">
            <w:pPr>
              <w:spacing w:after="480"/>
            </w:pPr>
            <w:r>
              <w:rPr>
                <w:b/>
                <w:bCs/>
              </w:rPr>
              <w:t>Scrap / Buy-back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F295B" w14:textId="77777777" w:rsidR="000F1718" w:rsidRDefault="000F1718">
            <w:pPr>
              <w:spacing w:after="480"/>
            </w:pPr>
            <w:r>
              <w:t>High (40-50%)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287A9" w14:textId="77777777" w:rsidR="000F1718" w:rsidRDefault="000F1718">
            <w:pPr>
              <w:spacing w:after="480"/>
            </w:pPr>
            <w:r>
              <w:t>Negligible / Zero</w:t>
            </w:r>
          </w:p>
        </w:tc>
      </w:tr>
      <w:tr w:rsidR="000F1718" w14:paraId="1E4DC2CE" w14:textId="77777777" w:rsidTr="000F17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79139" w14:textId="77777777" w:rsidR="000F1718" w:rsidRDefault="000F1718">
            <w:pPr>
              <w:spacing w:after="480"/>
            </w:pPr>
            <w:r>
              <w:rPr>
                <w:b/>
                <w:bCs/>
              </w:rPr>
              <w:t>Environmental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B2554" w14:textId="77777777" w:rsidR="000F1718" w:rsidRDefault="000F1718">
            <w:pPr>
              <w:spacing w:after="480"/>
            </w:pPr>
            <w:r>
              <w:t>Severe (Lead poisoning/GDP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3D776" w14:textId="77777777" w:rsidR="000F1718" w:rsidRDefault="000F1718">
            <w:pPr>
              <w:spacing w:after="480"/>
            </w:pPr>
            <w:r>
              <w:t>Minimal (if recycled properly)</w:t>
            </w:r>
          </w:p>
        </w:tc>
      </w:tr>
      <w:tr w:rsidR="000F1718" w14:paraId="290A8B02" w14:textId="77777777" w:rsidTr="000F17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712E8" w14:textId="77777777" w:rsidR="000F1718" w:rsidRDefault="000F1718">
            <w:pPr>
              <w:spacing w:after="480"/>
            </w:pPr>
            <w:r>
              <w:rPr>
                <w:b/>
                <w:bCs/>
              </w:rPr>
              <w:t>Charge 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D1F5A" w14:textId="77777777" w:rsidR="000F1718" w:rsidRDefault="000F1718">
            <w:pPr>
              <w:spacing w:after="480"/>
            </w:pPr>
            <w:r>
              <w:t>75-80%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8AE11" w14:textId="77777777" w:rsidR="000F1718" w:rsidRDefault="000F1718">
            <w:pPr>
              <w:spacing w:after="480"/>
            </w:pPr>
            <w:r>
              <w:t>95% +</w:t>
            </w:r>
          </w:p>
        </w:tc>
      </w:tr>
    </w:tbl>
    <w:p w14:paraId="1483947C" w14:textId="77777777" w:rsidR="000F1718" w:rsidRDefault="000F1718" w:rsidP="000F1718">
      <w:pPr>
        <w:pStyle w:val="Heading3"/>
      </w:pPr>
      <w:r>
        <w:t>4. Figure: Bangladesh-Specific E-mobility Ecosystem</w:t>
      </w:r>
    </w:p>
    <w:p w14:paraId="16E41AD6" w14:textId="77777777" w:rsidR="000F1718" w:rsidRDefault="000F1718" w:rsidP="000F1718">
      <w:pPr>
        <w:pStyle w:val="NormalWeb"/>
      </w:pPr>
      <w:r>
        <w:t>(Redrawn version of the conceptual diagram idea).</w:t>
      </w:r>
    </w:p>
    <w:p w14:paraId="47E649A6" w14:textId="77777777" w:rsidR="000F1718" w:rsidRDefault="000F1718" w:rsidP="000F1718">
      <w:pPr>
        <w:pStyle w:val="NormalWeb"/>
        <w:numPr>
          <w:ilvl w:val="0"/>
          <w:numId w:val="15"/>
        </w:numPr>
      </w:pPr>
      <w:r>
        <w:rPr>
          <w:b/>
          <w:bCs/>
        </w:rPr>
        <w:t>Type:</w:t>
      </w:r>
      <w:r>
        <w:t xml:space="preserve"> Architectural System Diagram.</w:t>
      </w:r>
    </w:p>
    <w:p w14:paraId="68A45133" w14:textId="77777777" w:rsidR="000F1718" w:rsidRDefault="000F1718" w:rsidP="000F1718">
      <w:pPr>
        <w:pStyle w:val="NormalWeb"/>
        <w:numPr>
          <w:ilvl w:val="0"/>
          <w:numId w:val="15"/>
        </w:numPr>
      </w:pPr>
      <w:r>
        <w:rPr>
          <w:b/>
          <w:bCs/>
        </w:rPr>
        <w:t>Visual Elements:</w:t>
      </w:r>
    </w:p>
    <w:p w14:paraId="02CC00F3" w14:textId="77777777" w:rsidR="000F1718" w:rsidRDefault="000F1718" w:rsidP="000F1718">
      <w:pPr>
        <w:pStyle w:val="NormalWeb"/>
        <w:numPr>
          <w:ilvl w:val="1"/>
          <w:numId w:val="15"/>
        </w:numPr>
      </w:pPr>
      <w:r>
        <w:rPr>
          <w:b/>
          <w:bCs/>
        </w:rPr>
        <w:t>Inputs:</w:t>
      </w:r>
      <w:r>
        <w:t xml:space="preserve"> Solar PV Arrays and Grid connection.</w:t>
      </w:r>
    </w:p>
    <w:p w14:paraId="674D2193" w14:textId="77777777" w:rsidR="000F1718" w:rsidRDefault="000F1718" w:rsidP="000F1718">
      <w:pPr>
        <w:pStyle w:val="NormalWeb"/>
        <w:numPr>
          <w:ilvl w:val="1"/>
          <w:numId w:val="15"/>
        </w:numPr>
      </w:pPr>
      <w:r>
        <w:rPr>
          <w:b/>
          <w:bCs/>
        </w:rPr>
        <w:t>Central Hub:</w:t>
      </w:r>
      <w:r>
        <w:t xml:space="preserve"> A "Smart Charging/Swapping Station" that reduces grid stress.</w:t>
      </w:r>
    </w:p>
    <w:p w14:paraId="150DE032" w14:textId="77777777" w:rsidR="000F1718" w:rsidRDefault="000F1718" w:rsidP="000F1718">
      <w:pPr>
        <w:pStyle w:val="NormalWeb"/>
        <w:numPr>
          <w:ilvl w:val="1"/>
          <w:numId w:val="15"/>
        </w:numPr>
      </w:pPr>
      <w:r>
        <w:rPr>
          <w:b/>
          <w:bCs/>
        </w:rPr>
        <w:t>Outputs:</w:t>
      </w:r>
      <w:r>
        <w:t xml:space="preserve"> Small EVs (Easy-bikes/Rickshaws).</w:t>
      </w:r>
    </w:p>
    <w:p w14:paraId="505E95D6" w14:textId="77777777" w:rsidR="000F1718" w:rsidRDefault="000F1718" w:rsidP="000F1718">
      <w:pPr>
        <w:pStyle w:val="NormalWeb"/>
        <w:numPr>
          <w:ilvl w:val="1"/>
          <w:numId w:val="15"/>
        </w:numPr>
      </w:pPr>
      <w:r>
        <w:rPr>
          <w:b/>
          <w:bCs/>
        </w:rPr>
        <w:t>The Policy Layer:</w:t>
      </w:r>
      <w:r>
        <w:t xml:space="preserve"> Include boxes for the </w:t>
      </w:r>
      <w:r>
        <w:rPr>
          <w:b/>
          <w:bCs/>
        </w:rPr>
        <w:t>2025 Duty Reversal (1%)</w:t>
      </w:r>
      <w:r>
        <w:t xml:space="preserve"> and </w:t>
      </w:r>
      <w:r>
        <w:rPr>
          <w:b/>
          <w:bCs/>
        </w:rPr>
        <w:t>Scrap Subsidies</w:t>
      </w:r>
      <w:r>
        <w:t>.</w:t>
      </w:r>
    </w:p>
    <w:p w14:paraId="57A70B02" w14:textId="77777777" w:rsidR="000F1718" w:rsidRDefault="000F1718" w:rsidP="000F1718">
      <w:pPr>
        <w:pStyle w:val="NormalWeb"/>
        <w:numPr>
          <w:ilvl w:val="0"/>
          <w:numId w:val="15"/>
        </w:numPr>
      </w:pPr>
      <w:r>
        <w:rPr>
          <w:b/>
          <w:bCs/>
        </w:rPr>
        <w:t>Purpose:</w:t>
      </w:r>
      <w:r>
        <w:t xml:space="preserve"> To show a holistic engineering solution that includes energy, hardware, and policy.</w:t>
      </w:r>
    </w:p>
    <w:p w14:paraId="3E5E2484" w14:textId="77777777" w:rsidR="00765FF6" w:rsidRPr="005A1FCF" w:rsidRDefault="00765FF6" w:rsidP="000F1718">
      <w:pPr>
        <w:pStyle w:val="Heading3"/>
        <w:rPr>
          <w:sz w:val="24"/>
          <w:szCs w:val="24"/>
        </w:rPr>
      </w:pPr>
    </w:p>
    <w:sectPr w:rsidR="00765FF6" w:rsidRPr="005A1FC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zowan Kabir" w:date="2026-05-06T01:45:00Z" w:initials="RK">
    <w:p w14:paraId="7067E259" w14:textId="77777777" w:rsidR="00CB20BA" w:rsidRDefault="00CB20BA" w:rsidP="00CB20BA">
      <w:pPr>
        <w:pStyle w:val="CommentText"/>
      </w:pPr>
      <w:r>
        <w:rPr>
          <w:rStyle w:val="CommentReference"/>
        </w:rPr>
        <w:annotationRef/>
      </w:r>
      <w:r>
        <w:t xml:space="preserve">This name is comparatively good </w:t>
      </w:r>
    </w:p>
    <w:p w14:paraId="6D0834F7" w14:textId="5C6374A7" w:rsidR="00CB20BA" w:rsidRDefault="00CB20B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0834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1906A" w16cex:dateUtc="2026-05-05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0834F7" w16cid:durableId="608190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3F18"/>
    <w:multiLevelType w:val="multilevel"/>
    <w:tmpl w:val="5ED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4676"/>
    <w:multiLevelType w:val="multilevel"/>
    <w:tmpl w:val="9D9A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B4262"/>
    <w:multiLevelType w:val="multilevel"/>
    <w:tmpl w:val="D0CE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0C4E"/>
    <w:multiLevelType w:val="hybridMultilevel"/>
    <w:tmpl w:val="28F45DB4"/>
    <w:lvl w:ilvl="0" w:tplc="49CA32E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05136DE"/>
    <w:multiLevelType w:val="multilevel"/>
    <w:tmpl w:val="383A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B3515"/>
    <w:multiLevelType w:val="multilevel"/>
    <w:tmpl w:val="3B56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667FA"/>
    <w:multiLevelType w:val="hybridMultilevel"/>
    <w:tmpl w:val="BAEED52C"/>
    <w:lvl w:ilvl="0" w:tplc="D3F2AB64">
      <w:start w:val="1"/>
      <w:numFmt w:val="decimal"/>
      <w:lvlText w:val="%1."/>
      <w:lvlJc w:val="left"/>
      <w:pPr>
        <w:ind w:left="360" w:hanging="360"/>
      </w:pPr>
      <w:rPr>
        <w:rFonts w:hint="default"/>
        <w:b/>
        <w:sz w:val="27"/>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7900A62"/>
    <w:multiLevelType w:val="multilevel"/>
    <w:tmpl w:val="FC3A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549C3"/>
    <w:multiLevelType w:val="multilevel"/>
    <w:tmpl w:val="FAA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C58C1"/>
    <w:multiLevelType w:val="multilevel"/>
    <w:tmpl w:val="5E3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35752"/>
    <w:multiLevelType w:val="multilevel"/>
    <w:tmpl w:val="36F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A7FB7"/>
    <w:multiLevelType w:val="multilevel"/>
    <w:tmpl w:val="AD78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36788"/>
    <w:multiLevelType w:val="multilevel"/>
    <w:tmpl w:val="4D6E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866BD"/>
    <w:multiLevelType w:val="multilevel"/>
    <w:tmpl w:val="7A1C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C0C37"/>
    <w:multiLevelType w:val="multilevel"/>
    <w:tmpl w:val="919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320302">
    <w:abstractNumId w:val="14"/>
  </w:num>
  <w:num w:numId="2" w16cid:durableId="845244744">
    <w:abstractNumId w:val="3"/>
  </w:num>
  <w:num w:numId="3" w16cid:durableId="39599211">
    <w:abstractNumId w:val="9"/>
  </w:num>
  <w:num w:numId="4" w16cid:durableId="328750781">
    <w:abstractNumId w:val="13"/>
  </w:num>
  <w:num w:numId="5" w16cid:durableId="1237938192">
    <w:abstractNumId w:val="2"/>
  </w:num>
  <w:num w:numId="6" w16cid:durableId="499472312">
    <w:abstractNumId w:val="8"/>
  </w:num>
  <w:num w:numId="7" w16cid:durableId="1672635886">
    <w:abstractNumId w:val="0"/>
  </w:num>
  <w:num w:numId="8" w16cid:durableId="1478108468">
    <w:abstractNumId w:val="6"/>
  </w:num>
  <w:num w:numId="9" w16cid:durableId="535895050">
    <w:abstractNumId w:val="10"/>
  </w:num>
  <w:num w:numId="10" w16cid:durableId="145324280">
    <w:abstractNumId w:val="7"/>
  </w:num>
  <w:num w:numId="11" w16cid:durableId="1040595696">
    <w:abstractNumId w:val="12"/>
  </w:num>
  <w:num w:numId="12" w16cid:durableId="1654289447">
    <w:abstractNumId w:val="1"/>
  </w:num>
  <w:num w:numId="13" w16cid:durableId="653218756">
    <w:abstractNumId w:val="4"/>
  </w:num>
  <w:num w:numId="14" w16cid:durableId="239367841">
    <w:abstractNumId w:val="5"/>
  </w:num>
  <w:num w:numId="15" w16cid:durableId="164982184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owan Kabir">
    <w15:presenceInfo w15:providerId="Windows Live" w15:userId="caf2452a4d2a4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FCF"/>
    <w:rsid w:val="000F1718"/>
    <w:rsid w:val="001F27C5"/>
    <w:rsid w:val="00410F00"/>
    <w:rsid w:val="005A1FCF"/>
    <w:rsid w:val="005B05E3"/>
    <w:rsid w:val="00765FF6"/>
    <w:rsid w:val="00CB20BA"/>
    <w:rsid w:val="00D14E7A"/>
    <w:rsid w:val="00E36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289EA"/>
  <w15:chartTrackingRefBased/>
  <w15:docId w15:val="{B4B445C6-4DB8-4843-A057-E56074A8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65FF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1060">
    <w:name w:val="citation-1060"/>
    <w:basedOn w:val="DefaultParagraphFont"/>
    <w:rsid w:val="005A1FCF"/>
  </w:style>
  <w:style w:type="character" w:styleId="Hyperlink">
    <w:name w:val="Hyperlink"/>
    <w:basedOn w:val="DefaultParagraphFont"/>
    <w:uiPriority w:val="99"/>
    <w:semiHidden/>
    <w:unhideWhenUsed/>
    <w:rsid w:val="005A1FCF"/>
    <w:rPr>
      <w:color w:val="0000FF"/>
      <w:u w:val="single"/>
    </w:rPr>
  </w:style>
  <w:style w:type="character" w:customStyle="1" w:styleId="citation-1065">
    <w:name w:val="citation-1065"/>
    <w:basedOn w:val="DefaultParagraphFont"/>
    <w:rsid w:val="005A1FCF"/>
  </w:style>
  <w:style w:type="paragraph" w:styleId="NormalWeb">
    <w:name w:val="Normal (Web)"/>
    <w:basedOn w:val="Normal"/>
    <w:uiPriority w:val="99"/>
    <w:semiHidden/>
    <w:unhideWhenUsed/>
    <w:rsid w:val="005A1FC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65FF6"/>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765FF6"/>
    <w:pPr>
      <w:ind w:left="720"/>
      <w:contextualSpacing/>
    </w:pPr>
  </w:style>
  <w:style w:type="character" w:customStyle="1" w:styleId="math-inline">
    <w:name w:val="math-inline"/>
    <w:basedOn w:val="DefaultParagraphFont"/>
    <w:rsid w:val="00765FF6"/>
  </w:style>
  <w:style w:type="character" w:styleId="Strong">
    <w:name w:val="Strong"/>
    <w:basedOn w:val="DefaultParagraphFont"/>
    <w:uiPriority w:val="22"/>
    <w:qFormat/>
    <w:rsid w:val="000F1718"/>
    <w:rPr>
      <w:b/>
      <w:bCs/>
    </w:rPr>
  </w:style>
  <w:style w:type="character" w:styleId="CommentReference">
    <w:name w:val="annotation reference"/>
    <w:basedOn w:val="DefaultParagraphFont"/>
    <w:uiPriority w:val="99"/>
    <w:semiHidden/>
    <w:unhideWhenUsed/>
    <w:rsid w:val="00CB20BA"/>
    <w:rPr>
      <w:sz w:val="16"/>
      <w:szCs w:val="16"/>
    </w:rPr>
  </w:style>
  <w:style w:type="paragraph" w:styleId="CommentText">
    <w:name w:val="annotation text"/>
    <w:basedOn w:val="Normal"/>
    <w:link w:val="CommentTextChar"/>
    <w:uiPriority w:val="99"/>
    <w:semiHidden/>
    <w:unhideWhenUsed/>
    <w:rsid w:val="00CB20BA"/>
    <w:pPr>
      <w:spacing w:line="240" w:lineRule="auto"/>
    </w:pPr>
    <w:rPr>
      <w:sz w:val="20"/>
      <w:szCs w:val="20"/>
    </w:rPr>
  </w:style>
  <w:style w:type="character" w:customStyle="1" w:styleId="CommentTextChar">
    <w:name w:val="Comment Text Char"/>
    <w:basedOn w:val="DefaultParagraphFont"/>
    <w:link w:val="CommentText"/>
    <w:uiPriority w:val="99"/>
    <w:semiHidden/>
    <w:rsid w:val="00CB20BA"/>
    <w:rPr>
      <w:sz w:val="20"/>
      <w:szCs w:val="20"/>
    </w:rPr>
  </w:style>
  <w:style w:type="paragraph" w:styleId="CommentSubject">
    <w:name w:val="annotation subject"/>
    <w:basedOn w:val="CommentText"/>
    <w:next w:val="CommentText"/>
    <w:link w:val="CommentSubjectChar"/>
    <w:uiPriority w:val="99"/>
    <w:semiHidden/>
    <w:unhideWhenUsed/>
    <w:rsid w:val="00CB20BA"/>
    <w:rPr>
      <w:b/>
      <w:bCs/>
    </w:rPr>
  </w:style>
  <w:style w:type="character" w:customStyle="1" w:styleId="CommentSubjectChar">
    <w:name w:val="Comment Subject Char"/>
    <w:basedOn w:val="CommentTextChar"/>
    <w:link w:val="CommentSubject"/>
    <w:uiPriority w:val="99"/>
    <w:semiHidden/>
    <w:rsid w:val="00CB20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07212">
      <w:bodyDiv w:val="1"/>
      <w:marLeft w:val="0"/>
      <w:marRight w:val="0"/>
      <w:marTop w:val="0"/>
      <w:marBottom w:val="0"/>
      <w:divBdr>
        <w:top w:val="none" w:sz="0" w:space="0" w:color="auto"/>
        <w:left w:val="none" w:sz="0" w:space="0" w:color="auto"/>
        <w:bottom w:val="none" w:sz="0" w:space="0" w:color="auto"/>
        <w:right w:val="none" w:sz="0" w:space="0" w:color="auto"/>
      </w:divBdr>
    </w:div>
    <w:div w:id="364062826">
      <w:bodyDiv w:val="1"/>
      <w:marLeft w:val="0"/>
      <w:marRight w:val="0"/>
      <w:marTop w:val="0"/>
      <w:marBottom w:val="0"/>
      <w:divBdr>
        <w:top w:val="none" w:sz="0" w:space="0" w:color="auto"/>
        <w:left w:val="none" w:sz="0" w:space="0" w:color="auto"/>
        <w:bottom w:val="none" w:sz="0" w:space="0" w:color="auto"/>
        <w:right w:val="none" w:sz="0" w:space="0" w:color="auto"/>
      </w:divBdr>
    </w:div>
    <w:div w:id="369182628">
      <w:bodyDiv w:val="1"/>
      <w:marLeft w:val="0"/>
      <w:marRight w:val="0"/>
      <w:marTop w:val="0"/>
      <w:marBottom w:val="0"/>
      <w:divBdr>
        <w:top w:val="none" w:sz="0" w:space="0" w:color="auto"/>
        <w:left w:val="none" w:sz="0" w:space="0" w:color="auto"/>
        <w:bottom w:val="none" w:sz="0" w:space="0" w:color="auto"/>
        <w:right w:val="none" w:sz="0" w:space="0" w:color="auto"/>
      </w:divBdr>
    </w:div>
    <w:div w:id="560407770">
      <w:bodyDiv w:val="1"/>
      <w:marLeft w:val="0"/>
      <w:marRight w:val="0"/>
      <w:marTop w:val="0"/>
      <w:marBottom w:val="0"/>
      <w:divBdr>
        <w:top w:val="none" w:sz="0" w:space="0" w:color="auto"/>
        <w:left w:val="none" w:sz="0" w:space="0" w:color="auto"/>
        <w:bottom w:val="none" w:sz="0" w:space="0" w:color="auto"/>
        <w:right w:val="none" w:sz="0" w:space="0" w:color="auto"/>
      </w:divBdr>
    </w:div>
    <w:div w:id="662393072">
      <w:bodyDiv w:val="1"/>
      <w:marLeft w:val="0"/>
      <w:marRight w:val="0"/>
      <w:marTop w:val="0"/>
      <w:marBottom w:val="0"/>
      <w:divBdr>
        <w:top w:val="none" w:sz="0" w:space="0" w:color="auto"/>
        <w:left w:val="none" w:sz="0" w:space="0" w:color="auto"/>
        <w:bottom w:val="none" w:sz="0" w:space="0" w:color="auto"/>
        <w:right w:val="none" w:sz="0" w:space="0" w:color="auto"/>
      </w:divBdr>
    </w:div>
    <w:div w:id="730078200">
      <w:bodyDiv w:val="1"/>
      <w:marLeft w:val="0"/>
      <w:marRight w:val="0"/>
      <w:marTop w:val="0"/>
      <w:marBottom w:val="0"/>
      <w:divBdr>
        <w:top w:val="none" w:sz="0" w:space="0" w:color="auto"/>
        <w:left w:val="none" w:sz="0" w:space="0" w:color="auto"/>
        <w:bottom w:val="none" w:sz="0" w:space="0" w:color="auto"/>
        <w:right w:val="none" w:sz="0" w:space="0" w:color="auto"/>
      </w:divBdr>
    </w:div>
    <w:div w:id="1072654060">
      <w:bodyDiv w:val="1"/>
      <w:marLeft w:val="0"/>
      <w:marRight w:val="0"/>
      <w:marTop w:val="0"/>
      <w:marBottom w:val="0"/>
      <w:divBdr>
        <w:top w:val="none" w:sz="0" w:space="0" w:color="auto"/>
        <w:left w:val="none" w:sz="0" w:space="0" w:color="auto"/>
        <w:bottom w:val="none" w:sz="0" w:space="0" w:color="auto"/>
        <w:right w:val="none" w:sz="0" w:space="0" w:color="auto"/>
      </w:divBdr>
    </w:div>
    <w:div w:id="1318461045">
      <w:bodyDiv w:val="1"/>
      <w:marLeft w:val="0"/>
      <w:marRight w:val="0"/>
      <w:marTop w:val="0"/>
      <w:marBottom w:val="0"/>
      <w:divBdr>
        <w:top w:val="none" w:sz="0" w:space="0" w:color="auto"/>
        <w:left w:val="none" w:sz="0" w:space="0" w:color="auto"/>
        <w:bottom w:val="none" w:sz="0" w:space="0" w:color="auto"/>
        <w:right w:val="none" w:sz="0" w:space="0" w:color="auto"/>
      </w:divBdr>
    </w:div>
    <w:div w:id="1572737423">
      <w:bodyDiv w:val="1"/>
      <w:marLeft w:val="0"/>
      <w:marRight w:val="0"/>
      <w:marTop w:val="0"/>
      <w:marBottom w:val="0"/>
      <w:divBdr>
        <w:top w:val="none" w:sz="0" w:space="0" w:color="auto"/>
        <w:left w:val="none" w:sz="0" w:space="0" w:color="auto"/>
        <w:bottom w:val="none" w:sz="0" w:space="0" w:color="auto"/>
        <w:right w:val="none" w:sz="0" w:space="0" w:color="auto"/>
      </w:divBdr>
    </w:div>
    <w:div w:id="1908834094">
      <w:bodyDiv w:val="1"/>
      <w:marLeft w:val="0"/>
      <w:marRight w:val="0"/>
      <w:marTop w:val="0"/>
      <w:marBottom w:val="0"/>
      <w:divBdr>
        <w:top w:val="none" w:sz="0" w:space="0" w:color="auto"/>
        <w:left w:val="none" w:sz="0" w:space="0" w:color="auto"/>
        <w:bottom w:val="none" w:sz="0" w:space="0" w:color="auto"/>
        <w:right w:val="none" w:sz="0" w:space="0" w:color="auto"/>
      </w:divBdr>
    </w:div>
    <w:div w:id="192283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castlepartners.com/insights/2025/12/ev-adoption-bangladesh-market-dynamics-energy-readiness/"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https://doi.org/10.1039/D5YA00057B" TargetMode="Externa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61628/jsce.v7i1.2266" TargetMode="External"/><Relationship Id="rId11" Type="http://schemas.openxmlformats.org/officeDocument/2006/relationships/hyperlink" Target="https://www.unep.org/resources/assessment/assessment-informal-used-lead-acid-battery-recycling-and-associated-impacts" TargetMode="External"/><Relationship Id="rId5" Type="http://schemas.openxmlformats.org/officeDocument/2006/relationships/hyperlink" Target="https://doi.org/10.3390/su172310815" TargetMode="External"/><Relationship Id="rId15" Type="http://schemas.microsoft.com/office/2018/08/relationships/commentsExtensible" Target="commentsExtensible.xml"/><Relationship Id="rId10" Type="http://schemas.openxmlformats.org/officeDocument/2006/relationships/hyperlink" Target="https://www.researchgate.net/publication/400355176_Performance_Comparison_of_Ion_Lithium_Batteries_and_Lead_Acid_Batteries_in_Electrical_Energy_Storage_Systems" TargetMode="External"/><Relationship Id="rId4" Type="http://schemas.openxmlformats.org/officeDocument/2006/relationships/webSettings" Target="webSettings.xml"/><Relationship Id="rId9" Type="http://schemas.openxmlformats.org/officeDocument/2006/relationships/hyperlink" Target="https://doi.org/10.3390/su172310815"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Razowan Kabir</cp:lastModifiedBy>
  <cp:revision>4</cp:revision>
  <dcterms:created xsi:type="dcterms:W3CDTF">2026-05-05T11:39:00Z</dcterms:created>
  <dcterms:modified xsi:type="dcterms:W3CDTF">2026-05-05T19:58:00Z</dcterms:modified>
</cp:coreProperties>
</file>