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1F4E79"/>
          <w:sz w:val="18"/>
          <w:szCs w:val="18"/>
        </w:rPr>
        <w:t xml:space="preserve">RESEARCH PROPOSAL</w:t>
      </w:r>
    </w:p>
    <w:p>
      <w:pPr>
        <w:spacing w:after="60"/>
        <w:jc w:val="center"/>
      </w:pPr>
      <w:r>
        <w:rPr>
          <w:rFonts w:ascii="Calibri" w:cs="Calibri" w:eastAsia="Calibri" w:hAnsi="Calibri"/>
          <w:b/>
          <w:bCs/>
          <w:sz w:val="25"/>
          <w:szCs w:val="25"/>
        </w:rPr>
        <w:t xml:space="preserve">When Does Lithium Replace Lead-Acid? A Bangladesh-Specific Techno-Economic and Degradation-Based Comparison of Lead-Acid, NMC, and LFP Batteries for Electric Easy-Bikes</w:t>
      </w:r>
    </w:p>
    <w:tbl>
      <w:tblPr>
        <w:tblW w:type="dxa" w:w="6200"/>
        <w:jc w:val="center"/>
        <w:tblBorders>
          <w:top w:val="none"/>
          <w:left w:val="none"/>
          <w:bottom w:val="none"/>
          <w:right w:val="none"/>
          <w:insideH w:val="none"/>
          <w:insideV w:val="none"/>
        </w:tblBorders>
      </w:tblPr>
      <w:tblGrid>
        <w:gridCol w:w="100"/>
        <w:gridCol w:w="100"/>
      </w:tblGrid>
      <w:tr>
        <w:tc>
          <w:tcPr>
            <w:tcW w:type="dxa" w:w="2700"/>
            <w:tcMar>
              <w:top w:type="dxa" w:w="30"/>
              <w:left w:type="dxa" w:w="0"/>
              <w:bottom w:type="dxa" w:w="30"/>
              <w:right w:type="dxa" w:w="100"/>
            </w:tcMar>
          </w:tcPr>
          <w:p>
            <w:r>
              <w:rPr>
                <w:rFonts w:ascii="Calibri" w:cs="Calibri" w:eastAsia="Calibri" w:hAnsi="Calibri"/>
                <w:b/>
                <w:bCs/>
                <w:sz w:val="17"/>
                <w:szCs w:val="17"/>
              </w:rPr>
              <w:t xml:space="preserve">Submitted by:</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[Your Full Name]</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Student ID:</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[Your Student ID]</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Programme:</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[e.g., M.Sc. in Electrical and Electronic Engineering]</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Submitted to (Supervisor):</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[Supervisor's Name and Designation]</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Department:</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Department of Electrical and Electronic Engineering</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University:</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[Your University Name]</w:t>
            </w:r>
          </w:p>
        </w:tc>
      </w:tr>
      <w:tr>
        <w:tc>
          <w:tcPr>
            <w:tcW w:type="dxa" w:w="2700"/>
            <w:tcMar>
              <w:top w:type="dxa" w:w="30"/>
              <w:left w:type="dxa" w:w="0"/>
              <w:bottom w:type="dxa" w:w="30"/>
              <w:right w:type="dxa" w:w="100"/>
            </w:tcMar>
          </w:tcPr>
          <w:p>
            <w:r>
              <w:rPr>
                <w:rFonts w:ascii="Calibri" w:cs="Calibri" w:eastAsia="Calibri" w:hAnsi="Calibri"/>
                <w:b/>
                <w:bCs/>
                <w:sz w:val="17"/>
                <w:szCs w:val="17"/>
              </w:rPr>
              <w:t xml:space="preserve">Date of submission:</w:t>
            </w:r>
          </w:p>
        </w:tc>
        <w:tc>
          <w:tcPr>
            <w:tcW w:type="dxa" w:w="3500"/>
            <w:tcMar>
              <w:top w:type="dxa" w:w="30"/>
              <w:left w:type="dxa" w:w="0"/>
              <w:bottom w:type="dxa" w:w="30"/>
              <w:right w:type="dxa" w:w="0"/>
            </w:tcMar>
          </w:tcPr>
          <w:p>
            <w:r>
              <w:rPr>
                <w:rFonts w:ascii="Calibri" w:cs="Calibri" w:eastAsia="Calibri" w:hAnsi="Calibri"/>
                <w:i/>
                <w:iCs/>
                <w:color w:val="B02418"/>
                <w:sz w:val="17"/>
                <w:szCs w:val="17"/>
              </w:rPr>
              <w:t xml:space="preserve">[DD Month 2026]</w:t>
            </w:r>
          </w:p>
        </w:tc>
      </w:tr>
    </w:tbl>
    <w:p>
      <w:pPr>
        <w:spacing w:after="160" w:line="300"/>
        <w:jc w:val="center"/>
      </w:pPr>
      <w:r>
        <w:rPr>
          <w:rFonts w:ascii="Calibri" w:cs="Calibri" w:eastAsia="Calibri" w:hAnsi="Calibri"/>
          <w:b w:val="false"/>
          <w:bCs w:val="false"/>
          <w:i/>
          <w:iCs/>
          <w:sz w:val="22"/>
          <w:szCs w:val="22"/>
        </w:rPr>
        <w:t xml:space="preserve">Duration: 16 weeks (4 months)  |  Citation style: IEEE (numbered, order of first appearance)</w:t>
      </w:r>
    </w:p>
    <w:p>
      <w:pPr>
        <w:pStyle w:val="Heading1"/>
        <w:spacing w:after="140" w:before="300"/>
      </w:pPr>
      <w:r>
        <w:rPr>
          <w:rFonts w:ascii="Calibri" w:cs="Calibri" w:eastAsia="Calibri" w:hAnsi="Calibri"/>
          <w:b/>
          <w:bCs/>
          <w:color w:val="1F4E79"/>
          <w:sz w:val="28"/>
          <w:szCs w:val="28"/>
        </w:rPr>
        <w:t xml:space="preserve">Abstract</w:t>
      </w:r>
    </w:p>
    <w:p>
      <w:pPr>
        <w:spacing w:after="160" w:line="300"/>
        <w:jc w:val="both"/>
      </w:pPr>
      <w:r>
        <w:rPr>
          <w:rFonts w:ascii="Calibri" w:cs="Calibri" w:eastAsia="Calibri" w:hAnsi="Calibri"/>
          <w:b w:val="false"/>
          <w:bCs w:val="false"/>
          <w:i w:val="false"/>
          <w:iCs w:val="false"/>
          <w:sz w:val="22"/>
          <w:szCs w:val="22"/>
        </w:rPr>
        <w:t xml:space="preserve">Electric easy-bikes/e-rickshaws are a dominant informal-transport mode in Bangladesh and are almost universally lead-acid powered despite short battery life and low efficiency [5]–[8]. Lithium alternatives (NMC, LFP) are technically superior on several dimensions but cost more, and their suitability for Bangladesh's hot, high-utilization, informal operating context is unverified locally. This proposal develops a Bangladesh-specific techno-economic, degradation, energy, environmental, and policy framework comparing lead-acid, NMC, and LFP for easy-bikes, combining a 60–80-operator survey across two cities, secondary government data, a MATLAB energy–degradation–TCO model, break-even/sensitivity analysis, a simplified environmental comparison, and policy-scenario evaluation — scoped to be feasible in four months, with recommended (Monte Carlo, environmental, policy) modules clearly separated from the essential core. The study is designed to determine, not assume, which technology is preferable and under what conditions.</w:t>
      </w:r>
    </w:p>
    <w:p>
      <w:pPr>
        <w:pStyle w:val="Heading1"/>
        <w:spacing w:after="140" w:before="300"/>
      </w:pPr>
      <w:r>
        <w:rPr>
          <w:rFonts w:ascii="Calibri" w:cs="Calibri" w:eastAsia="Calibri" w:hAnsi="Calibri"/>
          <w:b/>
          <w:bCs/>
          <w:color w:val="1F4E79"/>
          <w:sz w:val="28"/>
          <w:szCs w:val="28"/>
        </w:rPr>
        <w:t xml:space="preserve">Background, Problem Statement and Research Gap</w:t>
      </w:r>
    </w:p>
    <w:p>
      <w:pPr>
        <w:spacing w:after="160" w:line="300"/>
        <w:jc w:val="both"/>
      </w:pPr>
      <w:r>
        <w:rPr>
          <w:rFonts w:ascii="Calibri" w:cs="Calibri" w:eastAsia="Calibri" w:hAnsi="Calibri"/>
          <w:b w:val="false"/>
          <w:bCs w:val="false"/>
          <w:i w:val="false"/>
          <w:iCs w:val="false"/>
          <w:sz w:val="22"/>
          <w:szCs w:val="22"/>
        </w:rPr>
        <w:t xml:space="preserve">Easy-bikes/e-rickshaws now number in the hundreds of thousands to over a million nationally [7],[16], almost all lead-acid powered for their low cost, established market, and resale/scrap value [2],[4], but suffering short life (often 6–12 months) from deep discharge, poor charging, and heat [2],[4],[8]. LFP and NMC lithium alternatives offer longer life and better thermal stability (LFP especially) at higher upfront cost [4],[17]; Bangladesh's electricity mix, tariff, informal ULAB recycling sector (&gt;80% of recycled lead, largely unregulated and a major lead-exposure source) [13], and evolving EV policy [14]–[16] make this a genuinely local question, not one answerable by importing foreign figures.</w:t>
      </w:r>
    </w:p>
    <w:p>
      <w:pPr>
        <w:spacing w:after="160" w:line="300"/>
        <w:jc w:val="both"/>
      </w:pPr>
      <w:r>
        <w:rPr>
          <w:rFonts w:ascii="Calibri" w:cs="Calibri" w:eastAsia="Calibri" w:hAnsi="Calibri"/>
          <w:b w:val="false"/>
          <w:bCs w:val="false"/>
          <w:i w:val="false"/>
          <w:iCs w:val="false"/>
          <w:sz w:val="22"/>
          <w:szCs w:val="22"/>
        </w:rPr>
        <w:t xml:space="preserve">Problem: simply asserting lithium is “better” is scientifically insufficient. The question is under what Bangladesh-specific operating, economic, environmental, and policy conditions each technology becomes preferable.</w:t>
      </w:r>
    </w:p>
    <w:p>
      <w:pPr>
        <w:spacing w:after="160" w:line="300"/>
        <w:jc w:val="both"/>
      </w:pPr>
      <w:r>
        <w:rPr>
          <w:rFonts w:ascii="Calibri" w:cs="Calibri" w:eastAsia="Calibri" w:hAnsi="Calibri"/>
          <w:b w:val="false"/>
          <w:bCs w:val="false"/>
          <w:i w:val="false"/>
          <w:iCs w:val="false"/>
          <w:sz w:val="22"/>
          <w:szCs w:val="22"/>
        </w:rPr>
        <w:t xml:space="preserve">Research gap (provisional — to be confirmed in Phase 1): no identified study combines (a) a three-chemistry comparison for Bangladesh easy-bikes using primary field data, (b) temperature-linked degradation feeding a discounted, replacement-aware TCO, (c) lead-acid scrap value and informal recycling explicitly modeled, and (d) results connected to quantified policy thresholds. Related work exists for Indian e-rickshaws [2],[4] and Indian two-wheelers [3], and for Bangladesh easy-bike operations pre-dating lithium adoption [5],[6], but not this combination.</w:t>
      </w:r>
    </w:p>
    <w:p>
      <w:pPr>
        <w:pStyle w:val="Heading2"/>
        <w:spacing w:after="80" w:before="180"/>
      </w:pPr>
      <w:r>
        <w:rPr>
          <w:rFonts w:ascii="Calibri" w:cs="Calibri" w:eastAsia="Calibri" w:hAnsi="Calibri"/>
          <w:b/>
          <w:bCs/>
          <w:color w:val="1F4E79"/>
          <w:sz w:val="23"/>
          <w:szCs w:val="23"/>
        </w:rPr>
        <w:t xml:space="preserve">Main research question</w:t>
      </w:r>
    </w:p>
    <w:p>
      <w:pPr>
        <w:spacing w:after="160" w:line="300"/>
        <w:jc w:val="both"/>
      </w:pPr>
      <w:r>
        <w:rPr>
          <w:rFonts w:ascii="Calibri" w:cs="Calibri" w:eastAsia="Calibri" w:hAnsi="Calibri"/>
          <w:b/>
          <w:bCs/>
          <w:i w:val="false"/>
          <w:iCs w:val="false"/>
          <w:sz w:val="22"/>
          <w:szCs w:val="22"/>
        </w:rPr>
        <w:t xml:space="preserve">Under Bangladesh's high-temperature, high-utilization easy-bike conditions, when do lead-acid, NMC, and LFP batteries become economically/environmentally preferable, and how do degradation, lifetime, electricity use, replacement frequency, scrap value, and policy affect this?</w:t>
      </w:r>
    </w:p>
    <w:p>
      <w:pPr>
        <w:pStyle w:val="Heading2"/>
        <w:spacing w:after="80" w:before="180"/>
      </w:pPr>
      <w:r>
        <w:rPr>
          <w:rFonts w:ascii="Calibri" w:cs="Calibri" w:eastAsia="Calibri" w:hAnsi="Calibri"/>
          <w:b/>
          <w:bCs/>
          <w:color w:val="1F4E79"/>
          <w:sz w:val="23"/>
          <w:szCs w:val="23"/>
        </w:rPr>
        <w:t xml:space="preserve">Sub-questions (RQ1–RQ11, condensed)</w:t>
      </w:r>
    </w:p>
    <w:p>
      <w:pPr>
        <w:pStyle w:val="ListParagraph"/>
        <w:numPr>
          <w:ilvl w:val="0"/>
          <w:numId w:val="2"/>
        </w:numPr>
        <w:spacing w:after="80" w:line="288"/>
      </w:pPr>
      <w:r>
        <w:rPr>
          <w:rFonts w:ascii="Calibri" w:cs="Calibri" w:eastAsia="Calibri" w:hAnsi="Calibri"/>
          <w:sz w:val="22"/>
          <w:szCs w:val="22"/>
        </w:rPr>
        <w:t xml:space="preserve">Technical/operational characteristics of the three chemistries in this application (RQ1); degradation vs. usage/DoD/temperature (RQ2); charging energy and annual electricity use (RQ3); TCO drivers — price, lifetime, replacement, electricity, maintenance, scrap (RQ4); lowest 5-/10-year TCO (RQ5); break-even price/utilization conditions (RQ6); influence of lead-acid scrap value (RQ7); temperature effects on relative performance (RQ8); robustness to parameter uncertainty (RQ9); environmental performance under Bangladesh grid/EOL scenarios (RQ10); policy measures to accelerate the preferable technology (RQ11).</w:t>
      </w:r>
    </w:p>
    <w:p>
      <w:pPr>
        <w:pStyle w:val="Heading1"/>
        <w:spacing w:after="140" w:before="300"/>
      </w:pPr>
      <w:r>
        <w:rPr>
          <w:rFonts w:ascii="Calibri" w:cs="Calibri" w:eastAsia="Calibri" w:hAnsi="Calibri"/>
          <w:b/>
          <w:bCs/>
          <w:color w:val="1F4E79"/>
          <w:sz w:val="28"/>
          <w:szCs w:val="28"/>
        </w:rPr>
        <w:t xml:space="preserve">Aim, Objectives, Hypotheses, Significance, Scope</w:t>
      </w:r>
    </w:p>
    <w:p>
      <w:pPr>
        <w:spacing w:after="160" w:line="300"/>
        <w:jc w:val="both"/>
      </w:pPr>
      <w:r>
        <w:rPr>
          <w:rFonts w:ascii="Calibri" w:cs="Calibri" w:eastAsia="Calibri" w:hAnsi="Calibri"/>
          <w:b w:val="false"/>
          <w:bCs w:val="false"/>
          <w:i w:val="false"/>
          <w:iCs w:val="false"/>
          <w:sz w:val="22"/>
          <w:szCs w:val="22"/>
        </w:rPr>
        <w:t xml:space="preserve">Aim: to build a Bangladesh-specific techno-economic/degradation/energy/environmental/policy framework comparing the three technologies and identify the conditions under which each is preferable.</w:t>
      </w:r>
    </w:p>
    <w:p>
      <w:pPr>
        <w:pStyle w:val="Heading2"/>
        <w:spacing w:after="80" w:before="180"/>
      </w:pPr>
      <w:r>
        <w:rPr>
          <w:rFonts w:ascii="Calibri" w:cs="Calibri" w:eastAsia="Calibri" w:hAnsi="Calibri"/>
          <w:b/>
          <w:bCs/>
          <w:color w:val="1F4E79"/>
          <w:sz w:val="23"/>
          <w:szCs w:val="23"/>
        </w:rPr>
        <w:t xml:space="preserve">Objectives</w:t>
      </w:r>
    </w:p>
    <w:p>
      <w:pPr>
        <w:pStyle w:val="ListParagraph"/>
        <w:numPr>
          <w:ilvl w:val="0"/>
          <w:numId w:val="2"/>
        </w:numPr>
        <w:spacing w:after="80" w:line="288"/>
      </w:pPr>
      <w:r>
        <w:rPr>
          <w:rFonts w:ascii="Calibri" w:cs="Calibri" w:eastAsia="Calibri" w:hAnsi="Calibri"/>
          <w:sz w:val="22"/>
          <w:szCs w:val="22"/>
        </w:rPr>
        <w:t xml:space="preserve">O1 Characterize the three technologies; O2 Collect Bangladesh operational/economic data (survey + secondary); O3 Quantify energy requirements; O4 Model temperature/usage-dependent degradation and lifetime; O5 Compute 5-/10-year discounted TCO incl. scrap value; O6 Break-even and sensitivity analysis; O7 Simplified environmental comparison; O8 Evaluate policy scenarios against results.</w:t>
      </w:r>
    </w:p>
    <w:p>
      <w:pPr>
        <w:pStyle w:val="Heading2"/>
        <w:spacing w:after="80" w:before="180"/>
      </w:pPr>
      <w:r>
        <w:rPr>
          <w:rFonts w:ascii="Calibri" w:cs="Calibri" w:eastAsia="Calibri" w:hAnsi="Calibri"/>
          <w:b/>
          <w:bCs/>
          <w:color w:val="1F4E79"/>
          <w:sz w:val="23"/>
          <w:szCs w:val="23"/>
        </w:rPr>
        <w:t xml:space="preserve">Hypotheses (tested, not assumed)</w:t>
      </w:r>
    </w:p>
    <w:p>
      <w:pPr>
        <w:pStyle w:val="ListParagraph"/>
        <w:numPr>
          <w:ilvl w:val="0"/>
          <w:numId w:val="2"/>
        </w:numPr>
        <w:spacing w:after="80" w:line="288"/>
      </w:pPr>
      <w:r>
        <w:rPr>
          <w:rFonts w:ascii="Calibri" w:cs="Calibri" w:eastAsia="Calibri" w:hAnsi="Calibri"/>
          <w:sz w:val="22"/>
          <w:szCs w:val="22"/>
        </w:rPr>
        <w:t xml:space="preserve">H1 Lead-acid has lower initial cost. H2 Lithium needs less grid electricity per useful energy delivered. H3 LFP outlasts lead-acid at comparable utilization. H4 Higher utilization favors long-life lithium. H5 Scrap value narrows lead-acid's cost disadvantage. H6 Temperature materially affects lifetime/TCO. H7 The preferred technology shifts with price, lifetime, utilization, tariff, temperature, scrap. H8 NMC and LFP differ economically/environmentally despite both being Li-ion.</w:t>
      </w:r>
    </w:p>
    <w:p>
      <w:pPr>
        <w:pStyle w:val="Heading2"/>
        <w:spacing w:after="80" w:before="180"/>
      </w:pPr>
      <w:r>
        <w:rPr>
          <w:rFonts w:ascii="Calibri" w:cs="Calibri" w:eastAsia="Calibri" w:hAnsi="Calibri"/>
          <w:b/>
          <w:bCs/>
          <w:color w:val="1F4E79"/>
          <w:sz w:val="23"/>
          <w:szCs w:val="23"/>
        </w:rPr>
        <w:t xml:space="preserve">Significance</w:t>
      </w:r>
    </w:p>
    <w:p>
      <w:pPr>
        <w:spacing w:after="160" w:line="300"/>
        <w:jc w:val="both"/>
      </w:pPr>
      <w:r>
        <w:rPr>
          <w:rFonts w:ascii="Calibri" w:cs="Calibri" w:eastAsia="Calibri" w:hAnsi="Calibri"/>
          <w:b w:val="false"/>
          <w:bCs w:val="false"/>
          <w:i w:val="false"/>
          <w:iCs w:val="false"/>
          <w:sz w:val="22"/>
          <w:szCs w:val="22"/>
        </w:rPr>
        <w:t xml:space="preserve">Academic: integrates degradation, TCO, scrap value and environmental analysis for an under-studied vehicle class [3],[9]–[11]. Practical: evidence for operators/suppliers/manufacturers. Policy: quantified thresholds for Bangladesh's active EV incentive and informal-transport debate [14]–[16]. Societal: operator livelihoods and informal lead-recycling health impacts [7],[13].</w:t>
      </w:r>
    </w:p>
    <w:p>
      <w:pPr>
        <w:pStyle w:val="Heading2"/>
        <w:spacing w:after="80" w:before="180"/>
      </w:pPr>
      <w:r>
        <w:rPr>
          <w:rFonts w:ascii="Calibri" w:cs="Calibri" w:eastAsia="Calibri" w:hAnsi="Calibri"/>
          <w:b/>
          <w:bCs/>
          <w:color w:val="1F4E79"/>
          <w:sz w:val="23"/>
          <w:szCs w:val="23"/>
        </w:rPr>
        <w:t xml:space="preserve">Scope</w:t>
      </w:r>
    </w:p>
    <w:p>
      <w:pPr>
        <w:spacing w:after="160" w:line="300"/>
        <w:jc w:val="both"/>
      </w:pPr>
      <w:r>
        <w:rPr>
          <w:rFonts w:ascii="Calibri" w:cs="Calibri" w:eastAsia="Calibri" w:hAnsi="Calibri"/>
          <w:b w:val="false"/>
          <w:bCs w:val="false"/>
          <w:i w:val="false"/>
          <w:iCs w:val="false"/>
          <w:sz w:val="22"/>
          <w:szCs w:val="22"/>
        </w:rPr>
        <w:t xml:space="preserve">Bangladesh easy-bikes/e-rickshaws only, three named chemistries, operator-level economics, degradation, a simplified (not full-ISO) environmental comparison, and a small policy-scenario set. Excludes other EV categories and national-scale extrapolation unless a credible fleet source is found at low extra cost.</w:t>
      </w:r>
    </w:p>
    <w:p>
      <w:pPr>
        <w:pStyle w:val="Heading1"/>
        <w:spacing w:after="140" w:before="300"/>
      </w:pPr>
      <w:r>
        <w:rPr>
          <w:rFonts w:ascii="Calibri" w:cs="Calibri" w:eastAsia="Calibri" w:hAnsi="Calibri"/>
          <w:b/>
          <w:bCs/>
          <w:color w:val="1F4E79"/>
          <w:sz w:val="28"/>
          <w:szCs w:val="28"/>
        </w:rPr>
        <w:t xml:space="preserve">Methodology (Essential Core)</w:t>
      </w:r>
    </w:p>
    <w:p>
      <w:pPr>
        <w:pStyle w:val="Heading2"/>
        <w:spacing w:after="80" w:before="180"/>
      </w:pPr>
      <w:r>
        <w:rPr>
          <w:rFonts w:ascii="Calibri" w:cs="Calibri" w:eastAsia="Calibri" w:hAnsi="Calibri"/>
          <w:b/>
          <w:bCs/>
          <w:color w:val="1F4E79"/>
          <w:sz w:val="23"/>
          <w:szCs w:val="23"/>
        </w:rPr>
        <w:t xml:space="preserve">Survey &amp; secondary data</w:t>
      </w:r>
    </w:p>
    <w:p>
      <w:pPr>
        <w:spacing w:after="160" w:line="300"/>
        <w:jc w:val="both"/>
      </w:pPr>
      <w:r>
        <w:rPr>
          <w:rFonts w:ascii="Calibri" w:cs="Calibri" w:eastAsia="Calibri" w:hAnsi="Calibri"/>
          <w:b w:val="false"/>
          <w:bCs w:val="false"/>
          <w:i w:val="false"/>
          <w:iCs w:val="false"/>
          <w:sz w:val="22"/>
          <w:szCs w:val="22"/>
        </w:rPr>
        <w:t xml:space="preserve">60–80 operators, 2 cities (extendable to 3), piloted with 8–10 before the main round; variables cover operator/vehicle/battery/charging/usage/maintenance/end-of-life/adoption willingness. Secondary data (priority order): BBS, BERC, SREDA, relevant ministries, NBR, peer-reviewed literature, manufacturer datasheets.</w:t>
      </w:r>
    </w:p>
    <w:p>
      <w:pPr>
        <w:spacing w:after="100"/>
      </w:pPr>
      <w:r>
        <w:rPr>
          <w:rFonts w:ascii="Calibri" w:cs="Calibri" w:eastAsia="Calibri" w:hAnsi="Calibri"/>
          <w:b/>
          <w:bCs/>
          <w:color w:val="B02418"/>
          <w:sz w:val="19"/>
          <w:szCs w:val="19"/>
        </w:rPr>
        <w:t xml:space="preserve">[DATA REQUIRED]  </w:t>
      </w:r>
      <w:r>
        <w:rPr>
          <w:rFonts w:ascii="Calibri" w:cs="Calibri" w:eastAsia="Calibri" w:hAnsi="Calibri"/>
          <w:i/>
          <w:iCs/>
          <w:sz w:val="19"/>
          <w:szCs w:val="19"/>
        </w:rPr>
        <w:t xml:space="preserve">Electricity tariff category/rate, seasonal temperature series, easy-bike fleet-size estimate, and grid emission factor are not yet sourced.</w:t>
      </w:r>
    </w:p>
    <w:p>
      <w:pPr>
        <w:pStyle w:val="Heading2"/>
        <w:spacing w:after="80" w:before="180"/>
      </w:pPr>
      <w:r>
        <w:rPr>
          <w:rFonts w:ascii="Calibri" w:cs="Calibri" w:eastAsia="Calibri" w:hAnsi="Calibri"/>
          <w:b/>
          <w:bCs/>
          <w:color w:val="1F4E79"/>
          <w:sz w:val="23"/>
          <w:szCs w:val="23"/>
        </w:rPr>
        <w:t xml:space="preserve">Core equations</w:t>
      </w:r>
    </w:p>
    <w:p>
      <w:pPr>
        <w:spacing w:after="100" w:before="50"/>
        <w:jc w:val="center"/>
      </w:pPr>
      <w:r>
        <w:rPr>
          <w:rFonts w:ascii="Cambria Math" w:cs="Cambria Math" w:eastAsia="Cambria Math" w:hAnsi="Cambria Math"/>
          <w:i/>
          <w:iCs/>
          <w:sz w:val="20"/>
          <w:szCs w:val="20"/>
        </w:rPr>
        <w:t xml:space="preserve">E_usable = V×Ah×DoD     E_grid = E_usable/(η_batt·η_charger)     E_annual = D_daily×e_km×N_days</w:t>
      </w:r>
    </w:p>
    <w:p>
      <w:pPr>
        <w:spacing w:after="100" w:before="50"/>
        <w:jc w:val="center"/>
      </w:pPr>
      <w:r>
        <w:rPr>
          <w:rFonts w:ascii="Cambria Math" w:cs="Cambria Math" w:eastAsia="Cambria Math" w:hAnsi="Cambria Math"/>
          <w:i/>
          <w:iCs/>
          <w:sz w:val="20"/>
          <w:szCs w:val="20"/>
        </w:rPr>
        <w:t xml:space="preserve">SoH_i = f(N,T,DoD,C)     Lifetime = N_EOL/(cycles/day × days/year)</w:t>
      </w:r>
    </w:p>
    <w:p>
      <w:pPr>
        <w:spacing w:after="100" w:before="50"/>
        <w:jc w:val="center"/>
      </w:pPr>
      <w:r>
        <w:rPr>
          <w:rFonts w:ascii="Cambria Math" w:cs="Cambria Math" w:eastAsia="Cambria Math" w:hAnsi="Cambria Math"/>
          <w:i/>
          <w:iCs/>
          <w:sz w:val="20"/>
          <w:szCs w:val="20"/>
        </w:rPr>
        <w:t xml:space="preserve">TCO_i = C_init+C_replace+C_elec+C_maint−C_scrap        NPV = Σ C_t/(1+r)^t</w:t>
      </w:r>
    </w:p>
    <w:p>
      <w:pPr>
        <w:spacing w:after="160" w:line="300"/>
        <w:jc w:val="both"/>
      </w:pPr>
      <w:r>
        <w:rPr>
          <w:rFonts w:ascii="Calibri" w:cs="Calibri" w:eastAsia="Calibri" w:hAnsi="Calibri"/>
          <w:b w:val="false"/>
          <w:bCs w:val="false"/>
          <w:i w:val="false"/>
          <w:iCs w:val="false"/>
          <w:sz w:val="22"/>
          <w:szCs w:val="22"/>
        </w:rPr>
        <w:t xml:space="preserve">Degradation uses literature-adapted temperature/DoD scenario multipliers (not an originally-fitted Arrhenius model) [4],[12],[17], validated against survey-reported lifetimes. TCO follows standard discounted NPV formulations [10],[11]. Break-even computed pairwise (LA-NMC, LA-LFP, NMC-LFP); “no break-even within horizon” reported when true rather than forced.</w:t>
      </w:r>
    </w:p>
    <w:p>
      <w:pPr>
        <w:pStyle w:val="Heading2"/>
        <w:spacing w:after="80" w:before="180"/>
      </w:pPr>
      <w:r>
        <w:rPr>
          <w:rFonts w:ascii="Calibri" w:cs="Calibri" w:eastAsia="Calibri" w:hAnsi="Calibri"/>
          <w:b/>
          <w:bCs/>
          <w:color w:val="1F4E79"/>
          <w:sz w:val="23"/>
          <w:szCs w:val="23"/>
        </w:rPr>
        <w:t xml:space="preserve">Sensitivity, environment, policy, stats</w:t>
      </w:r>
    </w:p>
    <w:p>
      <w:pPr>
        <w:pStyle w:val="ListParagraph"/>
        <w:numPr>
          <w:ilvl w:val="0"/>
          <w:numId w:val="2"/>
        </w:numPr>
        <w:spacing w:after="80" w:line="288"/>
      </w:pPr>
      <w:r>
        <w:rPr>
          <w:rFonts w:ascii="Calibri" w:cs="Calibri" w:eastAsia="Calibri" w:hAnsi="Calibri"/>
          <w:sz w:val="22"/>
          <w:szCs w:val="22"/>
        </w:rPr>
        <w:t xml:space="preserve">Essential: one-at-a-time sensitivity (price, lifetime, temperature, distance, DoD, efficiency, tariff, scrap, maintenance, discount rate) as a tornado chart; descriptive statistics + group comparisons on survey data.</w:t>
      </w:r>
    </w:p>
    <w:p>
      <w:pPr>
        <w:pStyle w:val="ListParagraph"/>
        <w:numPr>
          <w:ilvl w:val="0"/>
          <w:numId w:val="2"/>
        </w:numPr>
        <w:spacing w:after="80" w:line="288"/>
      </w:pPr>
      <w:r>
        <w:rPr>
          <w:rFonts w:ascii="Calibri" w:cs="Calibri" w:eastAsia="Calibri" w:hAnsi="Calibri"/>
          <w:sz w:val="22"/>
          <w:szCs w:val="22"/>
        </w:rPr>
        <w:t xml:space="preserve">Recommended (dropped first if time is short): Monte Carlo using literature-justified ranges [9] for P(lowest TCO); simplified lifecycle-oriented environmental comparison (manufacturing+operation+EOL, kg CO2-eq/vehicle-km) reflecting Bangladesh's informal ULAB recycling [13]; 2–3 quantified policy scenarios (subsidy/duty) [14],[15].</w:t>
      </w:r>
    </w:p>
    <w:p>
      <w:pPr>
        <w:pStyle w:val="Heading2"/>
        <w:spacing w:after="80" w:before="180"/>
      </w:pPr>
      <w:r>
        <w:rPr>
          <w:rFonts w:ascii="Calibri" w:cs="Calibri" w:eastAsia="Calibri" w:hAnsi="Calibri"/>
          <w:b/>
          <w:bCs/>
          <w:color w:val="1F4E79"/>
          <w:sz w:val="23"/>
          <w:szCs w:val="23"/>
        </w:rPr>
        <w:t xml:space="preserve">MATLAB &amp; validation</w:t>
      </w:r>
    </w:p>
    <w:p>
      <w:pPr>
        <w:spacing w:after="160" w:line="300"/>
        <w:jc w:val="both"/>
      </w:pPr>
      <w:r>
        <w:rPr>
          <w:rFonts w:ascii="Calibri" w:cs="Calibri" w:eastAsia="Calibri" w:hAnsi="Calibri"/>
          <w:b w:val="false"/>
          <w:bCs w:val="false"/>
          <w:i w:val="false"/>
          <w:iCs w:val="false"/>
          <w:sz w:val="22"/>
          <w:szCs w:val="22"/>
        </w:rPr>
        <w:t xml:space="preserve">Modular scripts (input→energy→degradation→lifetime→replacement→TCO→environment→break-even→sensitivity→[Monte Carlo]→stats→plots) using a battery.LA/NMC/LFP structure; coding begins only once real parameters are sourced. Energy, degradation and TCO outputs validated against survey and literature benchmarks with explicit error reporting; gaps stated as limitations, not hidden.</w:t>
      </w:r>
    </w:p>
    <w:p>
      <w:pPr>
        <w:pStyle w:val="Heading2"/>
        <w:spacing w:after="80" w:before="180"/>
      </w:pPr>
      <w:r>
        <w:rPr>
          <w:rFonts w:ascii="Calibri" w:cs="Calibri" w:eastAsia="Calibri" w:hAnsi="Calibri"/>
          <w:b/>
          <w:bCs/>
          <w:color w:val="1F4E79"/>
          <w:sz w:val="23"/>
          <w:szCs w:val="23"/>
        </w:rPr>
        <w:t xml:space="preserve">HOMER Pro</w:t>
      </w:r>
    </w:p>
    <w:p>
      <w:pPr>
        <w:spacing w:after="160" w:line="300"/>
        <w:jc w:val="both"/>
      </w:pPr>
      <w:r>
        <w:rPr>
          <w:rFonts w:ascii="Calibri" w:cs="Calibri" w:eastAsia="Calibri" w:hAnsi="Calibri"/>
          <w:b w:val="false"/>
          <w:bCs w:val="false"/>
          <w:i w:val="false"/>
          <w:iCs w:val="false"/>
          <w:sz w:val="22"/>
          <w:szCs w:val="22"/>
        </w:rPr>
        <w:t xml:space="preserve">Not required — grid-only charging comparison is fully covered by the MATLAB model; HOMER would only be justified if PV-assisted charging becomes part of the scope.</w:t>
      </w:r>
    </w:p>
    <w:p>
      <w:pPr>
        <w:pStyle w:val="Heading1"/>
        <w:spacing w:after="140" w:before="300"/>
      </w:pPr>
      <w:r>
        <w:rPr>
          <w:rFonts w:ascii="Calibri" w:cs="Calibri" w:eastAsia="Calibri" w:hAnsi="Calibri"/>
          <w:b/>
          <w:bCs/>
          <w:color w:val="1F4E79"/>
          <w:sz w:val="28"/>
          <w:szCs w:val="28"/>
        </w:rPr>
        <w:t xml:space="preserve">16-Week Work Plan</w:t>
      </w:r>
    </w:p>
    <w:p>
      <w:pPr>
        <w:spacing w:after="160" w:line="300"/>
        <w:jc w:val="both"/>
      </w:pPr>
      <w:r>
        <w:rPr>
          <w:rFonts w:ascii="Calibri" w:cs="Calibri" w:eastAsia="Calibri" w:hAnsi="Calibri"/>
          <w:b w:val="false"/>
          <w:bCs w:val="false"/>
          <w:i/>
          <w:iCs/>
          <w:sz w:val="22"/>
          <w:szCs w:val="22"/>
        </w:rPr>
        <w:t xml:space="preserve">Compressed from an original 24-week design by reducing the survey to 60–80 respondents/2 cities and marking Monte Carlo, environmental analysis and policy scenarios “recommended” (first to be cut if time is short); national-scale analysis and full ISO-LCA are excluded from the outset.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00"/>
        <w:gridCol w:w="2100"/>
      </w:tblGrid>
      <w:tr>
        <w:trPr>
          <w:tblHeader/>
        </w:trPr>
        <w:tc>
          <w:tcPr>
            <w:tcW w:type="dxa" w:w="7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Wks</w:t>
            </w:r>
          </w:p>
        </w:tc>
        <w:tc>
          <w:tcPr>
            <w:tcW w:type="dxa" w:w="22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Phase</w:t>
            </w:r>
          </w:p>
        </w:tc>
        <w:tc>
          <w:tcPr>
            <w:tcW w:type="dxa" w:w="52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Key activities</w:t>
            </w:r>
          </w:p>
        </w:tc>
        <w:tc>
          <w:tcPr>
            <w:tcW w:type="dxa" w:w="21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Priority</w:t>
            </w:r>
          </w:p>
        </w:tc>
      </w:tr>
      <w:tr>
        <w:tc>
          <w:tcPr>
            <w:tcW w:type="dxa" w:w="700"/>
            <w:tcMar>
              <w:top w:type="dxa" w:w="40"/>
              <w:left w:type="dxa" w:w="90"/>
              <w:bottom w:type="dxa" w:w="40"/>
              <w:right w:type="dxa" w:w="90"/>
            </w:tcMar>
          </w:tcPr>
          <w:p>
            <w:r>
              <w:rPr>
                <w:rFonts w:ascii="Calibri" w:cs="Calibri" w:eastAsia="Calibri" w:hAnsi="Calibri"/>
                <w:sz w:val="17"/>
                <w:szCs w:val="17"/>
              </w:rPr>
              <w:t xml:space="preserve">1–2</w:t>
            </w:r>
          </w:p>
        </w:tc>
        <w:tc>
          <w:tcPr>
            <w:tcW w:type="dxa" w:w="2200"/>
            <w:tcMar>
              <w:top w:type="dxa" w:w="40"/>
              <w:left w:type="dxa" w:w="90"/>
              <w:bottom w:type="dxa" w:w="40"/>
              <w:right w:type="dxa" w:w="90"/>
            </w:tcMar>
          </w:tcPr>
          <w:p>
            <w:r>
              <w:rPr>
                <w:rFonts w:ascii="Calibri" w:cs="Calibri" w:eastAsia="Calibri" w:hAnsi="Calibri"/>
                <w:sz w:val="17"/>
                <w:szCs w:val="17"/>
              </w:rPr>
              <w:t xml:space="preserve">Literature + gap</w:t>
            </w:r>
          </w:p>
        </w:tc>
        <w:tc>
          <w:tcPr>
            <w:tcW w:type="dxa" w:w="5200"/>
            <w:tcMar>
              <w:top w:type="dxa" w:w="40"/>
              <w:left w:type="dxa" w:w="90"/>
              <w:bottom w:type="dxa" w:w="40"/>
              <w:right w:type="dxa" w:w="90"/>
            </w:tcMar>
          </w:tcPr>
          <w:p>
            <w:r>
              <w:rPr>
                <w:rFonts w:ascii="Calibri" w:cs="Calibri" w:eastAsia="Calibri" w:hAnsi="Calibri"/>
                <w:sz w:val="17"/>
                <w:szCs w:val="17"/>
              </w:rPr>
              <w:t xml:space="preserve">Systematic search, matrix, confirm gap</w:t>
            </w:r>
          </w:p>
        </w:tc>
        <w:tc>
          <w:tcPr>
            <w:tcW w:type="dxa" w:w="2100"/>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shd w:fill="EEF3FA" w:val="clear"/>
            <w:tcMar>
              <w:top w:type="dxa" w:w="40"/>
              <w:left w:type="dxa" w:w="90"/>
              <w:bottom w:type="dxa" w:w="40"/>
              <w:right w:type="dxa" w:w="90"/>
            </w:tcMar>
          </w:tcPr>
          <w:p>
            <w:r>
              <w:rPr>
                <w:rFonts w:ascii="Calibri" w:cs="Calibri" w:eastAsia="Calibri" w:hAnsi="Calibri"/>
                <w:sz w:val="17"/>
                <w:szCs w:val="17"/>
              </w:rPr>
              <w:t xml:space="preserve">2–3</w:t>
            </w:r>
          </w:p>
        </w:tc>
        <w:tc>
          <w:tcPr>
            <w:tcW w:type="dxa" w:w="2200"/>
            <w:shd w:fill="EEF3FA" w:val="clear"/>
            <w:tcMar>
              <w:top w:type="dxa" w:w="40"/>
              <w:left w:type="dxa" w:w="90"/>
              <w:bottom w:type="dxa" w:w="40"/>
              <w:right w:type="dxa" w:w="90"/>
            </w:tcMar>
          </w:tcPr>
          <w:p>
            <w:r>
              <w:rPr>
                <w:rFonts w:ascii="Calibri" w:cs="Calibri" w:eastAsia="Calibri" w:hAnsi="Calibri"/>
                <w:sz w:val="17"/>
                <w:szCs w:val="17"/>
              </w:rPr>
              <w:t xml:space="preserve">Proposal + instrument</w:t>
            </w:r>
          </w:p>
        </w:tc>
        <w:tc>
          <w:tcPr>
            <w:tcW w:type="dxa" w:w="5200"/>
            <w:shd w:fill="EEF3FA" w:val="clear"/>
            <w:tcMar>
              <w:top w:type="dxa" w:w="40"/>
              <w:left w:type="dxa" w:w="90"/>
              <w:bottom w:type="dxa" w:w="40"/>
              <w:right w:type="dxa" w:w="90"/>
            </w:tcMar>
          </w:tcPr>
          <w:p>
            <w:r>
              <w:rPr>
                <w:rFonts w:ascii="Calibri" w:cs="Calibri" w:eastAsia="Calibri" w:hAnsi="Calibri"/>
                <w:sz w:val="17"/>
                <w:szCs w:val="17"/>
              </w:rPr>
              <w:t xml:space="preserve">Finalize RQs/objectives; survey draft</w:t>
            </w:r>
          </w:p>
        </w:tc>
        <w:tc>
          <w:tcPr>
            <w:tcW w:type="dxa" w:w="2100"/>
            <w:shd w:fill="EEF3FA" w:val="clear"/>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tcMar>
              <w:top w:type="dxa" w:w="40"/>
              <w:left w:type="dxa" w:w="90"/>
              <w:bottom w:type="dxa" w:w="40"/>
              <w:right w:type="dxa" w:w="90"/>
            </w:tcMar>
          </w:tcPr>
          <w:p>
            <w:r>
              <w:rPr>
                <w:rFonts w:ascii="Calibri" w:cs="Calibri" w:eastAsia="Calibri" w:hAnsi="Calibri"/>
                <w:sz w:val="17"/>
                <w:szCs w:val="17"/>
              </w:rPr>
              <w:t xml:space="preserve">3</w:t>
            </w:r>
          </w:p>
        </w:tc>
        <w:tc>
          <w:tcPr>
            <w:tcW w:type="dxa" w:w="2200"/>
            <w:tcMar>
              <w:top w:type="dxa" w:w="40"/>
              <w:left w:type="dxa" w:w="90"/>
              <w:bottom w:type="dxa" w:w="40"/>
              <w:right w:type="dxa" w:w="90"/>
            </w:tcMar>
          </w:tcPr>
          <w:p>
            <w:r>
              <w:rPr>
                <w:rFonts w:ascii="Calibri" w:cs="Calibri" w:eastAsia="Calibri" w:hAnsi="Calibri"/>
                <w:sz w:val="17"/>
                <w:szCs w:val="17"/>
              </w:rPr>
              <w:t xml:space="preserve">Ethics + secondary data</w:t>
            </w:r>
          </w:p>
        </w:tc>
        <w:tc>
          <w:tcPr>
            <w:tcW w:type="dxa" w:w="5200"/>
            <w:tcMar>
              <w:top w:type="dxa" w:w="40"/>
              <w:left w:type="dxa" w:w="90"/>
              <w:bottom w:type="dxa" w:w="40"/>
              <w:right w:type="dxa" w:w="90"/>
            </w:tcMar>
          </w:tcPr>
          <w:p>
            <w:r>
              <w:rPr>
                <w:rFonts w:ascii="Calibri" w:cs="Calibri" w:eastAsia="Calibri" w:hAnsi="Calibri"/>
                <w:sz w:val="17"/>
                <w:szCs w:val="17"/>
              </w:rPr>
              <w:t xml:space="preserve">Ethics approval; BBS/BERC/SREDA/NBR data</w:t>
            </w:r>
          </w:p>
        </w:tc>
        <w:tc>
          <w:tcPr>
            <w:tcW w:type="dxa" w:w="2100"/>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shd w:fill="EEF3FA" w:val="clear"/>
            <w:tcMar>
              <w:top w:type="dxa" w:w="40"/>
              <w:left w:type="dxa" w:w="90"/>
              <w:bottom w:type="dxa" w:w="40"/>
              <w:right w:type="dxa" w:w="90"/>
            </w:tcMar>
          </w:tcPr>
          <w:p>
            <w:r>
              <w:rPr>
                <w:rFonts w:ascii="Calibri" w:cs="Calibri" w:eastAsia="Calibri" w:hAnsi="Calibri"/>
                <w:sz w:val="17"/>
                <w:szCs w:val="17"/>
              </w:rPr>
              <w:t xml:space="preserve">4</w:t>
            </w:r>
          </w:p>
        </w:tc>
        <w:tc>
          <w:tcPr>
            <w:tcW w:type="dxa" w:w="2200"/>
            <w:shd w:fill="EEF3FA" w:val="clear"/>
            <w:tcMar>
              <w:top w:type="dxa" w:w="40"/>
              <w:left w:type="dxa" w:w="90"/>
              <w:bottom w:type="dxa" w:w="40"/>
              <w:right w:type="dxa" w:w="90"/>
            </w:tcMar>
          </w:tcPr>
          <w:p>
            <w:r>
              <w:rPr>
                <w:rFonts w:ascii="Calibri" w:cs="Calibri" w:eastAsia="Calibri" w:hAnsi="Calibri"/>
                <w:sz w:val="17"/>
                <w:szCs w:val="17"/>
              </w:rPr>
              <w:t xml:space="preserve">Pilot survey</w:t>
            </w:r>
          </w:p>
        </w:tc>
        <w:tc>
          <w:tcPr>
            <w:tcW w:type="dxa" w:w="5200"/>
            <w:shd w:fill="EEF3FA" w:val="clear"/>
            <w:tcMar>
              <w:top w:type="dxa" w:w="40"/>
              <w:left w:type="dxa" w:w="90"/>
              <w:bottom w:type="dxa" w:w="40"/>
              <w:right w:type="dxa" w:w="90"/>
            </w:tcMar>
          </w:tcPr>
          <w:p>
            <w:r>
              <w:rPr>
                <w:rFonts w:ascii="Calibri" w:cs="Calibri" w:eastAsia="Calibri" w:hAnsi="Calibri"/>
                <w:sz w:val="17"/>
                <w:szCs w:val="17"/>
              </w:rPr>
              <w:t xml:space="preserve">8–10 operators; refine instrument</w:t>
            </w:r>
          </w:p>
        </w:tc>
        <w:tc>
          <w:tcPr>
            <w:tcW w:type="dxa" w:w="2100"/>
            <w:shd w:fill="EEF3FA" w:val="clear"/>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tcMar>
              <w:top w:type="dxa" w:w="40"/>
              <w:left w:type="dxa" w:w="90"/>
              <w:bottom w:type="dxa" w:w="40"/>
              <w:right w:type="dxa" w:w="90"/>
            </w:tcMar>
          </w:tcPr>
          <w:p>
            <w:r>
              <w:rPr>
                <w:rFonts w:ascii="Calibri" w:cs="Calibri" w:eastAsia="Calibri" w:hAnsi="Calibri"/>
                <w:sz w:val="17"/>
                <w:szCs w:val="17"/>
              </w:rPr>
              <w:t xml:space="preserve">5–7</w:t>
            </w:r>
          </w:p>
        </w:tc>
        <w:tc>
          <w:tcPr>
            <w:tcW w:type="dxa" w:w="2200"/>
            <w:tcMar>
              <w:top w:type="dxa" w:w="40"/>
              <w:left w:type="dxa" w:w="90"/>
              <w:bottom w:type="dxa" w:w="40"/>
              <w:right w:type="dxa" w:w="90"/>
            </w:tcMar>
          </w:tcPr>
          <w:p>
            <w:r>
              <w:rPr>
                <w:rFonts w:ascii="Calibri" w:cs="Calibri" w:eastAsia="Calibri" w:hAnsi="Calibri"/>
                <w:sz w:val="17"/>
                <w:szCs w:val="17"/>
              </w:rPr>
              <w:t xml:space="preserve">Main survey + secondary data</w:t>
            </w:r>
          </w:p>
        </w:tc>
        <w:tc>
          <w:tcPr>
            <w:tcW w:type="dxa" w:w="5200"/>
            <w:tcMar>
              <w:top w:type="dxa" w:w="40"/>
              <w:left w:type="dxa" w:w="90"/>
              <w:bottom w:type="dxa" w:w="40"/>
              <w:right w:type="dxa" w:w="90"/>
            </w:tcMar>
          </w:tcPr>
          <w:p>
            <w:r>
              <w:rPr>
                <w:rFonts w:ascii="Calibri" w:cs="Calibri" w:eastAsia="Calibri" w:hAnsi="Calibri"/>
                <w:sz w:val="17"/>
                <w:szCs w:val="17"/>
              </w:rPr>
              <w:t xml:space="preserve">60–80 operators, 2 cities</w:t>
            </w:r>
          </w:p>
        </w:tc>
        <w:tc>
          <w:tcPr>
            <w:tcW w:type="dxa" w:w="2100"/>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shd w:fill="EEF3FA" w:val="clear"/>
            <w:tcMar>
              <w:top w:type="dxa" w:w="40"/>
              <w:left w:type="dxa" w:w="90"/>
              <w:bottom w:type="dxa" w:w="40"/>
              <w:right w:type="dxa" w:w="90"/>
            </w:tcMar>
          </w:tcPr>
          <w:p>
            <w:r>
              <w:rPr>
                <w:rFonts w:ascii="Calibri" w:cs="Calibri" w:eastAsia="Calibri" w:hAnsi="Calibri"/>
                <w:sz w:val="17"/>
                <w:szCs w:val="17"/>
              </w:rPr>
              <w:t xml:space="preserve">7–9</w:t>
            </w:r>
          </w:p>
        </w:tc>
        <w:tc>
          <w:tcPr>
            <w:tcW w:type="dxa" w:w="2200"/>
            <w:shd w:fill="EEF3FA" w:val="clear"/>
            <w:tcMar>
              <w:top w:type="dxa" w:w="40"/>
              <w:left w:type="dxa" w:w="90"/>
              <w:bottom w:type="dxa" w:w="40"/>
              <w:right w:type="dxa" w:w="90"/>
            </w:tcMar>
          </w:tcPr>
          <w:p>
            <w:r>
              <w:rPr>
                <w:rFonts w:ascii="Calibri" w:cs="Calibri" w:eastAsia="Calibri" w:hAnsi="Calibri"/>
                <w:sz w:val="17"/>
                <w:szCs w:val="17"/>
              </w:rPr>
              <w:t xml:space="preserve">Cleaning + statistics</w:t>
            </w:r>
          </w:p>
        </w:tc>
        <w:tc>
          <w:tcPr>
            <w:tcW w:type="dxa" w:w="5200"/>
            <w:shd w:fill="EEF3FA" w:val="clear"/>
            <w:tcMar>
              <w:top w:type="dxa" w:w="40"/>
              <w:left w:type="dxa" w:w="90"/>
              <w:bottom w:type="dxa" w:w="40"/>
              <w:right w:type="dxa" w:w="90"/>
            </w:tcMar>
          </w:tcPr>
          <w:p>
            <w:r>
              <w:rPr>
                <w:rFonts w:ascii="Calibri" w:cs="Calibri" w:eastAsia="Calibri" w:hAnsi="Calibri"/>
                <w:sz w:val="17"/>
                <w:szCs w:val="17"/>
              </w:rPr>
              <w:t xml:space="preserve">Outliers/duplicates; descriptives, tests</w:t>
            </w:r>
          </w:p>
        </w:tc>
        <w:tc>
          <w:tcPr>
            <w:tcW w:type="dxa" w:w="2100"/>
            <w:shd w:fill="EEF3FA" w:val="clear"/>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tcMar>
              <w:top w:type="dxa" w:w="40"/>
              <w:left w:type="dxa" w:w="90"/>
              <w:bottom w:type="dxa" w:w="40"/>
              <w:right w:type="dxa" w:w="90"/>
            </w:tcMar>
          </w:tcPr>
          <w:p>
            <w:r>
              <w:rPr>
                <w:rFonts w:ascii="Calibri" w:cs="Calibri" w:eastAsia="Calibri" w:hAnsi="Calibri"/>
                <w:sz w:val="17"/>
                <w:szCs w:val="17"/>
              </w:rPr>
              <w:t xml:space="preserve">8–11</w:t>
            </w:r>
          </w:p>
        </w:tc>
        <w:tc>
          <w:tcPr>
            <w:tcW w:type="dxa" w:w="2200"/>
            <w:tcMar>
              <w:top w:type="dxa" w:w="40"/>
              <w:left w:type="dxa" w:w="90"/>
              <w:bottom w:type="dxa" w:w="40"/>
              <w:right w:type="dxa" w:w="90"/>
            </w:tcMar>
          </w:tcPr>
          <w:p>
            <w:r>
              <w:rPr>
                <w:rFonts w:ascii="Calibri" w:cs="Calibri" w:eastAsia="Calibri" w:hAnsi="Calibri"/>
                <w:sz w:val="17"/>
                <w:szCs w:val="17"/>
              </w:rPr>
              <w:t xml:space="preserve">Energy/degradation/lifetime/TCO (MATLAB)</w:t>
            </w:r>
          </w:p>
        </w:tc>
        <w:tc>
          <w:tcPr>
            <w:tcW w:type="dxa" w:w="5200"/>
            <w:tcMar>
              <w:top w:type="dxa" w:w="40"/>
              <w:left w:type="dxa" w:w="90"/>
              <w:bottom w:type="dxa" w:w="40"/>
              <w:right w:type="dxa" w:w="90"/>
            </w:tcMar>
          </w:tcPr>
          <w:p>
            <w:r>
              <w:rPr>
                <w:rFonts w:ascii="Calibri" w:cs="Calibri" w:eastAsia="Calibri" w:hAnsi="Calibri"/>
                <w:sz w:val="17"/>
                <w:szCs w:val="17"/>
              </w:rPr>
              <w:t xml:space="preserve">Populate model with sourced parameters</w:t>
            </w:r>
          </w:p>
        </w:tc>
        <w:tc>
          <w:tcPr>
            <w:tcW w:type="dxa" w:w="2100"/>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shd w:fill="EEF3FA" w:val="clear"/>
            <w:tcMar>
              <w:top w:type="dxa" w:w="40"/>
              <w:left w:type="dxa" w:w="90"/>
              <w:bottom w:type="dxa" w:w="40"/>
              <w:right w:type="dxa" w:w="90"/>
            </w:tcMar>
          </w:tcPr>
          <w:p>
            <w:r>
              <w:rPr>
                <w:rFonts w:ascii="Calibri" w:cs="Calibri" w:eastAsia="Calibri" w:hAnsi="Calibri"/>
                <w:sz w:val="17"/>
                <w:szCs w:val="17"/>
              </w:rPr>
              <w:t xml:space="preserve">11–12</w:t>
            </w:r>
          </w:p>
        </w:tc>
        <w:tc>
          <w:tcPr>
            <w:tcW w:type="dxa" w:w="2200"/>
            <w:shd w:fill="EEF3FA" w:val="clear"/>
            <w:tcMar>
              <w:top w:type="dxa" w:w="40"/>
              <w:left w:type="dxa" w:w="90"/>
              <w:bottom w:type="dxa" w:w="40"/>
              <w:right w:type="dxa" w:w="90"/>
            </w:tcMar>
          </w:tcPr>
          <w:p>
            <w:r>
              <w:rPr>
                <w:rFonts w:ascii="Calibri" w:cs="Calibri" w:eastAsia="Calibri" w:hAnsi="Calibri"/>
                <w:sz w:val="17"/>
                <w:szCs w:val="17"/>
              </w:rPr>
              <w:t xml:space="preserve">Validation, break-even, sensitivity</w:t>
            </w:r>
          </w:p>
        </w:tc>
        <w:tc>
          <w:tcPr>
            <w:tcW w:type="dxa" w:w="5200"/>
            <w:shd w:fill="EEF3FA" w:val="clear"/>
            <w:tcMar>
              <w:top w:type="dxa" w:w="40"/>
              <w:left w:type="dxa" w:w="90"/>
              <w:bottom w:type="dxa" w:w="40"/>
              <w:right w:type="dxa" w:w="90"/>
            </w:tcMar>
          </w:tcPr>
          <w:p>
            <w:r>
              <w:rPr>
                <w:rFonts w:ascii="Calibri" w:cs="Calibri" w:eastAsia="Calibri" w:hAnsi="Calibri"/>
                <w:sz w:val="17"/>
                <w:szCs w:val="17"/>
              </w:rPr>
              <w:t xml:space="preserve">Error checks; tornado chart</w:t>
            </w:r>
          </w:p>
        </w:tc>
        <w:tc>
          <w:tcPr>
            <w:tcW w:type="dxa" w:w="2100"/>
            <w:shd w:fill="EEF3FA" w:val="clear"/>
            <w:tcMar>
              <w:top w:type="dxa" w:w="40"/>
              <w:left w:type="dxa" w:w="90"/>
              <w:bottom w:type="dxa" w:w="40"/>
              <w:right w:type="dxa" w:w="90"/>
            </w:tcMar>
          </w:tcPr>
          <w:p>
            <w:r>
              <w:rPr>
                <w:rFonts w:ascii="Calibri" w:cs="Calibri" w:eastAsia="Calibri" w:hAnsi="Calibri"/>
                <w:sz w:val="17"/>
                <w:szCs w:val="17"/>
              </w:rPr>
              <w:t xml:space="preserve">Essential</w:t>
            </w:r>
          </w:p>
        </w:tc>
      </w:tr>
      <w:tr>
        <w:tc>
          <w:tcPr>
            <w:tcW w:type="dxa" w:w="700"/>
            <w:tcMar>
              <w:top w:type="dxa" w:w="40"/>
              <w:left w:type="dxa" w:w="90"/>
              <w:bottom w:type="dxa" w:w="40"/>
              <w:right w:type="dxa" w:w="90"/>
            </w:tcMar>
          </w:tcPr>
          <w:p>
            <w:r>
              <w:rPr>
                <w:rFonts w:ascii="Calibri" w:cs="Calibri" w:eastAsia="Calibri" w:hAnsi="Calibri"/>
                <w:sz w:val="17"/>
                <w:szCs w:val="17"/>
              </w:rPr>
              <w:t xml:space="preserve">13–14</w:t>
            </w:r>
          </w:p>
        </w:tc>
        <w:tc>
          <w:tcPr>
            <w:tcW w:type="dxa" w:w="2200"/>
            <w:tcMar>
              <w:top w:type="dxa" w:w="40"/>
              <w:left w:type="dxa" w:w="90"/>
              <w:bottom w:type="dxa" w:w="40"/>
              <w:right w:type="dxa" w:w="90"/>
            </w:tcMar>
          </w:tcPr>
          <w:p>
            <w:r>
              <w:rPr>
                <w:rFonts w:ascii="Calibri" w:cs="Calibri" w:eastAsia="Calibri" w:hAnsi="Calibri"/>
                <w:sz w:val="17"/>
                <w:szCs w:val="17"/>
              </w:rPr>
              <w:t xml:space="preserve">Monte Carlo, environment, policy</w:t>
            </w:r>
          </w:p>
        </w:tc>
        <w:tc>
          <w:tcPr>
            <w:tcW w:type="dxa" w:w="5200"/>
            <w:tcMar>
              <w:top w:type="dxa" w:w="40"/>
              <w:left w:type="dxa" w:w="90"/>
              <w:bottom w:type="dxa" w:w="40"/>
              <w:right w:type="dxa" w:w="90"/>
            </w:tcMar>
          </w:tcPr>
          <w:p>
            <w:r>
              <w:rPr>
                <w:rFonts w:ascii="Calibri" w:cs="Calibri" w:eastAsia="Calibri" w:hAnsi="Calibri"/>
                <w:sz w:val="17"/>
                <w:szCs w:val="17"/>
              </w:rPr>
              <w:t xml:space="preserve">If time permits</w:t>
            </w:r>
          </w:p>
        </w:tc>
        <w:tc>
          <w:tcPr>
            <w:tcW w:type="dxa" w:w="2100"/>
            <w:tcMar>
              <w:top w:type="dxa" w:w="40"/>
              <w:left w:type="dxa" w:w="90"/>
              <w:bottom w:type="dxa" w:w="40"/>
              <w:right w:type="dxa" w:w="90"/>
            </w:tcMar>
          </w:tcPr>
          <w:p>
            <w:r>
              <w:rPr>
                <w:rFonts w:ascii="Calibri" w:cs="Calibri" w:eastAsia="Calibri" w:hAnsi="Calibri"/>
                <w:sz w:val="17"/>
                <w:szCs w:val="17"/>
              </w:rPr>
              <w:t xml:space="preserve">Recommended</w:t>
            </w:r>
          </w:p>
        </w:tc>
      </w:tr>
      <w:tr>
        <w:tc>
          <w:tcPr>
            <w:tcW w:type="dxa" w:w="700"/>
            <w:shd w:fill="EEF3FA" w:val="clear"/>
            <w:tcMar>
              <w:top w:type="dxa" w:w="40"/>
              <w:left w:type="dxa" w:w="90"/>
              <w:bottom w:type="dxa" w:w="40"/>
              <w:right w:type="dxa" w:w="90"/>
            </w:tcMar>
          </w:tcPr>
          <w:p>
            <w:r>
              <w:rPr>
                <w:rFonts w:ascii="Calibri" w:cs="Calibri" w:eastAsia="Calibri" w:hAnsi="Calibri"/>
                <w:sz w:val="17"/>
                <w:szCs w:val="17"/>
              </w:rPr>
              <w:t xml:space="preserve">15–16</w:t>
            </w:r>
          </w:p>
        </w:tc>
        <w:tc>
          <w:tcPr>
            <w:tcW w:type="dxa" w:w="2200"/>
            <w:shd w:fill="EEF3FA" w:val="clear"/>
            <w:tcMar>
              <w:top w:type="dxa" w:w="40"/>
              <w:left w:type="dxa" w:w="90"/>
              <w:bottom w:type="dxa" w:w="40"/>
              <w:right w:type="dxa" w:w="90"/>
            </w:tcMar>
          </w:tcPr>
          <w:p>
            <w:r>
              <w:rPr>
                <w:rFonts w:ascii="Calibri" w:cs="Calibri" w:eastAsia="Calibri" w:hAnsi="Calibri"/>
                <w:sz w:val="17"/>
                <w:szCs w:val="17"/>
              </w:rPr>
              <w:t xml:space="preserve">Write-up, figures, review</w:t>
            </w:r>
          </w:p>
        </w:tc>
        <w:tc>
          <w:tcPr>
            <w:tcW w:type="dxa" w:w="5200"/>
            <w:shd w:fill="EEF3FA" w:val="clear"/>
            <w:tcMar>
              <w:top w:type="dxa" w:w="40"/>
              <w:left w:type="dxa" w:w="90"/>
              <w:bottom w:type="dxa" w:w="40"/>
              <w:right w:type="dxa" w:w="90"/>
            </w:tcMar>
          </w:tcPr>
          <w:p>
            <w:r>
              <w:rPr>
                <w:rFonts w:ascii="Calibri" w:cs="Calibri" w:eastAsia="Calibri" w:hAnsi="Calibri"/>
                <w:sz w:val="17"/>
                <w:szCs w:val="17"/>
              </w:rPr>
              <w:t xml:space="preserve">Full draft to supervisor</w:t>
            </w:r>
          </w:p>
        </w:tc>
        <w:tc>
          <w:tcPr>
            <w:tcW w:type="dxa" w:w="2100"/>
            <w:shd w:fill="EEF3FA" w:val="clear"/>
            <w:tcMar>
              <w:top w:type="dxa" w:w="40"/>
              <w:left w:type="dxa" w:w="90"/>
              <w:bottom w:type="dxa" w:w="40"/>
              <w:right w:type="dxa" w:w="90"/>
            </w:tcMar>
          </w:tcPr>
          <w:p>
            <w:r>
              <w:rPr>
                <w:rFonts w:ascii="Calibri" w:cs="Calibri" w:eastAsia="Calibri" w:hAnsi="Calibri"/>
                <w:sz w:val="17"/>
                <w:szCs w:val="17"/>
              </w:rPr>
              <w:t xml:space="preserve">Essential</w:t>
            </w:r>
          </w:p>
        </w:tc>
      </w:tr>
    </w:tbl>
    <w:p>
      <w:pPr>
        <w:pStyle w:val="Heading1"/>
        <w:spacing w:after="140" w:before="300"/>
      </w:pPr>
      <w:r>
        <w:rPr>
          <w:rFonts w:ascii="Calibri" w:cs="Calibri" w:eastAsia="Calibri" w:hAnsi="Calibri"/>
          <w:b/>
          <w:bCs/>
          <w:color w:val="1F4E79"/>
          <w:sz w:val="28"/>
          <w:szCs w:val="28"/>
        </w:rPr>
        <w:t xml:space="preserve">Resources, Budget, Ethics, Limitations</w:t>
      </w:r>
    </w:p>
    <w:p>
      <w:pPr>
        <w:pStyle w:val="ListParagraph"/>
        <w:numPr>
          <w:ilvl w:val="0"/>
          <w:numId w:val="2"/>
        </w:numPr>
        <w:spacing w:after="80" w:line="288"/>
      </w:pPr>
      <w:r>
        <w:rPr>
          <w:rFonts w:ascii="Calibri" w:cs="Calibri" w:eastAsia="Calibri" w:hAnsi="Calibri"/>
          <w:sz w:val="22"/>
          <w:szCs w:val="22"/>
        </w:rPr>
        <w:t xml:space="preserve">Resources: MATLAB (+ Statistics Toolbox), spreadsheet software, reference manager; no HOMER/Simulink needed.</w:t>
      </w:r>
    </w:p>
    <w:p>
      <w:pPr>
        <w:pStyle w:val="ListParagraph"/>
        <w:numPr>
          <w:ilvl w:val="0"/>
          <w:numId w:val="2"/>
        </w:numPr>
        <w:spacing w:after="80" w:line="288"/>
      </w:pPr>
      <w:r>
        <w:rPr>
          <w:rFonts w:ascii="Calibri" w:cs="Calibri" w:eastAsia="Calibri" w:hAnsi="Calibri"/>
          <w:sz w:val="22"/>
          <w:szCs w:val="22"/>
        </w:rPr>
        <w:t xml:space="preserve">Budget (rough, BDT): transport 8,000–15,000; printing 2,000–3,000; connectivity 1,000–2,000; incentive 0–10,000 (institution-dependent — [DATA REQUIRED]); software 0 (confirm university MATLAB license); contingency ~5,000.</w:t>
      </w:r>
    </w:p>
    <w:p>
      <w:pPr>
        <w:pStyle w:val="ListParagraph"/>
        <w:numPr>
          <w:ilvl w:val="0"/>
          <w:numId w:val="2"/>
        </w:numPr>
        <w:spacing w:after="80" w:line="288"/>
      </w:pPr>
      <w:r>
        <w:rPr>
          <w:rFonts w:ascii="Calibri" w:cs="Calibri" w:eastAsia="Calibri" w:hAnsi="Calibri"/>
          <w:sz w:val="22"/>
          <w:szCs w:val="22"/>
        </w:rPr>
        <w:t xml:space="preserve">Ethics: institutional approval (Wk 3) before pilot survey; informed consent, anonymization, minimal data collection, secure storage — non-negotiable gate in the schedule.</w:t>
      </w:r>
    </w:p>
    <w:p>
      <w:pPr>
        <w:pStyle w:val="ListParagraph"/>
        <w:numPr>
          <w:ilvl w:val="0"/>
          <w:numId w:val="2"/>
        </w:numPr>
        <w:spacing w:after="80" w:line="288"/>
      </w:pPr>
      <w:r>
        <w:rPr>
          <w:rFonts w:ascii="Calibri" w:cs="Calibri" w:eastAsia="Calibri" w:hAnsi="Calibri"/>
          <w:sz w:val="22"/>
          <w:szCs w:val="22"/>
        </w:rPr>
        <w:t xml:space="preserve">Limitations: smaller sample (60–80 vs. originally desired 100–150) and fewer cities; self-reported battery/price/usage data; no Bangladesh-specific NMC/LFP degradation measurements (literature-adapted coefficients used instead); simplified, not full-ISO, environmental assessment; some Bangladesh parameters (tariff, temperature, fleet size, emission factor) still to be sourced; “conventional Li-ion = NMC” to be confirmed against the actual local market, not assumed; aggressive 4-month timeline risks the recommended-tier modules.</w:t>
      </w:r>
    </w:p>
    <w:p>
      <w:pPr>
        <w:pStyle w:val="Heading1"/>
        <w:spacing w:after="140" w:before="300"/>
      </w:pPr>
      <w:r>
        <w:rPr>
          <w:rFonts w:ascii="Calibri" w:cs="Calibri" w:eastAsia="Calibri" w:hAnsi="Calibri"/>
          <w:b/>
          <w:bCs/>
          <w:color w:val="1F4E79"/>
          <w:sz w:val="28"/>
          <w:szCs w:val="28"/>
        </w:rPr>
        <w:t xml:space="preserve">Professor-Level Critical Review (Self-Assessment)</w:t>
      </w:r>
    </w:p>
    <w:p>
      <w:pPr>
        <w:spacing w:after="160" w:line="300"/>
        <w:jc w:val="both"/>
      </w:pPr>
      <w:r>
        <w:rPr>
          <w:rFonts w:ascii="Calibri" w:cs="Calibri" w:eastAsia="Calibri" w:hAnsi="Calibri"/>
          <w:b w:val="false"/>
          <w:bCs w:val="false"/>
          <w:i w:val="false"/>
          <w:iCs w:val="false"/>
          <w:sz w:val="22"/>
          <w:szCs w:val="22"/>
        </w:rPr>
        <w:t xml:space="preserve">Key risks a reviewer will raise, addressed directly: (1) sample size is adequate for descriptives/two-group comparisons but marginal for multi-predictor regression — stated as a limitation, not hidden; (2) NMC as “conventional Li-ion” is not yet confirmed for the Bangladesh market and will be verified in Phase 2–3 before being locked in; (3) the degradation model deliberately avoids fitting original Arrhenius parameters (infeasible without cell-testing equipment) in favor of literature-adapted multipliers — an explicit, defensible simplification; (4) Monte Carlo is correctly optional — useful (parameter uncertainty can exceed inter-technology differences [9]) but not essential to the core contribution; (5) the environmental analysis is explicitly simplified, not a full LCA, avoiding a common overclaiming pitfall; (6) a result showing lead-acid remains rational under current conditions (a possible “lead-acid trap”) is treated as a valid, publishable outcome, not a failed study — all eight hypotheses may be rejected without invalidating the research.</w:t>
      </w:r>
    </w:p>
    <w:p>
      <w:pPr>
        <w:pStyle w:val="Heading1"/>
        <w:spacing w:after="140" w:before="300"/>
      </w:pPr>
      <w:r>
        <w:rPr>
          <w:rFonts w:ascii="Calibri" w:cs="Calibri" w:eastAsia="Calibri" w:hAnsi="Calibri"/>
          <w:b/>
          <w:bCs/>
          <w:color w:val="1F4E79"/>
          <w:sz w:val="28"/>
          <w:szCs w:val="28"/>
        </w:rPr>
        <w:t xml:space="preserve">Target Journals (Verify Quartile Before Submission)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800"/>
        <w:gridCol w:w="3400"/>
      </w:tblGrid>
      <w:tr>
        <w:trPr>
          <w:tblHeader/>
        </w:trPr>
        <w:tc>
          <w:tcPr>
            <w:tcW w:type="dxa" w:w="68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Journal</w:t>
            </w:r>
          </w:p>
        </w:tc>
        <w:tc>
          <w:tcPr>
            <w:tcW w:type="dxa" w:w="3400"/>
            <w:shd w:fill="1F4E79" w:val="clear"/>
            <w:tcMar>
              <w:top w:type="dxa" w:w="40"/>
              <w:left w:type="dxa" w:w="90"/>
              <w:bottom w:type="dxa" w:w="40"/>
              <w:right w:type="dxa" w:w="90"/>
            </w:tcMar>
          </w:tcPr>
          <w:p>
            <w:r>
              <w:rPr>
                <w:rFonts w:ascii="Calibri" w:cs="Calibri" w:eastAsia="Calibri" w:hAnsi="Calibri"/>
                <w:b/>
                <w:bCs/>
                <w:color w:val="FFFFFF"/>
                <w:sz w:val="17"/>
                <w:szCs w:val="17"/>
              </w:rPr>
              <w:t xml:space="preserve">Fit</w:t>
            </w:r>
          </w:p>
        </w:tc>
      </w:tr>
      <w:tr>
        <w:tc>
          <w:tcPr>
            <w:tcW w:type="dxa" w:w="6800"/>
            <w:tcMar>
              <w:top w:type="dxa" w:w="40"/>
              <w:left w:type="dxa" w:w="90"/>
              <w:bottom w:type="dxa" w:w="40"/>
              <w:right w:type="dxa" w:w="90"/>
            </w:tcMar>
          </w:tcPr>
          <w:p>
            <w:r>
              <w:rPr>
                <w:rFonts w:ascii="Calibri" w:cs="Calibri" w:eastAsia="Calibri" w:hAnsi="Calibri"/>
                <w:sz w:val="17"/>
                <w:szCs w:val="17"/>
              </w:rPr>
              <w:t xml:space="preserve">Journal of Energy Storage (Elsevier, Q1 2024–25 SJR/JCR)</w:t>
            </w:r>
          </w:p>
        </w:tc>
        <w:tc>
          <w:tcPr>
            <w:tcW w:type="dxa" w:w="3400"/>
            <w:tcMar>
              <w:top w:type="dxa" w:w="40"/>
              <w:left w:type="dxa" w:w="90"/>
              <w:bottom w:type="dxa" w:w="40"/>
              <w:right w:type="dxa" w:w="90"/>
            </w:tcMar>
          </w:tcPr>
          <w:p>
            <w:r>
              <w:rPr>
                <w:rFonts w:ascii="Calibri" w:cs="Calibri" w:eastAsia="Calibri" w:hAnsi="Calibri"/>
                <w:sz w:val="17"/>
                <w:szCs w:val="17"/>
              </w:rPr>
              <w:t xml:space="preserve">Battery tech, degradation, techno-economics</w:t>
            </w:r>
          </w:p>
        </w:tc>
      </w:tr>
      <w:tr>
        <w:tc>
          <w:tcPr>
            <w:tcW w:type="dxa" w:w="6800"/>
            <w:shd w:fill="EEF3FA" w:val="clear"/>
            <w:tcMar>
              <w:top w:type="dxa" w:w="40"/>
              <w:left w:type="dxa" w:w="90"/>
              <w:bottom w:type="dxa" w:w="40"/>
              <w:right w:type="dxa" w:w="90"/>
            </w:tcMar>
          </w:tcPr>
          <w:p>
            <w:r>
              <w:rPr>
                <w:rFonts w:ascii="Calibri" w:cs="Calibri" w:eastAsia="Calibri" w:hAnsi="Calibri"/>
                <w:sz w:val="17"/>
                <w:szCs w:val="17"/>
              </w:rPr>
              <w:t xml:space="preserve">Sustainable Energy Technologies and Assessments (Elsevier, Q2 2025 JCR)</w:t>
            </w:r>
          </w:p>
        </w:tc>
        <w:tc>
          <w:tcPr>
            <w:tcW w:type="dxa" w:w="3400"/>
            <w:shd w:fill="EEF3FA" w:val="clear"/>
            <w:tcMar>
              <w:top w:type="dxa" w:w="40"/>
              <w:left w:type="dxa" w:w="90"/>
              <w:bottom w:type="dxa" w:w="40"/>
              <w:right w:type="dxa" w:w="90"/>
            </w:tcMar>
          </w:tcPr>
          <w:p>
            <w:r>
              <w:rPr>
                <w:rFonts w:ascii="Calibri" w:cs="Calibri" w:eastAsia="Calibri" w:hAnsi="Calibri"/>
                <w:sz w:val="17"/>
                <w:szCs w:val="17"/>
              </w:rPr>
              <w:t xml:space="preserve">Energy technology assessment, economics, policy</w:t>
            </w:r>
          </w:p>
        </w:tc>
      </w:tr>
      <w:tr>
        <w:tc>
          <w:tcPr>
            <w:tcW w:type="dxa" w:w="6800"/>
            <w:tcMar>
              <w:top w:type="dxa" w:w="40"/>
              <w:left w:type="dxa" w:w="90"/>
              <w:bottom w:type="dxa" w:w="40"/>
              <w:right w:type="dxa" w:w="90"/>
            </w:tcMar>
          </w:tcPr>
          <w:p>
            <w:r>
              <w:rPr>
                <w:rFonts w:ascii="Calibri" w:cs="Calibri" w:eastAsia="Calibri" w:hAnsi="Calibri"/>
                <w:sz w:val="17"/>
                <w:szCs w:val="17"/>
              </w:rPr>
              <w:t xml:space="preserve">World Electric Vehicle Journal (MDPI) — [DATA REQUIRED: verify quartile]</w:t>
            </w:r>
          </w:p>
        </w:tc>
        <w:tc>
          <w:tcPr>
            <w:tcW w:type="dxa" w:w="3400"/>
            <w:tcMar>
              <w:top w:type="dxa" w:w="40"/>
              <w:left w:type="dxa" w:w="90"/>
              <w:bottom w:type="dxa" w:w="40"/>
              <w:right w:type="dxa" w:w="90"/>
            </w:tcMar>
          </w:tcPr>
          <w:p>
            <w:r>
              <w:rPr>
                <w:rFonts w:ascii="Calibri" w:cs="Calibri" w:eastAsia="Calibri" w:hAnsi="Calibri"/>
                <w:sz w:val="17"/>
                <w:szCs w:val="17"/>
              </w:rPr>
              <w:t xml:space="preserve">EV batteries, developing-country e-mobility</w:t>
            </w:r>
          </w:p>
        </w:tc>
      </w:tr>
      <w:tr>
        <w:tc>
          <w:tcPr>
            <w:tcW w:type="dxa" w:w="6800"/>
            <w:shd w:fill="EEF3FA" w:val="clear"/>
            <w:tcMar>
              <w:top w:type="dxa" w:w="40"/>
              <w:left w:type="dxa" w:w="90"/>
              <w:bottom w:type="dxa" w:w="40"/>
              <w:right w:type="dxa" w:w="90"/>
            </w:tcMar>
          </w:tcPr>
          <w:p>
            <w:r>
              <w:rPr>
                <w:rFonts w:ascii="Calibri" w:cs="Calibri" w:eastAsia="Calibri" w:hAnsi="Calibri"/>
                <w:sz w:val="17"/>
                <w:szCs w:val="17"/>
              </w:rPr>
              <w:t xml:space="preserve">Energy for Sustainable Development (Elsevier) — [DATA REQUIRED: verify quartile]</w:t>
            </w:r>
          </w:p>
        </w:tc>
        <w:tc>
          <w:tcPr>
            <w:tcW w:type="dxa" w:w="3400"/>
            <w:shd w:fill="EEF3FA" w:val="clear"/>
            <w:tcMar>
              <w:top w:type="dxa" w:w="40"/>
              <w:left w:type="dxa" w:w="90"/>
              <w:bottom w:type="dxa" w:w="40"/>
              <w:right w:type="dxa" w:w="90"/>
            </w:tcMar>
          </w:tcPr>
          <w:p>
            <w:r>
              <w:rPr>
                <w:rFonts w:ascii="Calibri" w:cs="Calibri" w:eastAsia="Calibri" w:hAnsi="Calibri"/>
                <w:sz w:val="17"/>
                <w:szCs w:val="17"/>
              </w:rPr>
              <w:t xml:space="preserve">Developing-country energy/transport access</w:t>
            </w:r>
          </w:p>
        </w:tc>
      </w:tr>
      <w:tr>
        <w:tc>
          <w:tcPr>
            <w:tcW w:type="dxa" w:w="6800"/>
            <w:tcMar>
              <w:top w:type="dxa" w:w="40"/>
              <w:left w:type="dxa" w:w="90"/>
              <w:bottom w:type="dxa" w:w="40"/>
              <w:right w:type="dxa" w:w="90"/>
            </w:tcMar>
          </w:tcPr>
          <w:p>
            <w:r>
              <w:rPr>
                <w:rFonts w:ascii="Calibri" w:cs="Calibri" w:eastAsia="Calibri" w:hAnsi="Calibri"/>
                <w:sz w:val="17"/>
                <w:szCs w:val="17"/>
              </w:rPr>
              <w:t xml:space="preserve">Case Studies on Transport Policy (Elsevier) — [DATA REQUIRED: verify quartile]</w:t>
            </w:r>
          </w:p>
        </w:tc>
        <w:tc>
          <w:tcPr>
            <w:tcW w:type="dxa" w:w="3400"/>
            <w:tcMar>
              <w:top w:type="dxa" w:w="40"/>
              <w:left w:type="dxa" w:w="90"/>
              <w:bottom w:type="dxa" w:w="40"/>
              <w:right w:type="dxa" w:w="90"/>
            </w:tcMar>
          </w:tcPr>
          <w:p>
            <w:r>
              <w:rPr>
                <w:rFonts w:ascii="Calibri" w:cs="Calibri" w:eastAsia="Calibri" w:hAnsi="Calibri"/>
                <w:sz w:val="17"/>
                <w:szCs w:val="17"/>
              </w:rPr>
              <w:t xml:space="preserve">Informal/paratransit transport policy</w:t>
            </w:r>
          </w:p>
        </w:tc>
      </w:tr>
    </w:tbl>
    <w:p>
      <w:pPr>
        <w:spacing w:after="160" w:line="300"/>
        <w:jc w:val="both"/>
      </w:pPr>
      <w:r>
        <w:rPr>
          <w:rFonts w:ascii="Calibri" w:cs="Calibri" w:eastAsia="Calibri" w:hAnsi="Calibri"/>
          <w:b w:val="false"/>
          <w:bCs w:val="false"/>
          <w:i/>
          <w:iCs/>
          <w:sz w:val="22"/>
          <w:szCs w:val="22"/>
        </w:rPr>
        <w:t xml:space="preserve">Final choice deferred until actual novelty, methods, and results are known; not a submission commitment.</w:t>
      </w:r>
    </w:p>
    <w:p>
      <w:pPr>
        <w:pStyle w:val="Heading1"/>
        <w:spacing w:after="140" w:before="300"/>
      </w:pPr>
      <w:r>
        <w:rPr>
          <w:rFonts w:ascii="Calibri" w:cs="Calibri" w:eastAsia="Calibri" w:hAnsi="Calibri"/>
          <w:b/>
          <w:bCs/>
          <w:color w:val="1F4E79"/>
          <w:sz w:val="28"/>
          <w:szCs w:val="28"/>
        </w:rPr>
        <w:t xml:space="preserve">References (IEEE)</w:t>
      </w:r>
    </w:p>
    <w:p>
      <w:pPr>
        <w:spacing w:after="160" w:line="300"/>
        <w:jc w:val="both"/>
      </w:pPr>
      <w:r>
        <w:rPr>
          <w:rFonts w:ascii="Calibri" w:cs="Calibri" w:eastAsia="Calibri" w:hAnsi="Calibri"/>
          <w:b w:val="false"/>
          <w:bCs w:val="false"/>
          <w:i/>
          <w:iCs/>
          <w:sz w:val="22"/>
          <w:szCs w:val="22"/>
        </w:rPr>
        <w:t xml:space="preserve">Trimmed to sources that are each load-bearing for a specific claim in the text; duplicate/overlapping items (a second generic BEV-TCO paper, a second recycling news article, a second policy news article, and a second BUET-institutional source) were removed rather than kept for volume.</w:t>
      </w:r>
    </w:p>
    <w:p>
      <w:pPr>
        <w:spacing w:after="90" w:line="264"/>
        <w:ind w:left="340" w:hanging="340"/>
        <w:jc w:val="both"/>
      </w:pPr>
      <w:r>
        <w:rPr>
          <w:rFonts w:ascii="Calibri" w:cs="Calibri" w:eastAsia="Calibri" w:hAnsi="Calibri"/>
          <w:sz w:val="19"/>
          <w:szCs w:val="19"/>
        </w:rPr>
        <w:t xml:space="preserve">[1] </w:t>
      </w:r>
      <w:r>
        <w:rPr>
          <w:rFonts w:ascii="Calibri" w:cs="Calibri" w:eastAsia="Calibri" w:hAnsi="Calibri"/>
          <w:sz w:val="19"/>
          <w:szCs w:val="19"/>
        </w:rPr>
        <w:t xml:space="preserve">“Experimental Study on Lead Acid Battery Driven E-Rickshaw Performance Using Capacitor Bank,” J. New Mater. Electrochem. Syst., IIETA, DOI:10.14447/jnmes.v27i1.a05.</w:t>
      </w:r>
    </w:p>
    <w:p>
      <w:pPr>
        <w:spacing w:after="90" w:line="264"/>
        <w:ind w:left="340" w:hanging="340"/>
        <w:jc w:val="both"/>
      </w:pPr>
      <w:r>
        <w:rPr>
          <w:rFonts w:ascii="Calibri" w:cs="Calibri" w:eastAsia="Calibri" w:hAnsi="Calibri"/>
          <w:sz w:val="19"/>
          <w:szCs w:val="19"/>
        </w:rPr>
        <w:t xml:space="preserve">[2] </w:t>
      </w:r>
      <w:r>
        <w:rPr>
          <w:rFonts w:ascii="Calibri" w:cs="Calibri" w:eastAsia="Calibri" w:hAnsi="Calibri"/>
          <w:sz w:val="19"/>
          <w:szCs w:val="19"/>
        </w:rPr>
        <w:t xml:space="preserve">“Effect of fast charging and equalization on the reliability and cycle life of lead acid batteries,” J. Energy Storage, Elsevier, 2022.</w:t>
      </w:r>
    </w:p>
    <w:p>
      <w:pPr>
        <w:spacing w:after="90" w:line="264"/>
        <w:ind w:left="340" w:hanging="340"/>
        <w:jc w:val="both"/>
      </w:pPr>
      <w:r>
        <w:rPr>
          <w:rFonts w:ascii="Calibri" w:cs="Calibri" w:eastAsia="Calibri" w:hAnsi="Calibri"/>
          <w:sz w:val="19"/>
          <w:szCs w:val="19"/>
        </w:rPr>
        <w:t xml:space="preserve">[3] </w:t>
      </w:r>
      <w:r>
        <w:rPr>
          <w:rFonts w:ascii="Calibri" w:cs="Calibri" w:eastAsia="Calibri" w:hAnsi="Calibri"/>
          <w:sz w:val="19"/>
          <w:szCs w:val="19"/>
        </w:rPr>
        <w:t xml:space="preserve">“Techno–economic and environmental impact analysis of electric two-wheeler batteries in India,” Clean Energy, Oxford Academic, vol. 8, no. 3, 2024–25.</w:t>
      </w:r>
    </w:p>
    <w:p>
      <w:pPr>
        <w:spacing w:after="90" w:line="264"/>
        <w:ind w:left="340" w:hanging="340"/>
        <w:jc w:val="both"/>
      </w:pPr>
      <w:r>
        <w:rPr>
          <w:rFonts w:ascii="Calibri" w:cs="Calibri" w:eastAsia="Calibri" w:hAnsi="Calibri"/>
          <w:sz w:val="19"/>
          <w:szCs w:val="19"/>
        </w:rPr>
        <w:t xml:space="preserve">[4] </w:t>
      </w:r>
      <w:r>
        <w:rPr>
          <w:rFonts w:ascii="Calibri" w:cs="Calibri" w:eastAsia="Calibri" w:hAnsi="Calibri"/>
          <w:sz w:val="19"/>
          <w:szCs w:val="19"/>
        </w:rPr>
        <w:t xml:space="preserve">“Bi-linear capacity decay and internal resistance increase of LFP cell in electric-rickshaw application,” Elsevier (ScienceDirect), 2024–25.</w:t>
      </w:r>
    </w:p>
    <w:p>
      <w:pPr>
        <w:spacing w:after="90" w:line="264"/>
        <w:ind w:left="340" w:hanging="340"/>
        <w:jc w:val="both"/>
      </w:pPr>
      <w:r>
        <w:rPr>
          <w:rFonts w:ascii="Calibri" w:cs="Calibri" w:eastAsia="Calibri" w:hAnsi="Calibri"/>
          <w:sz w:val="19"/>
          <w:szCs w:val="19"/>
        </w:rPr>
        <w:t xml:space="preserve">[5] </w:t>
      </w:r>
      <w:r>
        <w:rPr>
          <w:rFonts w:ascii="Calibri" w:cs="Calibri" w:eastAsia="Calibri" w:hAnsi="Calibri"/>
          <w:sz w:val="19"/>
          <w:szCs w:val="19"/>
        </w:rPr>
        <w:t xml:space="preserve">M. Iqbal, S. Akhter, S. Ahmad, “Battery Operated Easy Bike vs. CNG Auto Rickshaw at Sylhet City, Bangladesh,” 2013.</w:t>
      </w:r>
    </w:p>
    <w:p>
      <w:pPr>
        <w:spacing w:after="90" w:line="264"/>
        <w:ind w:left="340" w:hanging="340"/>
        <w:jc w:val="both"/>
      </w:pPr>
      <w:r>
        <w:rPr>
          <w:rFonts w:ascii="Calibri" w:cs="Calibri" w:eastAsia="Calibri" w:hAnsi="Calibri"/>
          <w:sz w:val="19"/>
          <w:szCs w:val="19"/>
        </w:rPr>
        <w:t xml:space="preserve">[6] </w:t>
      </w:r>
      <w:r>
        <w:rPr>
          <w:rFonts w:ascii="Calibri" w:cs="Calibri" w:eastAsia="Calibri" w:hAnsi="Calibri"/>
          <w:sz w:val="19"/>
          <w:szCs w:val="19"/>
        </w:rPr>
        <w:t xml:space="preserve">“A Case Study on E-rickshaws in Rangpur City, Bangladesh,” J. Bangladesh Institute of Planners, vol. 12, pp. 55–64, 2019.</w:t>
      </w:r>
    </w:p>
    <w:p>
      <w:pPr>
        <w:spacing w:after="90" w:line="264"/>
        <w:ind w:left="340" w:hanging="340"/>
        <w:jc w:val="both"/>
      </w:pPr>
      <w:r>
        <w:rPr>
          <w:rFonts w:ascii="Calibri" w:cs="Calibri" w:eastAsia="Calibri" w:hAnsi="Calibri"/>
          <w:sz w:val="19"/>
          <w:szCs w:val="19"/>
        </w:rPr>
        <w:t xml:space="preserve">[7] </w:t>
      </w:r>
      <w:r>
        <w:rPr>
          <w:rFonts w:ascii="Calibri" w:cs="Calibri" w:eastAsia="Calibri" w:hAnsi="Calibri"/>
          <w:sz w:val="19"/>
          <w:szCs w:val="19"/>
        </w:rPr>
        <w:t xml:space="preserve">S. Ahmad, A. Al Amin, “The rise of battery-run rickshaws in Bangladesh,” Intent Research Center, Oct. 2025.</w:t>
      </w:r>
    </w:p>
    <w:p>
      <w:pPr>
        <w:spacing w:after="90" w:line="264"/>
        <w:ind w:left="340" w:hanging="340"/>
        <w:jc w:val="both"/>
      </w:pPr>
      <w:r>
        <w:rPr>
          <w:rFonts w:ascii="Calibri" w:cs="Calibri" w:eastAsia="Calibri" w:hAnsi="Calibri"/>
          <w:sz w:val="19"/>
          <w:szCs w:val="19"/>
        </w:rPr>
        <w:t xml:space="preserve">[8] </w:t>
      </w:r>
      <w:r>
        <w:rPr>
          <w:rFonts w:ascii="Calibri" w:cs="Calibri" w:eastAsia="Calibri" w:hAnsi="Calibri"/>
          <w:sz w:val="19"/>
          <w:szCs w:val="19"/>
        </w:rPr>
        <w:t xml:space="preserve">“Used EV batteries could be used for rickshaws in Bangladesh,” WMG, Univ. of Warwick, Nov. 2019.</w:t>
      </w:r>
    </w:p>
    <w:p>
      <w:pPr>
        <w:spacing w:after="90" w:line="264"/>
        <w:ind w:left="340" w:hanging="340"/>
        <w:jc w:val="both"/>
      </w:pPr>
      <w:r>
        <w:rPr>
          <w:rFonts w:ascii="Calibri" w:cs="Calibri" w:eastAsia="Calibri" w:hAnsi="Calibri"/>
          <w:sz w:val="19"/>
          <w:szCs w:val="19"/>
        </w:rPr>
        <w:t xml:space="preserve">[9] </w:t>
      </w:r>
      <w:r>
        <w:rPr>
          <w:rFonts w:ascii="Calibri" w:cs="Calibri" w:eastAsia="Calibri" w:hAnsi="Calibri"/>
          <w:sz w:val="19"/>
          <w:szCs w:val="19"/>
        </w:rPr>
        <w:t xml:space="preserve">B. Battke et al., “Review and probabilistic model of lifecycle costs of stationary batteries,” Renew. Sustain. Energy Rev., vol. 25, pp. 240–250, 2013.</w:t>
      </w:r>
    </w:p>
    <w:p>
      <w:pPr>
        <w:spacing w:after="90" w:line="264"/>
        <w:ind w:left="340" w:hanging="340"/>
        <w:jc w:val="both"/>
      </w:pPr>
      <w:r>
        <w:rPr>
          <w:rFonts w:ascii="Calibri" w:cs="Calibri" w:eastAsia="Calibri" w:hAnsi="Calibri"/>
          <w:sz w:val="19"/>
          <w:szCs w:val="19"/>
        </w:rPr>
        <w:t xml:space="preserve">[10] </w:t>
      </w:r>
      <w:r>
        <w:rPr>
          <w:rFonts w:ascii="Calibri" w:cs="Calibri" w:eastAsia="Calibri" w:hAnsi="Calibri"/>
          <w:sz w:val="19"/>
          <w:szCs w:val="19"/>
        </w:rPr>
        <w:t xml:space="preserve">J. Hagman et al., “Total cost of ownership and its implications for BEV diffusion,” Res. Transp. Bus. Manag., vol. 18, 2016.</w:t>
      </w:r>
    </w:p>
    <w:p>
      <w:pPr>
        <w:spacing w:after="90" w:line="264"/>
        <w:ind w:left="340" w:hanging="340"/>
        <w:jc w:val="both"/>
      </w:pPr>
      <w:r>
        <w:rPr>
          <w:rFonts w:ascii="Calibri" w:cs="Calibri" w:eastAsia="Calibri" w:hAnsi="Calibri"/>
          <w:sz w:val="19"/>
          <w:szCs w:val="19"/>
        </w:rPr>
        <w:t xml:space="preserve">[11] </w:t>
      </w:r>
      <w:r>
        <w:rPr>
          <w:rFonts w:ascii="Calibri" w:cs="Calibri" w:eastAsia="Calibri" w:hAnsi="Calibri"/>
          <w:sz w:val="19"/>
          <w:szCs w:val="19"/>
        </w:rPr>
        <w:t xml:space="preserve">“Total Cost of Ownership of Electric Vehicles: A Synthesis of Critical Factors,” IET/Wiley, DOI:10.1049/tje2.70113, 2024–25.</w:t>
      </w:r>
    </w:p>
    <w:p>
      <w:pPr>
        <w:spacing w:after="90" w:line="264"/>
        <w:ind w:left="340" w:hanging="340"/>
        <w:jc w:val="both"/>
      </w:pPr>
      <w:r>
        <w:rPr>
          <w:rFonts w:ascii="Calibri" w:cs="Calibri" w:eastAsia="Calibri" w:hAnsi="Calibri"/>
          <w:sz w:val="19"/>
          <w:szCs w:val="19"/>
        </w:rPr>
        <w:t xml:space="preserve">[12] </w:t>
      </w:r>
      <w:r>
        <w:rPr>
          <w:rFonts w:ascii="Calibri" w:cs="Calibri" w:eastAsia="Calibri" w:hAnsi="Calibri"/>
          <w:sz w:val="19"/>
          <w:szCs w:val="19"/>
        </w:rPr>
        <w:t xml:space="preserve">“Battery Asset Management with Cycle Life Prognosis,” arXiv:2011.14903.</w:t>
      </w:r>
    </w:p>
    <w:p>
      <w:pPr>
        <w:spacing w:after="90" w:line="264"/>
        <w:ind w:left="340" w:hanging="340"/>
        <w:jc w:val="both"/>
      </w:pPr>
      <w:r>
        <w:rPr>
          <w:rFonts w:ascii="Calibri" w:cs="Calibri" w:eastAsia="Calibri" w:hAnsi="Calibri"/>
          <w:sz w:val="19"/>
          <w:szCs w:val="19"/>
        </w:rPr>
        <w:t xml:space="preserve">[13] </w:t>
      </w:r>
      <w:r>
        <w:rPr>
          <w:rFonts w:ascii="Calibri" w:cs="Calibri" w:eastAsia="Calibri" w:hAnsi="Calibri"/>
          <w:sz w:val="19"/>
          <w:szCs w:val="19"/>
        </w:rPr>
        <w:t xml:space="preserve">UNEP, “Used Lead-Acid Batteries (ULAB): Waste and Lead,” incl. Bangladesh pilot project.</w:t>
      </w:r>
    </w:p>
    <w:p>
      <w:pPr>
        <w:spacing w:after="90" w:line="264"/>
        <w:ind w:left="340" w:hanging="340"/>
        <w:jc w:val="both"/>
      </w:pPr>
      <w:r>
        <w:rPr>
          <w:rFonts w:ascii="Calibri" w:cs="Calibri" w:eastAsia="Calibri" w:hAnsi="Calibri"/>
          <w:sz w:val="19"/>
          <w:szCs w:val="19"/>
        </w:rPr>
        <w:t xml:space="preserve">[14] </w:t>
      </w:r>
      <w:r>
        <w:rPr>
          <w:rFonts w:ascii="Calibri" w:cs="Calibri" w:eastAsia="Calibri" w:hAnsi="Calibri"/>
          <w:sz w:val="19"/>
          <w:szCs w:val="19"/>
        </w:rPr>
        <w:t xml:space="preserve">“Govt readies rules to pave way for electric vehicles,” The Daily Star.</w:t>
      </w:r>
    </w:p>
    <w:p>
      <w:pPr>
        <w:spacing w:after="90" w:line="264"/>
        <w:ind w:left="340" w:hanging="340"/>
        <w:jc w:val="both"/>
      </w:pPr>
      <w:r>
        <w:rPr>
          <w:rFonts w:ascii="Calibri" w:cs="Calibri" w:eastAsia="Calibri" w:hAnsi="Calibri"/>
          <w:sz w:val="19"/>
          <w:szCs w:val="19"/>
        </w:rPr>
        <w:t xml:space="preserve">[15] </w:t>
      </w:r>
      <w:r>
        <w:rPr>
          <w:rFonts w:ascii="Calibri" w:cs="Calibri" w:eastAsia="Calibri" w:hAnsi="Calibri"/>
          <w:sz w:val="19"/>
          <w:szCs w:val="19"/>
        </w:rPr>
        <w:t xml:space="preserve">“EV incentives unveiled in Bangladesh as BYD eyes expansion,” electrive.com, Jun. 2026.</w:t>
      </w:r>
    </w:p>
    <w:p>
      <w:pPr>
        <w:spacing w:after="90" w:line="264"/>
        <w:ind w:left="340" w:hanging="340"/>
        <w:jc w:val="both"/>
      </w:pPr>
      <w:r>
        <w:rPr>
          <w:rFonts w:ascii="Calibri" w:cs="Calibri" w:eastAsia="Calibri" w:hAnsi="Calibri"/>
          <w:sz w:val="19"/>
          <w:szCs w:val="19"/>
        </w:rPr>
        <w:t xml:space="preserve">[16] </w:t>
      </w:r>
      <w:r>
        <w:rPr>
          <w:rFonts w:ascii="Calibri" w:cs="Calibri" w:eastAsia="Calibri" w:hAnsi="Calibri"/>
          <w:sz w:val="19"/>
          <w:szCs w:val="19"/>
        </w:rPr>
        <w:t xml:space="preserve">“Battery rickshaws: From transport solution to menace on Dhaka roads,” The Business Standard, 2026 (citing a 2025 BUET fleet estimate).</w:t>
      </w:r>
    </w:p>
    <w:p>
      <w:pPr>
        <w:spacing w:after="90" w:line="264"/>
        <w:ind w:left="340" w:hanging="340"/>
        <w:jc w:val="both"/>
      </w:pPr>
      <w:r>
        <w:rPr>
          <w:rFonts w:ascii="Calibri" w:cs="Calibri" w:eastAsia="Calibri" w:hAnsi="Calibri"/>
          <w:sz w:val="19"/>
          <w:szCs w:val="19"/>
        </w:rPr>
        <w:t xml:space="preserve">[17] </w:t>
      </w:r>
      <w:r>
        <w:rPr>
          <w:rFonts w:ascii="Calibri" w:cs="Calibri" w:eastAsia="Calibri" w:hAnsi="Calibri"/>
          <w:sz w:val="19"/>
          <w:szCs w:val="19"/>
        </w:rPr>
        <w:t xml:space="preserve">cmbatteries.com, sunlithenergy.com, anernstore.com, industry technical comparison pages on LFP vs. NMC cycle life and temperature sensitivity (non-peer-reviewed; retained only because it is the source of a specific LFP-vs-NMC comparison claim in the text and must be corroborated with peer-reviewed sources in Phase 1).</w:t>
      </w:r>
    </w:p>
    <w:p>
      <w:pPr>
        <w:spacing w:after="90" w:line="264"/>
        <w:ind w:left="340" w:hanging="340"/>
        <w:jc w:val="both"/>
      </w:pPr>
      <w:r>
        <w:rPr>
          <w:rFonts w:ascii="Calibri" w:cs="Calibri" w:eastAsia="Calibri" w:hAnsi="Calibri"/>
          <w:sz w:val="19"/>
          <w:szCs w:val="19"/>
        </w:rPr>
        <w:t xml:space="preserve">[18] </w:t>
      </w:r>
      <w:r>
        <w:rPr>
          <w:rFonts w:ascii="Calibri" w:cs="Calibri" w:eastAsia="Calibri" w:hAnsi="Calibri"/>
          <w:sz w:val="19"/>
          <w:szCs w:val="19"/>
        </w:rPr>
        <w:t xml:space="preserve">Y. Han et al., “Optimal Operating Strategy for Battery Life Cycle Costs in EVs,” J. Appl. Math., vol. 2014, 2014.</w:t>
      </w:r>
    </w:p>
    <w:p>
      <w:pPr>
        <w:spacing w:after="90" w:line="264"/>
        <w:ind w:left="340" w:hanging="340"/>
        <w:jc w:val="both"/>
      </w:pPr>
      <w:r>
        <w:rPr>
          <w:rFonts w:ascii="Calibri" w:cs="Calibri" w:eastAsia="Calibri" w:hAnsi="Calibri"/>
          <w:sz w:val="19"/>
          <w:szCs w:val="19"/>
        </w:rPr>
        <w:t xml:space="preserve">[19] </w:t>
      </w:r>
      <w:r>
        <w:rPr>
          <w:rFonts w:ascii="Calibri" w:cs="Calibri" w:eastAsia="Calibri" w:hAnsi="Calibri"/>
          <w:sz w:val="19"/>
          <w:szCs w:val="19"/>
        </w:rPr>
        <w:t xml:space="preserve">“Bayesian Monte Carlo-assisted LCA of LFP battery production under uncertainty,” Green Manuf. Open, vol. 2, no. 18, 2024.</w:t>
      </w:r>
    </w:p>
    <w:p>
      <w:pPr>
        <w:spacing w:after="90" w:line="264"/>
        <w:ind w:left="340" w:hanging="340"/>
        <w:jc w:val="both"/>
      </w:pPr>
      <w:r>
        <w:rPr>
          <w:rFonts w:ascii="Calibri" w:cs="Calibri" w:eastAsia="Calibri" w:hAnsi="Calibri"/>
          <w:sz w:val="19"/>
          <w:szCs w:val="19"/>
        </w:rPr>
        <w:t xml:space="preserve">[20] </w:t>
      </w:r>
      <w:r>
        <w:rPr>
          <w:rFonts w:ascii="Calibri" w:cs="Calibri" w:eastAsia="Calibri" w:hAnsi="Calibri"/>
          <w:sz w:val="19"/>
          <w:szCs w:val="19"/>
        </w:rPr>
        <w:t xml:space="preserve">M. A. H. Mondal et al., “Future choice of technologies and co-benefits of CO2 reduction in Bangladesh power sector,” Energy, vol. 35, no. 12, 2010.</w:t>
      </w:r>
    </w:p>
    <w:p>
      <w:pPr>
        <w:spacing w:after="160" w:line="300"/>
        <w:jc w:val="both"/>
      </w:pPr>
      <w:r>
        <w:rPr>
          <w:rFonts w:ascii="Calibri" w:cs="Calibri" w:eastAsia="Calibri" w:hAnsi="Calibri"/>
          <w:b w:val="false"/>
          <w:bCs w:val="false"/>
          <w:i/>
          <w:iCs/>
          <w:sz w:val="22"/>
          <w:szCs w:val="22"/>
        </w:rPr>
        <w:t xml:space="preserve">Entries [1]–[4], [9]–[12], [18]–[20]: peer-reviewed journal articles / archival preprints. [5]–[8],[16]: Bangladesh-specific academic/institutional sources, to be corroborated during the Phase-1 literature review. [13]–[15]: institutional/news sources, appropriate for policy/recycling context, not technical battery parameters. [17]: explicitly non-peer-reviewed industry material, kept only for one specific technical claim. Nothing above is invented; unknown values are marked [DATA REQUIRED] in the body text instead.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2026-09-05T03:46:53.366Z</dcterms:created>
  <dcterms:modified xsi:type="dcterms:W3CDTF">2026-09-05T03:46:53.367Z</dcterms:modified>
</cp:coreProperties>
</file>

<file path=docProps/custom.xml><?xml version="1.0" encoding="utf-8"?>
<Properties xmlns="http://schemas.openxmlformats.org/officeDocument/2006/custom-properties" xmlns:vt="http://schemas.openxmlformats.org/officeDocument/2006/docPropsVTypes"/>
</file>