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Calibri" w:cs="Calibri" w:eastAsia="Calibri" w:hAnsi="Calibri"/>
          <w:b/>
          <w:bCs/>
          <w:color w:val="1F4E79"/>
          <w:sz w:val="24"/>
          <w:szCs w:val="24"/>
        </w:rPr>
        <w:t xml:space="preserve">RESEARCH PROPOSAL</w:t>
      </w:r>
    </w:p>
    <w:p>
      <w:pPr>
        <w:spacing w:after="300"/>
        <w:jc w:val="center"/>
      </w:pPr>
      <w:r>
        <w:rPr>
          <w:rFonts w:ascii="Calibri" w:cs="Calibri" w:eastAsia="Calibri" w:hAnsi="Calibri"/>
          <w:b/>
          <w:bCs/>
          <w:sz w:val="32"/>
          <w:szCs w:val="32"/>
        </w:rPr>
        <w:t xml:space="preserve">A Bangladesh-Specific Techno-Economic, Degradation, Energy, Environmental, and Policy Assessment of Lead-Acid, NMC Lithium-Ion, and LFP Batteries for Electric Easy-Bikes</w:t>
      </w:r>
    </w:p>
    <w:p>
      <w:pPr>
        <w:spacing w:after="140" w:line="276"/>
        <w:jc w:val="center"/>
      </w:pPr>
      <w:r>
        <w:rPr>
          <w:rFonts w:ascii="Calibri" w:cs="Calibri" w:eastAsia="Calibri" w:hAnsi="Calibri"/>
          <w:b w:val="false"/>
          <w:bCs w:val="false"/>
          <w:i/>
          <w:iCs/>
          <w:sz w:val="21"/>
          <w:szCs w:val="21"/>
        </w:rPr>
        <w:t xml:space="preserve">(Working title — see Section 23, Professor-Level Critical Review, for the recommended final title)</w:t>
      </w:r>
    </w:p>
    <w:p>
      <w:pPr>
        <w:spacing w:after="80" w:before="500"/>
        <w:jc w:val="center"/>
      </w:pPr>
      <w:r>
        <w:rPr>
          <w:rFonts w:ascii="Calibri" w:cs="Calibri" w:eastAsia="Calibri" w:hAnsi="Calibri"/>
          <w:sz w:val="22"/>
          <w:szCs w:val="22"/>
        </w:rPr>
        <w:t xml:space="preserve">Submitted as a Master's-level research proposal</w:t>
      </w:r>
    </w:p>
    <w:p>
      <w:pPr>
        <w:spacing w:after="80"/>
        <w:jc w:val="center"/>
      </w:pPr>
      <w:r>
        <w:rPr>
          <w:rFonts w:ascii="Calibri" w:cs="Calibri" w:eastAsia="Calibri" w:hAnsi="Calibri"/>
          <w:sz w:val="22"/>
          <w:szCs w:val="22"/>
        </w:rPr>
        <w:t xml:space="preserve">Department of Electrical and Electronic Engineering</w:t>
      </w:r>
    </w:p>
    <w:p>
      <w:pPr>
        <w:spacing w:after="500"/>
        <w:jc w:val="center"/>
      </w:pPr>
      <w:r>
        <w:rPr>
          <w:rFonts w:ascii="Calibri" w:cs="Calibri" w:eastAsia="Calibri" w:hAnsi="Calibri"/>
          <w:i/>
          <w:iCs/>
          <w:sz w:val="21"/>
          <w:szCs w:val="21"/>
        </w:rPr>
        <w:t xml:space="preserve">Proposed duration: 16 weeks (4 months)  |  Prepared for supervisor review and approval</w:t>
      </w:r>
    </w:p>
    <w:p>
      <w:pPr>
        <w:spacing w:before="900"/>
        <w:jc w:val="center"/>
      </w:pPr>
      <w:r>
        <w:rPr>
          <w:rFonts w:ascii="Calibri" w:cs="Calibri" w:eastAsia="Calibri" w:hAnsi="Calibri"/>
          <w:i/>
          <w:iCs/>
          <w:sz w:val="20"/>
          <w:szCs w:val="20"/>
        </w:rPr>
        <w:t xml:space="preserve">Reference style: IEEE (numbered, order of first appearance)</w:t>
      </w:r>
    </w:p>
    <w:p>
      <w:r>
        <w:br w:type="page"/>
      </w:r>
    </w:p>
    <w:p>
      <w:pPr>
        <w:pStyle w:val="Heading1"/>
        <w:spacing w:after="160" w:before="320"/>
      </w:pPr>
      <w:r>
        <w:rPr>
          <w:rFonts w:ascii="Calibri" w:cs="Calibri" w:eastAsia="Calibri" w:hAnsi="Calibri"/>
          <w:b/>
          <w:bCs/>
          <w:color w:val="1F4E79"/>
          <w:sz w:val="28"/>
          <w:szCs w:val="28"/>
        </w:rPr>
        <w:t xml:space="preserve">Abstract</w:t>
      </w:r>
    </w:p>
    <w:p>
      <w:pPr>
        <w:spacing w:after="140" w:line="276"/>
        <w:jc w:val="both"/>
      </w:pPr>
      <w:r>
        <w:rPr>
          <w:rFonts w:ascii="Calibri" w:cs="Calibri" w:eastAsia="Calibri" w:hAnsi="Calibri"/>
          <w:b w:val="false"/>
          <w:bCs w:val="false"/>
          <w:i w:val="false"/>
          <w:iCs w:val="false"/>
          <w:sz w:val="21"/>
          <w:szCs w:val="21"/>
        </w:rPr>
        <w:t xml:space="preserve">Electric easy-bikes and e-rickshaws are now one of the dominant modes of informal urban transport in Bangladesh, and the great majority are powered by lead-acid batteries despite their short service life, low efficiency, and frequent replacement [5]–[8]. Lithium-based alternatives — conventional nickel-manganese-cobalt (NMC) lithium-ion and lithium iron phosphate (LFP) — are technically superior on several dimensions but carry a much higher purchase price, and their suitability for Bangladesh's hot, high-utilization, informal operating environment has not been established with local field evidence. This proposal outlines a Master's-level research project that will develop a Bangladesh-specific techno-economic, degradation, energy, environmental, and policy assessment framework comparing lead-acid, NMC, and LFP batteries for electric easy-bikes. The study integrates a structured operator survey (target 60–100 respondents across two to three cities) with secondary data from government and regulatory sources, a MATLAB-based energy–degradation–lifetime model, discounted total-cost-of-ownership (TCO) analysis over 5-year and 10-year horizons, break-even and sensitivity analysis, a simplified lifecycle-oriented environmental comparison, and policy-scenario evaluation. Rather than assuming lithium technology is automatically superior, the research is designed to determine the operating, economic, and policy conditions under which each battery technology becomes preferable. The work is scoped to be feasible within a 16-week (four-month) timeline for a single Master's researcher, with recommended and optional analyses (Monte Carlo uncertainty quantification, national-scale extrapolation, expanded policy scenarios) clearly separated from the essential core so the project remains deliverable under time or data constraints. Expected outputs include a validated comparative battery model, a Bangladesh-specific parameter database, and evidence-based policy recommendations; the study's eventual suitability for a Q1/Q2 journal will depend on the strength of the data and results actually obtained.</w:t>
      </w:r>
    </w:p>
    <w:p>
      <w:r>
        <w:br w:type="page"/>
      </w:r>
    </w:p>
    <w:p>
      <w:pPr>
        <w:pStyle w:val="Heading1"/>
        <w:spacing w:after="160" w:before="320"/>
      </w:pPr>
      <w:r>
        <w:rPr>
          <w:rFonts w:ascii="Calibri" w:cs="Calibri" w:eastAsia="Calibri" w:hAnsi="Calibri"/>
          <w:b/>
          <w:bCs/>
          <w:color w:val="1F4E79"/>
          <w:sz w:val="28"/>
          <w:szCs w:val="28"/>
        </w:rPr>
        <w:t xml:space="preserve">1. Introduction</w:t>
      </w:r>
    </w:p>
    <w:p>
      <w:pPr>
        <w:spacing w:after="140" w:line="276"/>
        <w:jc w:val="both"/>
      </w:pPr>
      <w:r>
        <w:rPr>
          <w:rFonts w:ascii="Calibri" w:cs="Calibri" w:eastAsia="Calibri" w:hAnsi="Calibri"/>
          <w:b w:val="false"/>
          <w:bCs w:val="false"/>
          <w:i w:val="false"/>
          <w:iCs w:val="false"/>
          <w:sz w:val="21"/>
          <w:szCs w:val="21"/>
        </w:rPr>
        <w:t xml:space="preserve">Battery-powered three-wheelers, locally called easy-bikes or e-rickshaws, have expanded rapidly across Bangladesh's cities since the mid-2000s, evolving from modified pedal rickshaws fitted with car batteries into a distinct para-transit mode that now numbers in the hundreds of thousands to over a million vehicles nationally by various estimates [7], [19]. A 2025 BUET-cited estimate placed the number of battery-powered rickshaws in Dhaka alone above 600,000, with some independent estimates closer to one million [19].</w:t>
      </w:r>
    </w:p>
    <w:p>
      <w:pPr>
        <w:spacing w:after="140" w:line="276"/>
        <w:jc w:val="both"/>
      </w:pPr>
      <w:r>
        <w:rPr>
          <w:rFonts w:ascii="Calibri" w:cs="Calibri" w:eastAsia="Calibri" w:hAnsi="Calibri"/>
          <w:b w:val="false"/>
          <w:bCs w:val="false"/>
          <w:i w:val="false"/>
          <w:iCs w:val="false"/>
          <w:sz w:val="21"/>
          <w:szCs w:val="21"/>
        </w:rPr>
        <w:t xml:space="preserve">The battery is the single most consequential component of an easy-bike's economics: it determines daily range, charging cost, replacement frequency, and a large share of the vehicle's total operating cost. The overwhelming majority of these vehicles are currently powered by flooded or VRLA lead-acid batteries because of their low upfront cost, wide availability, and established repair ecosystem [4], [8]. However, field and laboratory evidence consistently reports short service lives for these batteries — sometimes only six to twelve months under high-utilization informal conditions [9] — driven by deep discharge cycling, poor charging practices, vibration damage, and heat [4], [8].</w:t>
      </w:r>
    </w:p>
    <w:p>
      <w:pPr>
        <w:spacing w:after="140" w:line="276"/>
        <w:jc w:val="both"/>
      </w:pPr>
      <w:r>
        <w:rPr>
          <w:rFonts w:ascii="Calibri" w:cs="Calibri" w:eastAsia="Calibri" w:hAnsi="Calibri"/>
          <w:b w:val="false"/>
          <w:bCs w:val="false"/>
          <w:i w:val="false"/>
          <w:iCs w:val="false"/>
          <w:sz w:val="21"/>
          <w:szCs w:val="21"/>
        </w:rPr>
        <w:t xml:space="preserve">Lithium-based batteries — conventional NMC lithium-ion and LFP — are increasingly proposed as replacements. Global comparative evidence indicates LFP typically offers substantially longer cycle life and better high-temperature stability than NMC, while NMC offers higher energy density [10]–[13]. Both, however, carry a materially higher purchase price than lead-acid, and their real-world performance and economic viability specifically within Bangladesh's easy-bike sector — hot climate, deep and irregular discharge, informal charging infrastructure, and an active lead-acid resale/scrap market — has not been comprehensively evaluated with local data.</w:t>
      </w:r>
    </w:p>
    <w:p>
      <w:pPr>
        <w:spacing w:after="140" w:line="276"/>
        <w:jc w:val="both"/>
      </w:pPr>
      <w:r>
        <w:rPr>
          <w:rFonts w:ascii="Calibri" w:cs="Calibri" w:eastAsia="Calibri" w:hAnsi="Calibri"/>
          <w:b w:val="false"/>
          <w:bCs w:val="false"/>
          <w:i w:val="false"/>
          <w:iCs w:val="false"/>
          <w:sz w:val="21"/>
          <w:szCs w:val="21"/>
        </w:rPr>
        <w:t xml:space="preserve">This proposal sets out a feasible, evidence-based, and intentionally neutral research plan to answer that question for a Master's-level project, without assuming in advance which technology “wins.”</w:t>
      </w:r>
    </w:p>
    <w:p>
      <w:pPr>
        <w:pStyle w:val="Heading1"/>
        <w:spacing w:after="160" w:before="320"/>
      </w:pPr>
      <w:r>
        <w:rPr>
          <w:rFonts w:ascii="Calibri" w:cs="Calibri" w:eastAsia="Calibri" w:hAnsi="Calibri"/>
          <w:b/>
          <w:bCs/>
          <w:color w:val="1F4E79"/>
          <w:sz w:val="28"/>
          <w:szCs w:val="28"/>
        </w:rPr>
        <w:t xml:space="preserve">2. Background</w:t>
      </w:r>
    </w:p>
    <w:p>
      <w:pPr>
        <w:pStyle w:val="Heading2"/>
        <w:spacing w:after="120" w:before="220"/>
      </w:pPr>
      <w:r>
        <w:rPr>
          <w:rFonts w:ascii="Calibri" w:cs="Calibri" w:eastAsia="Calibri" w:hAnsi="Calibri"/>
          <w:b/>
          <w:bCs/>
          <w:color w:val="1F4E79"/>
          <w:sz w:val="24"/>
          <w:szCs w:val="24"/>
        </w:rPr>
        <w:t xml:space="preserve">2.1 Electric mobility and easy-bikes in Bangladesh</w:t>
      </w:r>
    </w:p>
    <w:p>
      <w:pPr>
        <w:spacing w:after="140" w:line="276"/>
        <w:jc w:val="both"/>
      </w:pPr>
      <w:r>
        <w:rPr>
          <w:rFonts w:ascii="Calibri" w:cs="Calibri" w:eastAsia="Calibri" w:hAnsi="Calibri"/>
          <w:b w:val="false"/>
          <w:bCs w:val="false"/>
          <w:i w:val="false"/>
          <w:iCs w:val="false"/>
          <w:sz w:val="21"/>
          <w:szCs w:val="21"/>
        </w:rPr>
        <w:t xml:space="preserve">Easy-bikes fill a transport gap between cycle-rickshaws and CNG auto-rickshaws, offering lower fares and faster travel than pedal rickshaws [5], [6]. They are especially important to lower- and lower-middle-income users and have become a significant source of self-employment [7]. Field studies from Rangpur and Comilla document typical fleets of four to six 12V batteries per vehicle, several hours of daily charging, and daily electricity costs on the order of tens of Bangladeshi taka per vehicle [6], [8].</w:t>
      </w:r>
    </w:p>
    <w:p>
      <w:pPr>
        <w:pStyle w:val="Heading2"/>
        <w:spacing w:after="120" w:before="220"/>
      </w:pPr>
      <w:r>
        <w:rPr>
          <w:rFonts w:ascii="Calibri" w:cs="Calibri" w:eastAsia="Calibri" w:hAnsi="Calibri"/>
          <w:b/>
          <w:bCs/>
          <w:color w:val="1F4E79"/>
          <w:sz w:val="24"/>
          <w:szCs w:val="24"/>
        </w:rPr>
        <w:t xml:space="preserve">2.2 Why lead-acid still dominates — and its limitations</w:t>
      </w:r>
    </w:p>
    <w:p>
      <w:pPr>
        <w:spacing w:after="140" w:line="276"/>
        <w:jc w:val="both"/>
      </w:pPr>
      <w:r>
        <w:rPr>
          <w:rFonts w:ascii="Calibri" w:cs="Calibri" w:eastAsia="Calibri" w:hAnsi="Calibri"/>
          <w:b w:val="false"/>
          <w:bCs w:val="false"/>
          <w:i w:val="false"/>
          <w:iCs w:val="false"/>
          <w:sz w:val="21"/>
          <w:szCs w:val="21"/>
        </w:rPr>
        <w:t xml:space="preserve">Lead-acid remains dominant primarily because of low purchase price, an established repair/maintenance ecosystem, and a functioning scrap/resale market for spent batteries [4], [8]. Its limitations are equally well documented: lower round-trip efficiency, sensitivity to deep discharge and heat, and cycle lives that degrade quickly under fast or poorly controlled charging — one battery-focused study of e-rickshaw lead-acid packs modeled cycle-to-failure using a Weibull distribution and found fast charging measurably shortens service life [2].</w:t>
      </w:r>
    </w:p>
    <w:p>
      <w:pPr>
        <w:pStyle w:val="Heading2"/>
        <w:spacing w:after="120" w:before="220"/>
      </w:pPr>
      <w:r>
        <w:rPr>
          <w:rFonts w:ascii="Calibri" w:cs="Calibri" w:eastAsia="Calibri" w:hAnsi="Calibri"/>
          <w:b/>
          <w:bCs/>
          <w:color w:val="1F4E79"/>
          <w:sz w:val="24"/>
          <w:szCs w:val="24"/>
        </w:rPr>
        <w:t xml:space="preserve">2.3 Lithium alternatives: NMC and LFP</w:t>
      </w:r>
    </w:p>
    <w:p>
      <w:pPr>
        <w:spacing w:after="140" w:line="276"/>
        <w:jc w:val="both"/>
      </w:pPr>
      <w:r>
        <w:rPr>
          <w:rFonts w:ascii="Calibri" w:cs="Calibri" w:eastAsia="Calibri" w:hAnsi="Calibri"/>
          <w:b w:val="false"/>
          <w:bCs w:val="false"/>
          <w:i w:val="false"/>
          <w:iCs w:val="false"/>
          <w:sz w:val="21"/>
          <w:szCs w:val="21"/>
        </w:rPr>
        <w:t xml:space="preserve">LFP is entering the e-rickshaw segment specifically because of lead-acid's short life; degradation testing on LFP cells cycled to mimic e-rickshaw duty cycles has shown bi-linear capacity fade patterns that are largely independent of depth of discharge over the tested range [4]. Broader battery-technology comparisons consistently report LFP's superior thermal stability and cycle life relative to NMC, at the cost of somewhat lower energy density, while NMC's degradation accelerates more sharply at high temperature — a directly relevant consideration for Bangladesh's climate [10]–[13].</w:t>
      </w:r>
    </w:p>
    <w:p>
      <w:pPr>
        <w:pStyle w:val="Heading2"/>
        <w:spacing w:after="120" w:before="220"/>
      </w:pPr>
      <w:r>
        <w:rPr>
          <w:rFonts w:ascii="Calibri" w:cs="Calibri" w:eastAsia="Calibri" w:hAnsi="Calibri"/>
          <w:b/>
          <w:bCs/>
          <w:color w:val="1F4E79"/>
          <w:sz w:val="24"/>
          <w:szCs w:val="24"/>
        </w:rPr>
        <w:t xml:space="preserve">2.4 Cost, temperature, and the informal recycling context</w:t>
      </w:r>
    </w:p>
    <w:p>
      <w:pPr>
        <w:spacing w:after="140" w:line="276"/>
        <w:jc w:val="both"/>
      </w:pPr>
      <w:r>
        <w:rPr>
          <w:rFonts w:ascii="Calibri" w:cs="Calibri" w:eastAsia="Calibri" w:hAnsi="Calibri"/>
          <w:b w:val="false"/>
          <w:bCs w:val="false"/>
          <w:i w:val="false"/>
          <w:iCs w:val="false"/>
          <w:sz w:val="21"/>
          <w:szCs w:val="21"/>
        </w:rPr>
        <w:t xml:space="preserve">Techno-economic comparisons of battery chemistries for two- and three-wheelers elsewhere in South Asia find that despite higher upfront prices, lithium chemistries can offer lower long-run maintenance costs and better environmental performance than lead-acid, though outcomes are sensitive to local assumptions [3]. Bangladesh's lead-acid battery recycling sector is overwhelmingly informal: an estimated 80–90% of recycled lead in the country passes through unregulated operations, and UNEP and domestic NGOs have documented severe lead-exposure and pollution consequences of this informal recycling [14], [15]. This is directly relevant to any environmental comparison between lead-acid and lithium technologies and must not be assumed away.</w:t>
      </w:r>
    </w:p>
    <w:p>
      <w:pPr>
        <w:pStyle w:val="Heading2"/>
        <w:spacing w:after="120" w:before="220"/>
      </w:pPr>
      <w:r>
        <w:rPr>
          <w:rFonts w:ascii="Calibri" w:cs="Calibri" w:eastAsia="Calibri" w:hAnsi="Calibri"/>
          <w:b/>
          <w:bCs/>
          <w:color w:val="1F4E79"/>
          <w:sz w:val="24"/>
          <w:szCs w:val="24"/>
        </w:rPr>
        <w:t xml:space="preserve">2.5 Policy context</w:t>
      </w:r>
    </w:p>
    <w:p>
      <w:pPr>
        <w:spacing w:after="140" w:line="276"/>
        <w:jc w:val="both"/>
      </w:pPr>
      <w:r>
        <w:rPr>
          <w:rFonts w:ascii="Calibri" w:cs="Calibri" w:eastAsia="Calibri" w:hAnsi="Calibri"/>
          <w:b w:val="false"/>
          <w:bCs w:val="false"/>
          <w:i w:val="false"/>
          <w:iCs w:val="false"/>
          <w:sz w:val="21"/>
          <w:szCs w:val="21"/>
        </w:rPr>
        <w:t xml:space="preserve">Bangladesh has an official electric-vehicle policy target of 30% EV market share by 2030 and has progressively introduced tax and duty incentives for EV components, batteries, and local assembly, including a reported reduction in effective duty on locally assembled e-bike batteries and lithium/graphene battery incentives [16], [17], [18]. At the same time, informal battery-powered rickshaws face an uncertain and shifting regulatory status, including recent proposals to restrict them from major roads in Dhaka [19]. Any policy analysis in this study must treat these as a moving target and verify the current status at the time of writing.</w:t>
      </w:r>
    </w:p>
    <w:p>
      <w:pPr>
        <w:pStyle w:val="Heading1"/>
        <w:spacing w:after="160" w:before="320"/>
      </w:pPr>
      <w:r>
        <w:rPr>
          <w:rFonts w:ascii="Calibri" w:cs="Calibri" w:eastAsia="Calibri" w:hAnsi="Calibri"/>
          <w:b/>
          <w:bCs/>
          <w:color w:val="1F4E79"/>
          <w:sz w:val="28"/>
          <w:szCs w:val="28"/>
        </w:rPr>
        <w:t xml:space="preserve">3. Problem Statement</w:t>
      </w:r>
    </w:p>
    <w:p>
      <w:pPr>
        <w:spacing w:after="140" w:line="276"/>
        <w:jc w:val="both"/>
      </w:pPr>
      <w:r>
        <w:rPr>
          <w:rFonts w:ascii="Calibri" w:cs="Calibri" w:eastAsia="Calibri" w:hAnsi="Calibri"/>
          <w:b w:val="false"/>
          <w:bCs w:val="false"/>
          <w:i w:val="false"/>
          <w:iCs w:val="false"/>
          <w:sz w:val="21"/>
          <w:szCs w:val="21"/>
        </w:rPr>
        <w:t xml:space="preserve">Lead-acid batteries offer the lowest initial purchase price and are supported by an established market, familiar maintenance practices, and a functioning scrap/recovery value — but their lower efficiency, shorter lifetime, higher replacement frequency, added mass, and temperature sensitivity may increase their true long-term cost and environmental burden. Lithium-based batteries (NMC and LFP) may offer higher efficiency, longer lifetime, and lower maintenance, but face a higher initial price, uncertain local market conditions, financing barriers, and unresolved end-of-life/recycling questions.</w:t>
      </w:r>
    </w:p>
    <w:p>
      <w:pPr>
        <w:spacing w:after="140" w:line="276"/>
        <w:jc w:val="both"/>
      </w:pPr>
      <w:r>
        <w:rPr>
          <w:rFonts w:ascii="Calibri" w:cs="Calibri" w:eastAsia="Calibri" w:hAnsi="Calibri"/>
          <w:b w:val="false"/>
          <w:bCs w:val="false"/>
          <w:i w:val="false"/>
          <w:iCs w:val="false"/>
          <w:sz w:val="21"/>
          <w:szCs w:val="21"/>
        </w:rPr>
        <w:t xml:space="preserve">Simply asserting that lithium batteries are “better” is scientifically insufficient and is explicitly not the position this research starts from. The problem this research addresses is therefore: under what Bangladesh-specific operating, economic, environmental, and policy conditions does each of the three battery technologies become the preferable choice for electric easy-bike operators?</w:t>
      </w:r>
    </w:p>
    <w:p>
      <w:pPr>
        <w:pStyle w:val="Heading1"/>
        <w:spacing w:after="160" w:before="320"/>
      </w:pPr>
      <w:r>
        <w:rPr>
          <w:rFonts w:ascii="Calibri" w:cs="Calibri" w:eastAsia="Calibri" w:hAnsi="Calibri"/>
          <w:b/>
          <w:bCs/>
          <w:color w:val="1F4E79"/>
          <w:sz w:val="28"/>
          <w:szCs w:val="28"/>
        </w:rPr>
        <w:t xml:space="preserve">4. Research Gap</w:t>
      </w:r>
    </w:p>
    <w:p>
      <w:pPr>
        <w:spacing w:after="140" w:line="276"/>
        <w:jc w:val="both"/>
      </w:pPr>
      <w:r>
        <w:rPr>
          <w:rFonts w:ascii="Calibri" w:cs="Calibri" w:eastAsia="Calibri" w:hAnsi="Calibri"/>
          <w:b w:val="false"/>
          <w:bCs w:val="false"/>
          <w:i w:val="false"/>
          <w:iCs w:val="false"/>
          <w:sz w:val="21"/>
          <w:szCs w:val="21"/>
        </w:rPr>
        <w:t xml:space="preserve">The literature reviewed to date (Section 11) establishes several individual pieces relevant to this study: e-rickshaw lead-acid degradation and fast-charging effects [2]; LFP degradation specifically under e-rickshaw duty cycles [4]; general techno-economic comparisons of battery chemistries for two/three-wheelers in South Asia [3]; and Bangladesh-specific operational and economic studies of easy-bikes/e-rickshaws that predate the widespread availability of lithium alternatives [5], [6], [8]. What has not been found in the search conducted so far is a single study that:</w:t>
      </w:r>
    </w:p>
    <w:p>
      <w:pPr>
        <w:pStyle w:val="ListParagraph"/>
        <w:numPr>
          <w:ilvl w:val="0"/>
          <w:numId w:val="2"/>
        </w:numPr>
        <w:spacing w:after="60"/>
      </w:pPr>
      <w:r>
        <w:rPr>
          <w:rFonts w:ascii="Calibri" w:cs="Calibri" w:eastAsia="Calibri" w:hAnsi="Calibri"/>
          <w:sz w:val="21"/>
          <w:szCs w:val="21"/>
        </w:rPr>
        <w:t xml:space="preserve">Compares all three chemistries (lead-acid, NMC, LFP) specifically for Bangladesh electric easy-bikes using primary field data;</w:t>
      </w:r>
    </w:p>
    <w:p>
      <w:pPr>
        <w:pStyle w:val="ListParagraph"/>
        <w:numPr>
          <w:ilvl w:val="0"/>
          <w:numId w:val="2"/>
        </w:numPr>
        <w:spacing w:after="60"/>
      </w:pPr>
      <w:r>
        <w:rPr>
          <w:rFonts w:ascii="Calibri" w:cs="Calibri" w:eastAsia="Calibri" w:hAnsi="Calibri"/>
          <w:sz w:val="21"/>
          <w:szCs w:val="21"/>
        </w:rPr>
        <w:t xml:space="preserve">Links temperature-dependent degradation to a discounted, replacement-aware total cost of ownership for this vehicle class;</w:t>
      </w:r>
    </w:p>
    <w:p>
      <w:pPr>
        <w:pStyle w:val="ListParagraph"/>
        <w:numPr>
          <w:ilvl w:val="0"/>
          <w:numId w:val="2"/>
        </w:numPr>
        <w:spacing w:after="60"/>
      </w:pPr>
      <w:r>
        <w:rPr>
          <w:rFonts w:ascii="Calibri" w:cs="Calibri" w:eastAsia="Calibri" w:hAnsi="Calibri"/>
          <w:sz w:val="21"/>
          <w:szCs w:val="21"/>
        </w:rPr>
        <w:t xml:space="preserve">Explicitly incorporates lead-acid scrap/recovery value and Bangladesh's largely informal recycling sector into both the economic and environmental comparison; and</w:t>
      </w:r>
    </w:p>
    <w:p>
      <w:pPr>
        <w:pStyle w:val="ListParagraph"/>
        <w:numPr>
          <w:ilvl w:val="0"/>
          <w:numId w:val="2"/>
        </w:numPr>
        <w:spacing w:after="60"/>
      </w:pPr>
      <w:r>
        <w:rPr>
          <w:rFonts w:ascii="Calibri" w:cs="Calibri" w:eastAsia="Calibri" w:hAnsi="Calibri"/>
          <w:sz w:val="21"/>
          <w:szCs w:val="21"/>
        </w:rPr>
        <w:t xml:space="preserve">Connects the resulting break-even and sensitivity results to concrete, quantified policy thresholds (subsidy levels, duty changes) for this specific vehicle class.</w:t>
      </w:r>
    </w:p>
    <w:p>
      <w:pPr>
        <w:spacing w:after="140" w:line="276"/>
        <w:jc w:val="both"/>
      </w:pPr>
      <w:r>
        <w:rPr>
          <w:rFonts w:ascii="Calibri" w:cs="Calibri" w:eastAsia="Calibri" w:hAnsi="Calibri"/>
          <w:b w:val="false"/>
          <w:bCs w:val="false"/>
          <w:i w:val="false"/>
          <w:iCs w:val="false"/>
          <w:sz w:val="21"/>
          <w:szCs w:val="21"/>
        </w:rPr>
        <w:t xml:space="preserve">This combination is proposed as the research gap. It should be treated as provisional: it must be confirmed or revised once the full literature review (Phase 1, Section 16) is complete, and the proposal must not claim “no prior work exists” beyond what the completed search actually supports.</w:t>
      </w:r>
    </w:p>
    <w:p>
      <w:pPr>
        <w:pStyle w:val="Heading1"/>
        <w:spacing w:after="160" w:before="320"/>
      </w:pPr>
      <w:r>
        <w:rPr>
          <w:rFonts w:ascii="Calibri" w:cs="Calibri" w:eastAsia="Calibri" w:hAnsi="Calibri"/>
          <w:b/>
          <w:bCs/>
          <w:color w:val="1F4E79"/>
          <w:sz w:val="28"/>
          <w:szCs w:val="28"/>
        </w:rPr>
        <w:t xml:space="preserve">5. Research Questions</w:t>
      </w:r>
    </w:p>
    <w:p>
      <w:pPr>
        <w:pStyle w:val="Heading2"/>
        <w:spacing w:after="120" w:before="220"/>
      </w:pPr>
      <w:r>
        <w:rPr>
          <w:rFonts w:ascii="Calibri" w:cs="Calibri" w:eastAsia="Calibri" w:hAnsi="Calibri"/>
          <w:b/>
          <w:bCs/>
          <w:color w:val="1F4E79"/>
          <w:sz w:val="24"/>
          <w:szCs w:val="24"/>
        </w:rPr>
        <w:t xml:space="preserve">5.1 Main research question</w:t>
      </w:r>
    </w:p>
    <w:p>
      <w:pPr>
        <w:spacing w:after="140" w:line="276"/>
        <w:jc w:val="both"/>
      </w:pPr>
      <w:r>
        <w:rPr>
          <w:rFonts w:ascii="Calibri" w:cs="Calibri" w:eastAsia="Calibri" w:hAnsi="Calibri"/>
          <w:b/>
          <w:bCs/>
          <w:i w:val="false"/>
          <w:iCs w:val="false"/>
          <w:sz w:val="21"/>
          <w:szCs w:val="21"/>
        </w:rPr>
        <w:t xml:space="preserve">Under Bangladesh's high-temperature and high-utilization electric easy-bike operating conditions, when do lead-acid, NMC lithium-ion, and LFP batteries become economically and environmentally preferable, and how do battery degradation, lifetime, electricity consumption, replacement frequency, scrap value, and policy incentives affect their relative performance?</w:t>
      </w:r>
    </w:p>
    <w:p>
      <w:pPr>
        <w:pStyle w:val="Heading2"/>
        <w:spacing w:after="120" w:before="220"/>
      </w:pPr>
      <w:r>
        <w:rPr>
          <w:rFonts w:ascii="Calibri" w:cs="Calibri" w:eastAsia="Calibri" w:hAnsi="Calibri"/>
          <w:b/>
          <w:bCs/>
          <w:color w:val="1F4E79"/>
          <w:sz w:val="24"/>
          <w:szCs w:val="24"/>
        </w:rPr>
        <w:t xml:space="preserve">5.2 Sub-research questions</w:t>
      </w:r>
    </w:p>
    <w:p>
      <w:pPr>
        <w:pStyle w:val="ListParagraph"/>
        <w:numPr>
          <w:ilvl w:val="0"/>
          <w:numId w:val="2"/>
        </w:numPr>
        <w:spacing w:after="60"/>
      </w:pPr>
      <w:r>
        <w:rPr>
          <w:rFonts w:ascii="Calibri" w:cs="Calibri" w:eastAsia="Calibri" w:hAnsi="Calibri"/>
          <w:sz w:val="21"/>
          <w:szCs w:val="21"/>
        </w:rPr>
        <w:t xml:space="preserve">RQ1: What are the technical and operational characteristics of lead-acid, NMC, and LFP batteries used or applicable to Bangladesh easy-bikes?</w:t>
      </w:r>
    </w:p>
    <w:p>
      <w:pPr>
        <w:pStyle w:val="ListParagraph"/>
        <w:numPr>
          <w:ilvl w:val="0"/>
          <w:numId w:val="2"/>
        </w:numPr>
        <w:spacing w:after="60"/>
      </w:pPr>
      <w:r>
        <w:rPr>
          <w:rFonts w:ascii="Calibri" w:cs="Calibri" w:eastAsia="Calibri" w:hAnsi="Calibri"/>
          <w:sz w:val="21"/>
          <w:szCs w:val="21"/>
        </w:rPr>
        <w:t xml:space="preserve">RQ2: How do daily usage, charging behavior, depth of discharge, and temperature affect degradation and useful lifetime?</w:t>
      </w:r>
    </w:p>
    <w:p>
      <w:pPr>
        <w:pStyle w:val="ListParagraph"/>
        <w:numPr>
          <w:ilvl w:val="0"/>
          <w:numId w:val="2"/>
        </w:numPr>
        <w:spacing w:after="60"/>
      </w:pPr>
      <w:r>
        <w:rPr>
          <w:rFonts w:ascii="Calibri" w:cs="Calibri" w:eastAsia="Calibri" w:hAnsi="Calibri"/>
          <w:sz w:val="21"/>
          <w:szCs w:val="21"/>
        </w:rPr>
        <w:t xml:space="preserve">RQ3: How do the three technologies differ in charging energy and annual electricity consumption?</w:t>
      </w:r>
    </w:p>
    <w:p>
      <w:pPr>
        <w:pStyle w:val="ListParagraph"/>
        <w:numPr>
          <w:ilvl w:val="0"/>
          <w:numId w:val="2"/>
        </w:numPr>
        <w:spacing w:after="60"/>
      </w:pPr>
      <w:r>
        <w:rPr>
          <w:rFonts w:ascii="Calibri" w:cs="Calibri" w:eastAsia="Calibri" w:hAnsi="Calibri"/>
          <w:sz w:val="21"/>
          <w:szCs w:val="21"/>
        </w:rPr>
        <w:t xml:space="preserve">RQ4: How do purchase price, lifetime, replacement frequency, electricity cost, maintenance, and scrap value affect total cost of ownership?</w:t>
      </w:r>
    </w:p>
    <w:p>
      <w:pPr>
        <w:pStyle w:val="ListParagraph"/>
        <w:numPr>
          <w:ilvl w:val="0"/>
          <w:numId w:val="2"/>
        </w:numPr>
        <w:spacing w:after="60"/>
      </w:pPr>
      <w:r>
        <w:rPr>
          <w:rFonts w:ascii="Calibri" w:cs="Calibri" w:eastAsia="Calibri" w:hAnsi="Calibri"/>
          <w:sz w:val="21"/>
          <w:szCs w:val="21"/>
        </w:rPr>
        <w:t xml:space="preserve">RQ5: Which technology provides the lowest 5-year and 10-year TCO under representative Bangladesh conditions?</w:t>
      </w:r>
    </w:p>
    <w:p>
      <w:pPr>
        <w:pStyle w:val="ListParagraph"/>
        <w:numPr>
          <w:ilvl w:val="0"/>
          <w:numId w:val="2"/>
        </w:numPr>
        <w:spacing w:after="60"/>
      </w:pPr>
      <w:r>
        <w:rPr>
          <w:rFonts w:ascii="Calibri" w:cs="Calibri" w:eastAsia="Calibri" w:hAnsi="Calibri"/>
          <w:sz w:val="21"/>
          <w:szCs w:val="21"/>
        </w:rPr>
        <w:t xml:space="preserve">RQ6: At what battery price, utilization level, or operating condition does NMC or LFP become economically competitive with lead-acid?</w:t>
      </w:r>
    </w:p>
    <w:p>
      <w:pPr>
        <w:pStyle w:val="ListParagraph"/>
        <w:numPr>
          <w:ilvl w:val="0"/>
          <w:numId w:val="2"/>
        </w:numPr>
        <w:spacing w:after="60"/>
      </w:pPr>
      <w:r>
        <w:rPr>
          <w:rFonts w:ascii="Calibri" w:cs="Calibri" w:eastAsia="Calibri" w:hAnsi="Calibri"/>
          <w:sz w:val="21"/>
          <w:szCs w:val="21"/>
        </w:rPr>
        <w:t xml:space="preserve">RQ7: How strongly does lead-acid scrap/recovery value influence its economic competitiveness?</w:t>
      </w:r>
    </w:p>
    <w:p>
      <w:pPr>
        <w:pStyle w:val="ListParagraph"/>
        <w:numPr>
          <w:ilvl w:val="0"/>
          <w:numId w:val="2"/>
        </w:numPr>
        <w:spacing w:after="60"/>
      </w:pPr>
      <w:r>
        <w:rPr>
          <w:rFonts w:ascii="Calibri" w:cs="Calibri" w:eastAsia="Calibri" w:hAnsi="Calibri"/>
          <w:sz w:val="21"/>
          <w:szCs w:val="21"/>
        </w:rPr>
        <w:t xml:space="preserve">RQ8: How does high operating temperature affect the relative economic performance of the three technologies?</w:t>
      </w:r>
    </w:p>
    <w:p>
      <w:pPr>
        <w:pStyle w:val="ListParagraph"/>
        <w:numPr>
          <w:ilvl w:val="0"/>
          <w:numId w:val="2"/>
        </w:numPr>
        <w:spacing w:after="60"/>
      </w:pPr>
      <w:r>
        <w:rPr>
          <w:rFonts w:ascii="Calibri" w:cs="Calibri" w:eastAsia="Calibri" w:hAnsi="Calibri"/>
          <w:sz w:val="21"/>
          <w:szCs w:val="21"/>
        </w:rPr>
        <w:t xml:space="preserve">RQ9: How robust are the results to uncertainty in price, lifetime, tariff, utilization, efficiency, temperature, and scrap value?</w:t>
      </w:r>
    </w:p>
    <w:p>
      <w:pPr>
        <w:pStyle w:val="ListParagraph"/>
        <w:numPr>
          <w:ilvl w:val="0"/>
          <w:numId w:val="2"/>
        </w:numPr>
        <w:spacing w:after="60"/>
      </w:pPr>
      <w:r>
        <w:rPr>
          <w:rFonts w:ascii="Calibri" w:cs="Calibri" w:eastAsia="Calibri" w:hAnsi="Calibri"/>
          <w:sz w:val="21"/>
          <w:szCs w:val="21"/>
        </w:rPr>
        <w:t xml:space="preserve">RQ10: Which technology has the most favorable environmental performance under realistic Bangladesh electricity-mix and end-of-life scenarios?</w:t>
      </w:r>
    </w:p>
    <w:p>
      <w:pPr>
        <w:pStyle w:val="ListParagraph"/>
        <w:numPr>
          <w:ilvl w:val="0"/>
          <w:numId w:val="2"/>
        </w:numPr>
        <w:spacing w:after="60"/>
      </w:pPr>
      <w:r>
        <w:rPr>
          <w:rFonts w:ascii="Calibri" w:cs="Calibri" w:eastAsia="Calibri" w:hAnsi="Calibri"/>
          <w:sz w:val="21"/>
          <w:szCs w:val="21"/>
        </w:rPr>
        <w:t xml:space="preserve">RQ11: What policy measures could make the economically and environmentally preferable technology more accessible to operators?</w:t>
      </w:r>
    </w:p>
    <w:p>
      <w:pPr>
        <w:pStyle w:val="Heading1"/>
        <w:spacing w:after="160" w:before="320"/>
      </w:pPr>
      <w:r>
        <w:rPr>
          <w:rFonts w:ascii="Calibri" w:cs="Calibri" w:eastAsia="Calibri" w:hAnsi="Calibri"/>
          <w:b/>
          <w:bCs/>
          <w:color w:val="1F4E79"/>
          <w:sz w:val="28"/>
          <w:szCs w:val="28"/>
        </w:rPr>
        <w:t xml:space="preserve">6. Aim of the Research</w:t>
      </w:r>
    </w:p>
    <w:p>
      <w:pPr>
        <w:spacing w:after="140" w:line="276"/>
        <w:jc w:val="both"/>
      </w:pPr>
      <w:r>
        <w:rPr>
          <w:rFonts w:ascii="Calibri" w:cs="Calibri" w:eastAsia="Calibri" w:hAnsi="Calibri"/>
          <w:b w:val="false"/>
          <w:bCs w:val="false"/>
          <w:i w:val="false"/>
          <w:iCs w:val="false"/>
          <w:sz w:val="21"/>
          <w:szCs w:val="21"/>
        </w:rPr>
        <w:t xml:space="preserve">To develop a Bangladesh-specific techno-economic, degradation, energy, environmental, and policy assessment framework comparing lead-acid, NMC lithium-ion, and LFP batteries for electric easy-bikes, and to identify the operating and policy conditions under which each technology becomes preferable.</w:t>
      </w:r>
    </w:p>
    <w:p>
      <w:pPr>
        <w:pStyle w:val="Heading1"/>
        <w:spacing w:after="160" w:before="320"/>
      </w:pPr>
      <w:r>
        <w:rPr>
          <w:rFonts w:ascii="Calibri" w:cs="Calibri" w:eastAsia="Calibri" w:hAnsi="Calibri"/>
          <w:b/>
          <w:bCs/>
          <w:color w:val="1F4E79"/>
          <w:sz w:val="28"/>
          <w:szCs w:val="28"/>
        </w:rPr>
        <w:t xml:space="preserve">7. Research Objectives</w:t>
      </w:r>
    </w:p>
    <w:p>
      <w:pPr>
        <w:pStyle w:val="ListParagraph"/>
        <w:numPr>
          <w:ilvl w:val="0"/>
          <w:numId w:val="2"/>
        </w:numPr>
        <w:spacing w:after="60"/>
      </w:pPr>
      <w:r>
        <w:rPr>
          <w:rFonts w:ascii="Calibri" w:cs="Calibri" w:eastAsia="Calibri" w:hAnsi="Calibri"/>
          <w:sz w:val="21"/>
          <w:szCs w:val="21"/>
        </w:rPr>
        <w:t xml:space="preserve">O1: Characterize the technical parameters of the three battery technologies, sourced from literature, manufacturer data, and survey evidence.</w:t>
      </w:r>
    </w:p>
    <w:p>
      <w:pPr>
        <w:pStyle w:val="ListParagraph"/>
        <w:numPr>
          <w:ilvl w:val="0"/>
          <w:numId w:val="2"/>
        </w:numPr>
        <w:spacing w:after="60"/>
      </w:pPr>
      <w:r>
        <w:rPr>
          <w:rFonts w:ascii="Calibri" w:cs="Calibri" w:eastAsia="Calibri" w:hAnsi="Calibri"/>
          <w:sz w:val="21"/>
          <w:szCs w:val="21"/>
        </w:rPr>
        <w:t xml:space="preserve">O2: Collect Bangladesh-specific operational and economic data via a structured operator survey and secondary sources.</w:t>
      </w:r>
    </w:p>
    <w:p>
      <w:pPr>
        <w:pStyle w:val="ListParagraph"/>
        <w:numPr>
          <w:ilvl w:val="0"/>
          <w:numId w:val="2"/>
        </w:numPr>
        <w:spacing w:after="60"/>
      </w:pPr>
      <w:r>
        <w:rPr>
          <w:rFonts w:ascii="Calibri" w:cs="Calibri" w:eastAsia="Calibri" w:hAnsi="Calibri"/>
          <w:sz w:val="21"/>
          <w:szCs w:val="21"/>
        </w:rPr>
        <w:t xml:space="preserve">O3: Quantify electric easy-bike daily and annual energy requirements for each battery technology.</w:t>
      </w:r>
    </w:p>
    <w:p>
      <w:pPr>
        <w:pStyle w:val="ListParagraph"/>
        <w:numPr>
          <w:ilvl w:val="0"/>
          <w:numId w:val="2"/>
        </w:numPr>
        <w:spacing w:after="60"/>
      </w:pPr>
      <w:r>
        <w:rPr>
          <w:rFonts w:ascii="Calibri" w:cs="Calibri" w:eastAsia="Calibri" w:hAnsi="Calibri"/>
          <w:sz w:val="21"/>
          <w:szCs w:val="21"/>
        </w:rPr>
        <w:t xml:space="preserve">O4: Model temperature- and usage-dependent battery degradation and estimate useful lifetime and replacement frequency.</w:t>
      </w:r>
    </w:p>
    <w:p>
      <w:pPr>
        <w:pStyle w:val="ListParagraph"/>
        <w:numPr>
          <w:ilvl w:val="0"/>
          <w:numId w:val="2"/>
        </w:numPr>
        <w:spacing w:after="60"/>
      </w:pPr>
      <w:r>
        <w:rPr>
          <w:rFonts w:ascii="Calibri" w:cs="Calibri" w:eastAsia="Calibri" w:hAnsi="Calibri"/>
          <w:sz w:val="21"/>
          <w:szCs w:val="21"/>
        </w:rPr>
        <w:t xml:space="preserve">O5: Compare 5-year and 10-year discounted total cost of ownership across the three technologies, including scrap/recovery value.</w:t>
      </w:r>
    </w:p>
    <w:p>
      <w:pPr>
        <w:pStyle w:val="ListParagraph"/>
        <w:numPr>
          <w:ilvl w:val="0"/>
          <w:numId w:val="2"/>
        </w:numPr>
        <w:spacing w:after="60"/>
      </w:pPr>
      <w:r>
        <w:rPr>
          <w:rFonts w:ascii="Calibri" w:cs="Calibri" w:eastAsia="Calibri" w:hAnsi="Calibri"/>
          <w:sz w:val="21"/>
          <w:szCs w:val="21"/>
        </w:rPr>
        <w:t xml:space="preserve">O6: Conduct break-even and sensitivity analysis to identify the conditions under which each technology becomes preferable.</w:t>
      </w:r>
    </w:p>
    <w:p>
      <w:pPr>
        <w:pStyle w:val="ListParagraph"/>
        <w:numPr>
          <w:ilvl w:val="0"/>
          <w:numId w:val="2"/>
        </w:numPr>
        <w:spacing w:after="60"/>
      </w:pPr>
      <w:r>
        <w:rPr>
          <w:rFonts w:ascii="Calibri" w:cs="Calibri" w:eastAsia="Calibri" w:hAnsi="Calibri"/>
          <w:sz w:val="21"/>
          <w:szCs w:val="21"/>
        </w:rPr>
        <w:t xml:space="preserve">O7: Perform a simplified lifecycle-oriented environmental comparison, including manufacturing, operation, and end-of-life.</w:t>
      </w:r>
    </w:p>
    <w:p>
      <w:pPr>
        <w:pStyle w:val="ListParagraph"/>
        <w:numPr>
          <w:ilvl w:val="0"/>
          <w:numId w:val="2"/>
        </w:numPr>
        <w:spacing w:after="60"/>
      </w:pPr>
      <w:r>
        <w:rPr>
          <w:rFonts w:ascii="Calibri" w:cs="Calibri" w:eastAsia="Calibri" w:hAnsi="Calibri"/>
          <w:sz w:val="21"/>
          <w:szCs w:val="21"/>
        </w:rPr>
        <w:t xml:space="preserve">O8: Evaluate a small set of realistic policy interventions against the quantitative results obtained.</w:t>
      </w:r>
    </w:p>
    <w:p>
      <w:pPr>
        <w:pStyle w:val="Heading1"/>
        <w:spacing w:after="160" w:before="320"/>
      </w:pPr>
      <w:r>
        <w:rPr>
          <w:rFonts w:ascii="Calibri" w:cs="Calibri" w:eastAsia="Calibri" w:hAnsi="Calibri"/>
          <w:b/>
          <w:bCs/>
          <w:color w:val="1F4E79"/>
          <w:sz w:val="28"/>
          <w:szCs w:val="28"/>
        </w:rPr>
        <w:t xml:space="preserve">8. Research Hypotheses</w:t>
      </w:r>
    </w:p>
    <w:p>
      <w:pPr>
        <w:spacing w:after="140" w:line="276"/>
        <w:jc w:val="both"/>
      </w:pPr>
      <w:r>
        <w:rPr>
          <w:rFonts w:ascii="Calibri" w:cs="Calibri" w:eastAsia="Calibri" w:hAnsi="Calibri"/>
          <w:b w:val="false"/>
          <w:bCs w:val="false"/>
          <w:i w:val="false"/>
          <w:iCs w:val="false"/>
          <w:sz w:val="21"/>
          <w:szCs w:val="21"/>
        </w:rPr>
        <w:t xml:space="preserve">The following are treated as testable hypotheses to be examined, not as assumed conclusions; the final results may support, partially support, or reject any of them.</w:t>
      </w:r>
    </w:p>
    <w:p>
      <w:pPr>
        <w:pStyle w:val="ListParagraph"/>
        <w:numPr>
          <w:ilvl w:val="0"/>
          <w:numId w:val="2"/>
        </w:numPr>
        <w:spacing w:after="60"/>
      </w:pPr>
      <w:r>
        <w:rPr>
          <w:rFonts w:ascii="Calibri" w:cs="Calibri" w:eastAsia="Calibri" w:hAnsi="Calibri"/>
          <w:sz w:val="21"/>
          <w:szCs w:val="21"/>
        </w:rPr>
        <w:t xml:space="preserve">H1: Lead-acid batteries have a lower initial purchase cost than lithium-based alternatives.</w:t>
      </w:r>
    </w:p>
    <w:p>
      <w:pPr>
        <w:pStyle w:val="ListParagraph"/>
        <w:numPr>
          <w:ilvl w:val="0"/>
          <w:numId w:val="2"/>
        </w:numPr>
        <w:spacing w:after="60"/>
      </w:pPr>
      <w:r>
        <w:rPr>
          <w:rFonts w:ascii="Calibri" w:cs="Calibri" w:eastAsia="Calibri" w:hAnsi="Calibri"/>
          <w:sz w:val="21"/>
          <w:szCs w:val="21"/>
        </w:rPr>
        <w:t xml:space="preserve">H2: Lithium-based batteries require less grid electricity than lead-acid for an equivalent useful energy service.</w:t>
      </w:r>
    </w:p>
    <w:p>
      <w:pPr>
        <w:pStyle w:val="ListParagraph"/>
        <w:numPr>
          <w:ilvl w:val="0"/>
          <w:numId w:val="2"/>
        </w:numPr>
        <w:spacing w:after="60"/>
      </w:pPr>
      <w:r>
        <w:rPr>
          <w:rFonts w:ascii="Calibri" w:cs="Calibri" w:eastAsia="Calibri" w:hAnsi="Calibri"/>
          <w:sz w:val="21"/>
          <w:szCs w:val="21"/>
        </w:rPr>
        <w:t xml:space="preserve">H3: LFP has a longer useful lifetime than lead-acid under comparable utilization conditions.</w:t>
      </w:r>
    </w:p>
    <w:p>
      <w:pPr>
        <w:pStyle w:val="ListParagraph"/>
        <w:numPr>
          <w:ilvl w:val="0"/>
          <w:numId w:val="2"/>
        </w:numPr>
        <w:spacing w:after="60"/>
      </w:pPr>
      <w:r>
        <w:rPr>
          <w:rFonts w:ascii="Calibri" w:cs="Calibri" w:eastAsia="Calibri" w:hAnsi="Calibri"/>
          <w:sz w:val="21"/>
          <w:szCs w:val="21"/>
        </w:rPr>
        <w:t xml:space="preserve">H4: Higher daily utilization increases the economic attractiveness of longer-life lithium-based batteries.</w:t>
      </w:r>
    </w:p>
    <w:p>
      <w:pPr>
        <w:pStyle w:val="ListParagraph"/>
        <w:numPr>
          <w:ilvl w:val="0"/>
          <w:numId w:val="2"/>
        </w:numPr>
        <w:spacing w:after="60"/>
      </w:pPr>
      <w:r>
        <w:rPr>
          <w:rFonts w:ascii="Calibri" w:cs="Calibri" w:eastAsia="Calibri" w:hAnsi="Calibri"/>
          <w:sz w:val="21"/>
          <w:szCs w:val="21"/>
        </w:rPr>
        <w:t xml:space="preserve">H5: Lead-acid scrap value reduces its apparent lifetime-cost disadvantage.</w:t>
      </w:r>
    </w:p>
    <w:p>
      <w:pPr>
        <w:pStyle w:val="ListParagraph"/>
        <w:numPr>
          <w:ilvl w:val="0"/>
          <w:numId w:val="2"/>
        </w:numPr>
        <w:spacing w:after="60"/>
      </w:pPr>
      <w:r>
        <w:rPr>
          <w:rFonts w:ascii="Calibri" w:cs="Calibri" w:eastAsia="Calibri" w:hAnsi="Calibri"/>
          <w:sz w:val="21"/>
          <w:szCs w:val="21"/>
        </w:rPr>
        <w:t xml:space="preserve">H6: Operating temperature significantly influences battery lifetime and therefore relative TCO.</w:t>
      </w:r>
    </w:p>
    <w:p>
      <w:pPr>
        <w:pStyle w:val="ListParagraph"/>
        <w:numPr>
          <w:ilvl w:val="0"/>
          <w:numId w:val="2"/>
        </w:numPr>
        <w:spacing w:after="60"/>
      </w:pPr>
      <w:r>
        <w:rPr>
          <w:rFonts w:ascii="Calibri" w:cs="Calibri" w:eastAsia="Calibri" w:hAnsi="Calibri"/>
          <w:sz w:val="21"/>
          <w:szCs w:val="21"/>
        </w:rPr>
        <w:t xml:space="preserve">H7: The economically preferred technology changes with battery price, lifetime, utilization, tariff, temperature, and scrap value.</w:t>
      </w:r>
    </w:p>
    <w:p>
      <w:pPr>
        <w:pStyle w:val="ListParagraph"/>
        <w:numPr>
          <w:ilvl w:val="0"/>
          <w:numId w:val="2"/>
        </w:numPr>
        <w:spacing w:after="60"/>
      </w:pPr>
      <w:r>
        <w:rPr>
          <w:rFonts w:ascii="Calibri" w:cs="Calibri" w:eastAsia="Calibri" w:hAnsi="Calibri"/>
          <w:sz w:val="21"/>
          <w:szCs w:val="21"/>
        </w:rPr>
        <w:t xml:space="preserve">H8: NMC and LFP show measurably different economic and environmental performance despite both being lithium-ion chemistries.</w:t>
      </w:r>
    </w:p>
    <w:p>
      <w:pPr>
        <w:pStyle w:val="Heading1"/>
        <w:spacing w:after="160" w:before="320"/>
      </w:pPr>
      <w:r>
        <w:rPr>
          <w:rFonts w:ascii="Calibri" w:cs="Calibri" w:eastAsia="Calibri" w:hAnsi="Calibri"/>
          <w:b/>
          <w:bCs/>
          <w:color w:val="1F4E79"/>
          <w:sz w:val="28"/>
          <w:szCs w:val="28"/>
        </w:rPr>
        <w:t xml:space="preserve">9. Significance of the Study</w:t>
      </w:r>
    </w:p>
    <w:p>
      <w:pPr>
        <w:pStyle w:val="Heading2"/>
        <w:spacing w:after="120" w:before="220"/>
      </w:pPr>
      <w:r>
        <w:rPr>
          <w:rFonts w:ascii="Calibri" w:cs="Calibri" w:eastAsia="Calibri" w:hAnsi="Calibri"/>
          <w:b/>
          <w:bCs/>
          <w:color w:val="1F4E79"/>
          <w:sz w:val="24"/>
          <w:szCs w:val="24"/>
        </w:rPr>
        <w:t xml:space="preserve">9.1 Academic</w:t>
      </w:r>
    </w:p>
    <w:p>
      <w:pPr>
        <w:spacing w:after="140" w:line="276"/>
        <w:jc w:val="both"/>
      </w:pPr>
      <w:r>
        <w:rPr>
          <w:rFonts w:ascii="Calibri" w:cs="Calibri" w:eastAsia="Calibri" w:hAnsi="Calibri"/>
          <w:b w:val="false"/>
          <w:bCs w:val="false"/>
          <w:i w:val="false"/>
          <w:iCs w:val="false"/>
          <w:sz w:val="21"/>
          <w:szCs w:val="21"/>
        </w:rPr>
        <w:t xml:space="preserve">Contributes Bangladesh-specific field evidence to a literature that is currently dominated by India-focused e-rickshaw studies [2], [4] and generic international TCO/degradation models [10]–[13], and integrates degradation, TCO, scrap value, and environmental analysis in a single consistent framework.</w:t>
      </w:r>
    </w:p>
    <w:p>
      <w:pPr>
        <w:pStyle w:val="Heading2"/>
        <w:spacing w:after="120" w:before="220"/>
      </w:pPr>
      <w:r>
        <w:rPr>
          <w:rFonts w:ascii="Calibri" w:cs="Calibri" w:eastAsia="Calibri" w:hAnsi="Calibri"/>
          <w:b/>
          <w:bCs/>
          <w:color w:val="1F4E79"/>
          <w:sz w:val="24"/>
          <w:szCs w:val="24"/>
        </w:rPr>
        <w:t xml:space="preserve">9.2 Industry</w:t>
      </w:r>
    </w:p>
    <w:p>
      <w:pPr>
        <w:spacing w:after="140" w:line="276"/>
        <w:jc w:val="both"/>
      </w:pPr>
      <w:r>
        <w:rPr>
          <w:rFonts w:ascii="Calibri" w:cs="Calibri" w:eastAsia="Calibri" w:hAnsi="Calibri"/>
          <w:b w:val="false"/>
          <w:bCs w:val="false"/>
          <w:i w:val="false"/>
          <w:iCs w:val="false"/>
          <w:sz w:val="21"/>
          <w:szCs w:val="21"/>
        </w:rPr>
        <w:t xml:space="preserve">Provides battery suppliers, easy-bike manufacturers, and charging-service providers with quantified evidence on the real economic trade-offs operators face.</w:t>
      </w:r>
    </w:p>
    <w:p>
      <w:pPr>
        <w:pStyle w:val="Heading2"/>
        <w:spacing w:after="120" w:before="220"/>
      </w:pPr>
      <w:r>
        <w:rPr>
          <w:rFonts w:ascii="Calibri" w:cs="Calibri" w:eastAsia="Calibri" w:hAnsi="Calibri"/>
          <w:b/>
          <w:bCs/>
          <w:color w:val="1F4E79"/>
          <w:sz w:val="24"/>
          <w:szCs w:val="24"/>
        </w:rPr>
        <w:t xml:space="preserve">9.3 Policy</w:t>
      </w:r>
    </w:p>
    <w:p>
      <w:pPr>
        <w:spacing w:after="140" w:line="276"/>
        <w:jc w:val="both"/>
      </w:pPr>
      <w:r>
        <w:rPr>
          <w:rFonts w:ascii="Calibri" w:cs="Calibri" w:eastAsia="Calibri" w:hAnsi="Calibri"/>
          <w:b w:val="false"/>
          <w:bCs w:val="false"/>
          <w:i w:val="false"/>
          <w:iCs w:val="false"/>
          <w:sz w:val="21"/>
          <w:szCs w:val="21"/>
        </w:rPr>
        <w:t xml:space="preserve">Provides quantitative thresholds (required subsidy, duty change, or price reduction) that can inform Bangladesh's ongoing EV incentive and informal-transport regulation discussions [16]–[19].</w:t>
      </w:r>
    </w:p>
    <w:p>
      <w:pPr>
        <w:pStyle w:val="Heading2"/>
        <w:spacing w:after="120" w:before="220"/>
      </w:pPr>
      <w:r>
        <w:rPr>
          <w:rFonts w:ascii="Calibri" w:cs="Calibri" w:eastAsia="Calibri" w:hAnsi="Calibri"/>
          <w:b/>
          <w:bCs/>
          <w:color w:val="1F4E79"/>
          <w:sz w:val="24"/>
          <w:szCs w:val="24"/>
        </w:rPr>
        <w:t xml:space="preserve">9.4 Society</w:t>
      </w:r>
    </w:p>
    <w:p>
      <w:pPr>
        <w:spacing w:after="140" w:line="276"/>
        <w:jc w:val="both"/>
      </w:pPr>
      <w:r>
        <w:rPr>
          <w:rFonts w:ascii="Calibri" w:cs="Calibri" w:eastAsia="Calibri" w:hAnsi="Calibri"/>
          <w:b w:val="false"/>
          <w:bCs w:val="false"/>
          <w:i w:val="false"/>
          <w:iCs w:val="false"/>
          <w:sz w:val="21"/>
          <w:szCs w:val="21"/>
        </w:rPr>
        <w:t xml:space="preserve">Speaks directly to operator livelihoods (a large share of easy-bike operators are lower-income) [7], to urban air and lead pollution from informal battery recycling [14], [15], and to household transport affordability.</w:t>
      </w:r>
    </w:p>
    <w:p>
      <w:pPr>
        <w:pStyle w:val="Heading1"/>
        <w:spacing w:after="160" w:before="320"/>
      </w:pPr>
      <w:r>
        <w:rPr>
          <w:rFonts w:ascii="Calibri" w:cs="Calibri" w:eastAsia="Calibri" w:hAnsi="Calibri"/>
          <w:b/>
          <w:bCs/>
          <w:color w:val="1F4E79"/>
          <w:sz w:val="28"/>
          <w:szCs w:val="28"/>
        </w:rPr>
        <w:t xml:space="preserve">10. Scope of the Study</w:t>
      </w:r>
    </w:p>
    <w:p>
      <w:pPr>
        <w:spacing w:after="140" w:line="276"/>
        <w:jc w:val="both"/>
      </w:pPr>
      <w:r>
        <w:rPr>
          <w:rFonts w:ascii="Calibri" w:cs="Calibri" w:eastAsia="Calibri" w:hAnsi="Calibri"/>
          <w:b w:val="false"/>
          <w:bCs w:val="false"/>
          <w:i w:val="false"/>
          <w:iCs w:val="false"/>
          <w:sz w:val="21"/>
          <w:szCs w:val="21"/>
        </w:rPr>
        <w:t xml:space="preserve">The study will focus on: Bangladesh; electric easy-bikes/e-rickshaws specifically (not electric cars, buses, or motorcycles); the three named battery technologies; operator-level economics; battery degradation and lifetime; electricity consumption; replacement dynamics; a simplified environmental comparison; and a small set of policy scenarios. It will not attempt a full ISO-compliant life-cycle assessment, will not model other EV categories, and will not perform a national-scale fleet analysis unless a credible, citable fleet-size figure is identified during the literature/secondary-data phase.</w:t>
      </w:r>
    </w:p>
    <w:p>
      <w:pPr>
        <w:pStyle w:val="Heading1"/>
        <w:spacing w:after="160" w:before="320"/>
      </w:pPr>
      <w:r>
        <w:rPr>
          <w:rFonts w:ascii="Calibri" w:cs="Calibri" w:eastAsia="Calibri" w:hAnsi="Calibri"/>
          <w:b/>
          <w:bCs/>
          <w:color w:val="1F4E79"/>
          <w:sz w:val="28"/>
          <w:szCs w:val="28"/>
        </w:rPr>
        <w:t xml:space="preserve">11. Literature Review</w:t>
      </w:r>
    </w:p>
    <w:p>
      <w:pPr>
        <w:spacing w:after="140" w:line="276"/>
        <w:jc w:val="both"/>
      </w:pPr>
      <w:r>
        <w:rPr>
          <w:rFonts w:ascii="Calibri" w:cs="Calibri" w:eastAsia="Calibri" w:hAnsi="Calibri"/>
          <w:b w:val="false"/>
          <w:bCs w:val="false"/>
          <w:i w:val="false"/>
          <w:iCs w:val="false"/>
          <w:sz w:val="21"/>
          <w:szCs w:val="21"/>
        </w:rPr>
        <w:t xml:space="preserve">The literature search conducted to prepare this proposal (documented fully in Section 22, References) is a preliminary scan, not the exhaustive review that Phase 1 of the work plan (Section 17) will perform. It is organized here by theme, consistent with the requirement not to present the review as a list of isolated paper summaries.</w:t>
      </w:r>
    </w:p>
    <w:p>
      <w:pPr>
        <w:pStyle w:val="Heading2"/>
        <w:spacing w:after="120" w:before="220"/>
      </w:pPr>
      <w:r>
        <w:rPr>
          <w:rFonts w:ascii="Calibri" w:cs="Calibri" w:eastAsia="Calibri" w:hAnsi="Calibri"/>
          <w:b/>
          <w:bCs/>
          <w:color w:val="1F4E79"/>
          <w:sz w:val="24"/>
          <w:szCs w:val="24"/>
        </w:rPr>
        <w:t xml:space="preserve">11.1 Lead-acid batteries in e-rickshaws/easy-bikes</w:t>
      </w:r>
    </w:p>
    <w:p>
      <w:pPr>
        <w:spacing w:after="140" w:line="276"/>
        <w:jc w:val="both"/>
      </w:pPr>
      <w:r>
        <w:rPr>
          <w:rFonts w:ascii="Calibri" w:cs="Calibri" w:eastAsia="Calibri" w:hAnsi="Calibri"/>
          <w:b w:val="false"/>
          <w:bCs w:val="false"/>
          <w:i w:val="false"/>
          <w:iCs w:val="false"/>
          <w:sz w:val="21"/>
          <w:szCs w:val="21"/>
        </w:rPr>
        <w:t xml:space="preserve">Lead-acid remains the dominant chemistry in e-rickshaws across South Asia because of low cost and recyclability, but suffers high failure rates linked to deep discharge, poor charging practices, and vibration [8]. Fast-charging studies using Weibull-based cycle-to-failure modeling confirm that faster charging further shortens service life, creating a direct trade-off between operator convenience and battery longevity [2]. Hardware-level interventions such as capacitor-bank buffering have been proposed to extend lead-acid life in this specific application [1].</w:t>
      </w:r>
    </w:p>
    <w:p>
      <w:pPr>
        <w:pStyle w:val="Heading2"/>
        <w:spacing w:after="120" w:before="220"/>
      </w:pPr>
      <w:r>
        <w:rPr>
          <w:rFonts w:ascii="Calibri" w:cs="Calibri" w:eastAsia="Calibri" w:hAnsi="Calibri"/>
          <w:b/>
          <w:bCs/>
          <w:color w:val="1F4E79"/>
          <w:sz w:val="24"/>
          <w:szCs w:val="24"/>
        </w:rPr>
        <w:t xml:space="preserve">11.2 Lithium alternatives: NMC and LFP</w:t>
      </w:r>
    </w:p>
    <w:p>
      <w:pPr>
        <w:spacing w:after="140" w:line="276"/>
        <w:jc w:val="both"/>
      </w:pPr>
      <w:r>
        <w:rPr>
          <w:rFonts w:ascii="Calibri" w:cs="Calibri" w:eastAsia="Calibri" w:hAnsi="Calibri"/>
          <w:b w:val="false"/>
          <w:bCs w:val="false"/>
          <w:i w:val="false"/>
          <w:iCs w:val="false"/>
          <w:sz w:val="21"/>
          <w:szCs w:val="21"/>
        </w:rPr>
        <w:t xml:space="preserve">LFP is explicitly entering the e-rickshaw market as a response to lead-acid's short life, with degradation studies under representative duty cycles reporting bi-linear capacity fade largely independent of depth of discharge [4]. Broader (non-Bangladesh) comparative literature consistently finds LFP superior to NMC in cycle life and thermal stability, while NMC retains an advantage in energy density; NMC's degradation is also more sensitive to elevated temperature than LFP's [10]–[13].</w:t>
      </w:r>
    </w:p>
    <w:p>
      <w:pPr>
        <w:pStyle w:val="Heading2"/>
        <w:spacing w:after="120" w:before="220"/>
      </w:pPr>
      <w:r>
        <w:rPr>
          <w:rFonts w:ascii="Calibri" w:cs="Calibri" w:eastAsia="Calibri" w:hAnsi="Calibri"/>
          <w:b/>
          <w:bCs/>
          <w:color w:val="1F4E79"/>
          <w:sz w:val="24"/>
          <w:szCs w:val="24"/>
        </w:rPr>
        <w:t xml:space="preserve">11.3 Battery degradation and temperature effects</w:t>
      </w:r>
    </w:p>
    <w:p>
      <w:pPr>
        <w:spacing w:after="140" w:line="276"/>
        <w:jc w:val="both"/>
      </w:pPr>
      <w:r>
        <w:rPr>
          <w:rFonts w:ascii="Calibri" w:cs="Calibri" w:eastAsia="Calibri" w:hAnsi="Calibri"/>
          <w:b w:val="false"/>
          <w:bCs w:val="false"/>
          <w:i w:val="false"/>
          <w:iCs w:val="false"/>
          <w:sz w:val="21"/>
          <w:szCs w:val="21"/>
        </w:rPr>
        <w:t xml:space="preserve">General lithium-ion degradation literature (not Bangladesh- or e-rickshaw-specific) shows that both calendar and cycle aging accelerate with temperature and interact with depth of discharge in chemistry-dependent ways [11]. Empirical lifetime-prognosis models built specifically around temperature, DoD, and charge-rate factor combinations provide a template for the kind of scenario-based degradation model this study proposes to adapt, rather than invent from scratch [D14 in prior audit].</w:t>
      </w:r>
    </w:p>
    <w:p>
      <w:pPr>
        <w:pStyle w:val="Heading2"/>
        <w:spacing w:after="120" w:before="220"/>
      </w:pPr>
      <w:r>
        <w:rPr>
          <w:rFonts w:ascii="Calibri" w:cs="Calibri" w:eastAsia="Calibri" w:hAnsi="Calibri"/>
          <w:b/>
          <w:bCs/>
          <w:color w:val="1F4E79"/>
          <w:sz w:val="24"/>
          <w:szCs w:val="24"/>
        </w:rPr>
        <w:t xml:space="preserve">11.4 Techno-economic and TCO methodology</w:t>
      </w:r>
    </w:p>
    <w:p>
      <w:pPr>
        <w:spacing w:after="140" w:line="276"/>
        <w:jc w:val="both"/>
      </w:pPr>
      <w:r>
        <w:rPr>
          <w:rFonts w:ascii="Calibri" w:cs="Calibri" w:eastAsia="Calibri" w:hAnsi="Calibri"/>
          <w:b w:val="false"/>
          <w:bCs w:val="false"/>
          <w:i w:val="false"/>
          <w:iCs w:val="false"/>
          <w:sz w:val="21"/>
          <w:szCs w:val="21"/>
        </w:rPr>
        <w:t xml:space="preserve">Established TCO methodologies for electric vehicles define consistent net-present-value formulations combining initial cost, discounted operating costs, and resale/scrap value [11], [12]; a recent systematic synthesis of EV TCO studies confirms that battery replacement cost, energy cost, and resale/scrap value are the dominant and most commonly modeled cost components across the literature [13]. A dedicated techno-economic and environmental comparison of lead-acid, Na-ion, and Li-ion batteries for electric two-wheelers in India is the closest analog to this proposal's approach, though it is not Bangladesh-specific and does not address the three-wheeler easy-bike/e-rickshaw context directly [3].</w:t>
      </w:r>
    </w:p>
    <w:p>
      <w:pPr>
        <w:pStyle w:val="Heading2"/>
        <w:spacing w:after="120" w:before="220"/>
      </w:pPr>
      <w:r>
        <w:rPr>
          <w:rFonts w:ascii="Calibri" w:cs="Calibri" w:eastAsia="Calibri" w:hAnsi="Calibri"/>
          <w:b/>
          <w:bCs/>
          <w:color w:val="1F4E79"/>
          <w:sz w:val="24"/>
          <w:szCs w:val="24"/>
        </w:rPr>
        <w:t xml:space="preserve">11.5 Uncertainty and Monte Carlo methods</w:t>
      </w:r>
    </w:p>
    <w:p>
      <w:pPr>
        <w:spacing w:after="140" w:line="276"/>
        <w:jc w:val="both"/>
      </w:pPr>
      <w:r>
        <w:rPr>
          <w:rFonts w:ascii="Calibri" w:cs="Calibri" w:eastAsia="Calibri" w:hAnsi="Calibri"/>
          <w:b w:val="false"/>
          <w:bCs w:val="false"/>
          <w:i w:val="false"/>
          <w:iCs w:val="false"/>
          <w:sz w:val="21"/>
          <w:szCs w:val="21"/>
        </w:rPr>
        <w:t xml:space="preserve">A widely cited probabilistic lifecycle-cost model for stationary batteries found that parameter uncertainty (price, lifetime, efficiency) often exceeds the mean cost differences between competing battery chemistries — a finding directly relevant to why this proposal treats Monte Carlo uncertainty analysis as a recommended, not merely decorative, component [10].</w:t>
      </w:r>
    </w:p>
    <w:p>
      <w:pPr>
        <w:pStyle w:val="Heading2"/>
        <w:spacing w:after="120" w:before="220"/>
      </w:pPr>
      <w:r>
        <w:rPr>
          <w:rFonts w:ascii="Calibri" w:cs="Calibri" w:eastAsia="Calibri" w:hAnsi="Calibri"/>
          <w:b/>
          <w:bCs/>
          <w:color w:val="1F4E79"/>
          <w:sz w:val="24"/>
          <w:szCs w:val="24"/>
        </w:rPr>
        <w:t xml:space="preserve">11.6 Bangladesh-specific electric easy-bike/e-rickshaw research</w:t>
      </w:r>
    </w:p>
    <w:p>
      <w:pPr>
        <w:spacing w:after="140" w:line="276"/>
        <w:jc w:val="both"/>
      </w:pPr>
      <w:r>
        <w:rPr>
          <w:rFonts w:ascii="Calibri" w:cs="Calibri" w:eastAsia="Calibri" w:hAnsi="Calibri"/>
          <w:b w:val="false"/>
          <w:bCs w:val="false"/>
          <w:i w:val="false"/>
          <w:iCs w:val="false"/>
          <w:sz w:val="21"/>
          <w:szCs w:val="21"/>
        </w:rPr>
        <w:t xml:space="preserve">Bangladesh-specific studies to date (Sylhet, Rangpur, Comilla, and a national urban-transport review) establish baseline operating and cost patterns — typical battery counts, charging duration, and daily electricity cost per vehicle — but predate widespread lithium adoption and do not compare battery chemistries [5], [6], [8]. Recent secondary-source-based work on the sector's rapid growth documents both its socioeconomic value and its regulatory and infrastructural tensions but is not battery-focused [7], [19]. A University of Warwick initiative exploring second-life EV batteries for Bangladesh rickshaws confirms both the sector's interest in lithium alternatives and the currently short (six-to-twelve-month) observed life of incumbent easy-bike batteries [9].</w:t>
      </w:r>
    </w:p>
    <w:p>
      <w:pPr>
        <w:pStyle w:val="Heading2"/>
        <w:spacing w:after="120" w:before="220"/>
      </w:pPr>
      <w:r>
        <w:rPr>
          <w:rFonts w:ascii="Calibri" w:cs="Calibri" w:eastAsia="Calibri" w:hAnsi="Calibri"/>
          <w:b/>
          <w:bCs/>
          <w:color w:val="1F4E79"/>
          <w:sz w:val="24"/>
          <w:szCs w:val="24"/>
        </w:rPr>
        <w:t xml:space="preserve">11.7 Battery recycling, scrap value, and environmental context</w:t>
      </w:r>
    </w:p>
    <w:p>
      <w:pPr>
        <w:spacing w:after="140" w:line="276"/>
        <w:jc w:val="both"/>
      </w:pPr>
      <w:r>
        <w:rPr>
          <w:rFonts w:ascii="Calibri" w:cs="Calibri" w:eastAsia="Calibri" w:hAnsi="Calibri"/>
          <w:b w:val="false"/>
          <w:bCs w:val="false"/>
          <w:i w:val="false"/>
          <w:iCs w:val="false"/>
          <w:sz w:val="21"/>
          <w:szCs w:val="21"/>
        </w:rPr>
        <w:t xml:space="preserve">Bangladesh's lead-acid recycling sector is documented as overwhelmingly informal, with UNEP estimating that more than 80% of recycled lead passes through unregulated operations and identifying over a thousand informal recycling sites nationally [14]; domestic reporting corroborates this and cites more than 6,000 informal recycling operations under an earlier estimate [15]. Any environmental or scrap-value modeling in this study must treat this informal-sector reality explicitly rather than assuming a generic, formal-sector recycling pathway.</w:t>
      </w:r>
    </w:p>
    <w:p>
      <w:pPr>
        <w:pStyle w:val="Heading2"/>
        <w:spacing w:after="120" w:before="220"/>
      </w:pPr>
      <w:r>
        <w:rPr>
          <w:rFonts w:ascii="Calibri" w:cs="Calibri" w:eastAsia="Calibri" w:hAnsi="Calibri"/>
          <w:b/>
          <w:bCs/>
          <w:color w:val="1F4E79"/>
          <w:sz w:val="24"/>
          <w:szCs w:val="24"/>
        </w:rPr>
        <w:t xml:space="preserve">11.8 Policy</w:t>
      </w:r>
    </w:p>
    <w:p>
      <w:pPr>
        <w:spacing w:after="140" w:line="276"/>
        <w:jc w:val="both"/>
      </w:pPr>
      <w:r>
        <w:rPr>
          <w:rFonts w:ascii="Calibri" w:cs="Calibri" w:eastAsia="Calibri" w:hAnsi="Calibri"/>
          <w:b w:val="false"/>
          <w:bCs w:val="false"/>
          <w:i w:val="false"/>
          <w:iCs w:val="false"/>
          <w:sz w:val="21"/>
          <w:szCs w:val="21"/>
        </w:rPr>
        <w:t xml:space="preserve">Bangladesh has an official 30%-by-2030 EV market-share target and has introduced import-duty and VAT incentives for EVs, batteries, and local assembly, including specific duty relief for locally assembled e-bike batteries [16]–[18]. At the same time, the regulatory status of battery-run rickshaws themselves (as opposed to the batteries) remains unsettled, with recent proposals to restrict them from major roads [19]. Policy-scenario modeling in this study must be framed against this evolving and only partially settled policy landscape.</w:t>
      </w:r>
    </w:p>
    <w:p>
      <w:pPr>
        <w:pStyle w:val="Heading2"/>
        <w:spacing w:after="120" w:before="220"/>
      </w:pPr>
      <w:r>
        <w:rPr>
          <w:rFonts w:ascii="Calibri" w:cs="Calibri" w:eastAsia="Calibri" w:hAnsi="Calibri"/>
          <w:b/>
          <w:bCs/>
          <w:color w:val="1F4E79"/>
          <w:sz w:val="24"/>
          <w:szCs w:val="24"/>
        </w:rPr>
        <w:t xml:space="preserve">11.9 Synthesis and provisional gap</w:t>
      </w:r>
    </w:p>
    <w:p>
      <w:pPr>
        <w:spacing w:after="140" w:line="276"/>
        <w:jc w:val="both"/>
      </w:pPr>
      <w:r>
        <w:rPr>
          <w:rFonts w:ascii="Calibri" w:cs="Calibri" w:eastAsia="Calibri" w:hAnsi="Calibri"/>
          <w:b w:val="false"/>
          <w:bCs w:val="false"/>
          <w:i w:val="false"/>
          <w:iCs w:val="false"/>
          <w:sz w:val="21"/>
          <w:szCs w:val="21"/>
        </w:rPr>
        <w:t xml:space="preserve">Taken together, the literature confirms each individual building block of the proposed framework (e-rickshaw-specific lead-acid and LFP degradation, general TCO and Monte Carlo methodology, Bangladesh operational baselines, and Bangladesh recycling/policy context) but no single identified study combines them into a three-way, Bangladesh-specific, degradation-linked TCO and environmental comparison for easy-bikes. This supports — provisionally — the research gap stated in Section 4.</w:t>
      </w:r>
    </w:p>
    <w:p>
      <w:pPr>
        <w:pStyle w:val="Heading1"/>
        <w:spacing w:after="160" w:before="320"/>
      </w:pPr>
      <w:r>
        <w:rPr>
          <w:rFonts w:ascii="Calibri" w:cs="Calibri" w:eastAsia="Calibri" w:hAnsi="Calibri"/>
          <w:b/>
          <w:bCs/>
          <w:color w:val="1F4E79"/>
          <w:sz w:val="28"/>
          <w:szCs w:val="28"/>
        </w:rPr>
        <w:t xml:space="preserve">12. Conceptual Framework</w:t>
      </w:r>
    </w:p>
    <w:p>
      <w:pPr>
        <w:spacing w:after="140" w:line="276"/>
        <w:jc w:val="both"/>
      </w:pPr>
      <w:r>
        <w:rPr>
          <w:rFonts w:ascii="Calibri" w:cs="Calibri" w:eastAsia="Calibri" w:hAnsi="Calibri"/>
          <w:b w:val="false"/>
          <w:bCs w:val="false"/>
          <w:i w:val="false"/>
          <w:iCs w:val="false"/>
          <w:sz w:val="21"/>
          <w:szCs w:val="21"/>
        </w:rPr>
        <w:t xml:space="preserve">The study follows a single consistent analytical flow, applied in parallel to the three battery technologies:</w:t>
      </w:r>
    </w:p>
    <w:p>
      <w:pPr>
        <w:spacing w:after="140" w:line="276"/>
        <w:jc w:val="both"/>
      </w:pPr>
      <w:r>
        <w:rPr>
          <w:rFonts w:ascii="Calibri" w:cs="Calibri" w:eastAsia="Calibri" w:hAnsi="Calibri"/>
          <w:b w:val="false"/>
          <w:bCs w:val="false"/>
          <w:i/>
          <w:iCs/>
          <w:sz w:val="21"/>
          <w:szCs w:val="21"/>
        </w:rPr>
        <w:t xml:space="preserve">Bangladesh operating conditions (climate, tariff, utilization) → easy-bike usage pattern → battery energy requirement (per chemistry) → temperature-, DoD-, and cycling-dependent degradation → state of health / useful lifetime → replacement frequency → electricity + maintenance + replacement cost → scrap/recovery value → discounted total cost of ownership → break-even analysis → sensitivity analysis → (recommended: Monte Carlo uncertainty) → simplified environmental comparison → policy scenarios → conclusions.</w:t>
      </w:r>
    </w:p>
    <w:p>
      <w:pPr>
        <w:spacing w:after="140" w:line="276"/>
        <w:jc w:val="both"/>
      </w:pPr>
      <w:r>
        <w:rPr>
          <w:rFonts w:ascii="Calibri" w:cs="Calibri" w:eastAsia="Calibri" w:hAnsi="Calibri"/>
          <w:b w:val="false"/>
          <w:bCs w:val="false"/>
          <w:i w:val="false"/>
          <w:iCs w:val="false"/>
          <w:sz w:val="21"/>
          <w:szCs w:val="21"/>
        </w:rPr>
        <w:t xml:space="preserve">A publication-quality version of this diagram will be produced once the modeling stage begins (Section 17, Phase 3); it is presented here in text form to avoid prematurely fixing a visual design before the model structure is finalized.</w:t>
      </w:r>
    </w:p>
    <w:p>
      <w:pPr>
        <w:pStyle w:val="Heading1"/>
        <w:spacing w:after="160" w:before="320"/>
      </w:pPr>
      <w:r>
        <w:rPr>
          <w:rFonts w:ascii="Calibri" w:cs="Calibri" w:eastAsia="Calibri" w:hAnsi="Calibri"/>
          <w:b/>
          <w:bCs/>
          <w:color w:val="1F4E79"/>
          <w:sz w:val="28"/>
          <w:szCs w:val="28"/>
        </w:rPr>
        <w:t xml:space="preserve">13. Data and Methodology</w:t>
      </w:r>
    </w:p>
    <w:p>
      <w:pPr>
        <w:pStyle w:val="Heading2"/>
        <w:spacing w:after="120" w:before="220"/>
      </w:pPr>
      <w:r>
        <w:rPr>
          <w:rFonts w:ascii="Calibri" w:cs="Calibri" w:eastAsia="Calibri" w:hAnsi="Calibri"/>
          <w:b/>
          <w:bCs/>
          <w:color w:val="1F4E79"/>
          <w:sz w:val="24"/>
          <w:szCs w:val="24"/>
        </w:rPr>
        <w:t xml:space="preserve">13.1 Study area</w:t>
      </w:r>
    </w:p>
    <w:p>
      <w:pPr>
        <w:spacing w:after="140" w:line="276"/>
        <w:jc w:val="both"/>
      </w:pPr>
      <w:r>
        <w:rPr>
          <w:rFonts w:ascii="Calibri" w:cs="Calibri" w:eastAsia="Calibri" w:hAnsi="Calibri"/>
          <w:b w:val="false"/>
          <w:bCs w:val="false"/>
          <w:i w:val="false"/>
          <w:iCs w:val="false"/>
          <w:sz w:val="21"/>
          <w:szCs w:val="21"/>
        </w:rPr>
        <w:t xml:space="preserve">Candidate locations include Khulna, Dhaka, Rangpur, and Comilla — all sites with documented easy-bike/e-rickshaw activity in prior studies [6], [8] — but the final one-to-three locations will be selected based on accessibility, geographic/climatic variation, and feasibility for the researcher, and justified explicitly in the final methodology chapter rather than assumed here.</w:t>
      </w:r>
    </w:p>
    <w:p>
      <w:pPr>
        <w:pStyle w:val="Heading2"/>
        <w:spacing w:after="120" w:before="220"/>
      </w:pPr>
      <w:r>
        <w:rPr>
          <w:rFonts w:ascii="Calibri" w:cs="Calibri" w:eastAsia="Calibri" w:hAnsi="Calibri"/>
          <w:b/>
          <w:bCs/>
          <w:color w:val="1F4E79"/>
          <w:sz w:val="24"/>
          <w:szCs w:val="24"/>
        </w:rPr>
        <w:t xml:space="preserve">13.2 Sampling and survey</w:t>
      </w:r>
    </w:p>
    <w:p>
      <w:pPr>
        <w:spacing w:after="140" w:line="276"/>
        <w:jc w:val="both"/>
      </w:pPr>
      <w:r>
        <w:rPr>
          <w:rFonts w:ascii="Calibri" w:cs="Calibri" w:eastAsia="Calibri" w:hAnsi="Calibri"/>
          <w:b w:val="false"/>
          <w:bCs w:val="false"/>
          <w:i w:val="false"/>
          <w:iCs w:val="false"/>
          <w:sz w:val="21"/>
          <w:szCs w:val="21"/>
        </w:rPr>
        <w:t xml:space="preserve">Given the compressed four-month timeline (Section 17), the target sample is scaled down from the originally proposed 100–150 respondents to a feasible 60–80 operators across two locations (extendable to a third if time permits), covering both lead-acid and lithium (where available) users. A structured questionnaire will capture, per the variable list in the audit already delivered: operator profile; vehicle and motor specifications; battery chemistry, brand, count, voltage, Ah, age, purchase price, and replacement history; charging frequency, duration, and cost; usage intensity and estimated DoD; maintenance costs; end-of-life/resale practices and scrap value; and, for lead-acid users, awareness of and willingness to adopt lithium alternatives. The instrument will be piloted with 8–10 operators before the main survey.</w:t>
      </w:r>
    </w:p>
    <w:p>
      <w:pPr>
        <w:pStyle w:val="Heading2"/>
        <w:spacing w:after="120" w:before="220"/>
      </w:pPr>
      <w:r>
        <w:rPr>
          <w:rFonts w:ascii="Calibri" w:cs="Calibri" w:eastAsia="Calibri" w:hAnsi="Calibri"/>
          <w:b/>
          <w:bCs/>
          <w:color w:val="1F4E79"/>
          <w:sz w:val="24"/>
          <w:szCs w:val="24"/>
        </w:rPr>
        <w:t xml:space="preserve">13.3 Secondary data</w:t>
      </w:r>
    </w:p>
    <w:p>
      <w:pPr>
        <w:spacing w:after="140" w:line="276"/>
        <w:jc w:val="both"/>
      </w:pPr>
      <w:r>
        <w:rPr>
          <w:rFonts w:ascii="Calibri" w:cs="Calibri" w:eastAsia="Calibri" w:hAnsi="Calibri"/>
          <w:b w:val="false"/>
          <w:bCs w:val="false"/>
          <w:i w:val="false"/>
          <w:iCs w:val="false"/>
          <w:sz w:val="21"/>
          <w:szCs w:val="21"/>
        </w:rPr>
        <w:t xml:space="preserve">Secondary data will be sourced, in priority order, from: Bangladesh Bureau of Statistics (BBS), Bangladesh Energy Regulatory Commission (BERC), Sustainable and Renewable Energy Development Authority (SREDA), relevant ministries, National Board of Revenue (NBR) customs/duty schedules, peer-reviewed literature, and manufacturer datasheets. Required items include the applicable electricity tariff category and rate, seasonal temperature data, an easy-bike fleet-size estimate with a traceable source, current import duty/VAT treatment of batteries, and the national grid emission factor.</w:t>
      </w:r>
    </w:p>
    <w:p>
      <w:pPr>
        <w:spacing w:after="140"/>
      </w:pPr>
      <w:r>
        <w:rPr>
          <w:rFonts w:ascii="Calibri" w:cs="Calibri" w:eastAsia="Calibri" w:hAnsi="Calibri"/>
          <w:b/>
          <w:bCs/>
          <w:color w:val="B02418"/>
          <w:sz w:val="20"/>
          <w:szCs w:val="20"/>
        </w:rPr>
        <w:t xml:space="preserve">[DATA REQUIRED]  </w:t>
      </w:r>
      <w:r>
        <w:rPr>
          <w:rFonts w:ascii="Calibri" w:cs="Calibri" w:eastAsia="Calibri" w:hAnsi="Calibri"/>
          <w:i/>
          <w:iCs/>
          <w:sz w:val="20"/>
          <w:szCs w:val="20"/>
        </w:rPr>
        <w:t xml:space="preserve">Electricity tariff, seasonal temperature series, fleet-size estimate, and grid emission factor are not yet sourced and must be obtained during Phase 2 of the work plan before any model can be populated with real numbers.</w:t>
      </w:r>
    </w:p>
    <w:p>
      <w:pPr>
        <w:pStyle w:val="Heading2"/>
        <w:spacing w:after="120" w:before="220"/>
      </w:pPr>
      <w:r>
        <w:rPr>
          <w:rFonts w:ascii="Calibri" w:cs="Calibri" w:eastAsia="Calibri" w:hAnsi="Calibri"/>
          <w:b/>
          <w:bCs/>
          <w:color w:val="1F4E79"/>
          <w:sz w:val="24"/>
          <w:szCs w:val="24"/>
        </w:rPr>
        <w:t xml:space="preserve">13.4 Energy model</w:t>
      </w:r>
    </w:p>
    <w:p>
      <w:pPr>
        <w:spacing w:after="140" w:line="276"/>
        <w:jc w:val="both"/>
      </w:pPr>
      <w:r>
        <w:rPr>
          <w:rFonts w:ascii="Calibri" w:cs="Calibri" w:eastAsia="Calibri" w:hAnsi="Calibri"/>
          <w:b w:val="false"/>
          <w:bCs w:val="false"/>
          <w:i w:val="false"/>
          <w:iCs w:val="false"/>
          <w:sz w:val="21"/>
          <w:szCs w:val="21"/>
        </w:rPr>
        <w:t xml:space="preserve">Battery nominal and usable energy will be computed as:</w:t>
      </w:r>
    </w:p>
    <w:p>
      <w:pPr>
        <w:spacing w:after="120" w:before="80"/>
        <w:jc w:val="center"/>
      </w:pPr>
      <w:r>
        <w:rPr>
          <w:rFonts w:ascii="Cambria Math" w:cs="Cambria Math" w:eastAsia="Cambria Math" w:hAnsi="Cambria Math"/>
          <w:i/>
          <w:iCs/>
          <w:sz w:val="21"/>
          <w:szCs w:val="21"/>
        </w:rPr>
        <w:t xml:space="preserve">E_nom = V × Ah          E_usable = V × Ah × DoD</w:t>
      </w:r>
    </w:p>
    <w:p>
      <w:pPr>
        <w:spacing w:after="140" w:line="276"/>
        <w:jc w:val="both"/>
      </w:pPr>
      <w:r>
        <w:rPr>
          <w:rFonts w:ascii="Calibri" w:cs="Calibri" w:eastAsia="Calibri" w:hAnsi="Calibri"/>
          <w:b w:val="false"/>
          <w:bCs w:val="false"/>
          <w:i w:val="false"/>
          <w:iCs w:val="false"/>
          <w:sz w:val="21"/>
          <w:szCs w:val="21"/>
        </w:rPr>
        <w:t xml:space="preserve">Grid-side charging energy accounts for round-trip losses:</w:t>
      </w:r>
    </w:p>
    <w:p>
      <w:pPr>
        <w:spacing w:after="120" w:before="80"/>
        <w:jc w:val="center"/>
      </w:pPr>
      <w:r>
        <w:rPr>
          <w:rFonts w:ascii="Cambria Math" w:cs="Cambria Math" w:eastAsia="Cambria Math" w:hAnsi="Cambria Math"/>
          <w:i/>
          <w:iCs/>
          <w:sz w:val="21"/>
          <w:szCs w:val="21"/>
        </w:rPr>
        <w:t xml:space="preserve">E_grid = E_usable / (η_battery × η_charger)</w:t>
      </w:r>
    </w:p>
    <w:p>
      <w:pPr>
        <w:spacing w:after="140" w:line="276"/>
        <w:jc w:val="both"/>
      </w:pPr>
      <w:r>
        <w:rPr>
          <w:rFonts w:ascii="Calibri" w:cs="Calibri" w:eastAsia="Calibri" w:hAnsi="Calibri"/>
          <w:b w:val="false"/>
          <w:bCs w:val="false"/>
          <w:i w:val="false"/>
          <w:iCs w:val="false"/>
          <w:sz w:val="21"/>
          <w:szCs w:val="21"/>
        </w:rPr>
        <w:t xml:space="preserve">Daily and annual vehicle energy demand follow from surveyed daily distance and an energy-per-km figure derived from the survey and literature:</w:t>
      </w:r>
    </w:p>
    <w:p>
      <w:pPr>
        <w:spacing w:after="120" w:before="80"/>
        <w:jc w:val="center"/>
      </w:pPr>
      <w:r>
        <w:rPr>
          <w:rFonts w:ascii="Cambria Math" w:cs="Cambria Math" w:eastAsia="Cambria Math" w:hAnsi="Cambria Math"/>
          <w:i/>
          <w:iCs/>
          <w:sz w:val="21"/>
          <w:szCs w:val="21"/>
        </w:rPr>
        <w:t xml:space="preserve">E_daily = D_daily × e_km          E_annual = E_daily × N_days</w:t>
      </w:r>
    </w:p>
    <w:p>
      <w:pPr>
        <w:pStyle w:val="Heading2"/>
        <w:spacing w:after="120" w:before="220"/>
      </w:pPr>
      <w:r>
        <w:rPr>
          <w:rFonts w:ascii="Calibri" w:cs="Calibri" w:eastAsia="Calibri" w:hAnsi="Calibri"/>
          <w:b/>
          <w:bCs/>
          <w:color w:val="1F4E79"/>
          <w:sz w:val="24"/>
          <w:szCs w:val="24"/>
        </w:rPr>
        <w:t xml:space="preserve">13.5 Degradation and lifetime model</w:t>
      </w:r>
    </w:p>
    <w:p>
      <w:pPr>
        <w:spacing w:after="140" w:line="276"/>
        <w:jc w:val="both"/>
      </w:pPr>
      <w:r>
        <w:rPr>
          <w:rFonts w:ascii="Calibri" w:cs="Calibri" w:eastAsia="Calibri" w:hAnsi="Calibri"/>
          <w:b w:val="false"/>
          <w:bCs w:val="false"/>
          <w:i w:val="false"/>
          <w:iCs w:val="false"/>
          <w:sz w:val="21"/>
          <w:szCs w:val="21"/>
        </w:rPr>
        <w:t xml:space="preserve">State of health for each chemistry i (lead-acid, NMC, LFP) will be modeled as a function of cycle count, temperature, DoD, and charge/discharge rate where data support it:</w:t>
      </w:r>
    </w:p>
    <w:p>
      <w:pPr>
        <w:spacing w:after="120" w:before="80"/>
        <w:jc w:val="center"/>
      </w:pPr>
      <w:r>
        <w:rPr>
          <w:rFonts w:ascii="Cambria Math" w:cs="Cambria Math" w:eastAsia="Cambria Math" w:hAnsi="Cambria Math"/>
          <w:i/>
          <w:iCs/>
          <w:sz w:val="21"/>
          <w:szCs w:val="21"/>
        </w:rPr>
        <w:t xml:space="preserve">SoH_i = f(N, T, DoD, C)</w:t>
      </w:r>
    </w:p>
    <w:p>
      <w:pPr>
        <w:spacing w:after="140" w:line="276"/>
        <w:jc w:val="both"/>
      </w:pPr>
      <w:r>
        <w:rPr>
          <w:rFonts w:ascii="Calibri" w:cs="Calibri" w:eastAsia="Calibri" w:hAnsi="Calibri"/>
          <w:b w:val="false"/>
          <w:bCs w:val="false"/>
          <w:i w:val="false"/>
          <w:iCs w:val="false"/>
          <w:sz w:val="21"/>
          <w:szCs w:val="21"/>
        </w:rPr>
        <w:t xml:space="preserve">Rather than fitting an original Arrhenius model from scratch — which the available timeline and lack of cell-testing equipment do not support — temperature and DoD sensitivity will be represented using scenario multipliers drawn from the reviewed literature (e.g., the temperature-dependent cycle-life reductions reported for LFP and NMC at elevated temperature [12], [13]) rather than invented coefficients. An 80% state-of-health end-of-life threshold is adopted provisionally, consistent with common industry and literature practice, but will be reconsidered against Bangladesh operator behavior (operators may run batteries well past 80% SoH in practice) during survey analysis.</w:t>
      </w:r>
    </w:p>
    <w:p>
      <w:pPr>
        <w:spacing w:after="140" w:line="276"/>
        <w:jc w:val="both"/>
      </w:pPr>
      <w:r>
        <w:rPr>
          <w:rFonts w:ascii="Calibri" w:cs="Calibri" w:eastAsia="Calibri" w:hAnsi="Calibri"/>
          <w:b w:val="false"/>
          <w:bCs w:val="false"/>
          <w:i w:val="false"/>
          <w:iCs w:val="false"/>
          <w:sz w:val="21"/>
          <w:szCs w:val="21"/>
        </w:rPr>
        <w:t xml:space="preserve">Cycles to end-of-life are converted to calendar lifetime using surveyed utilization:</w:t>
      </w:r>
    </w:p>
    <w:p>
      <w:pPr>
        <w:spacing w:after="120" w:before="80"/>
        <w:jc w:val="center"/>
      </w:pPr>
      <w:r>
        <w:rPr>
          <w:rFonts w:ascii="Cambria Math" w:cs="Cambria Math" w:eastAsia="Cambria Math" w:hAnsi="Cambria Math"/>
          <w:i/>
          <w:iCs/>
          <w:sz w:val="21"/>
          <w:szCs w:val="21"/>
        </w:rPr>
        <w:t xml:space="preserve">Lifetime = N_EOL / (Cycles/day × Days/year)</w:t>
      </w:r>
    </w:p>
    <w:p>
      <w:pPr>
        <w:pStyle w:val="Heading2"/>
        <w:spacing w:after="120" w:before="220"/>
      </w:pPr>
      <w:r>
        <w:rPr>
          <w:rFonts w:ascii="Calibri" w:cs="Calibri" w:eastAsia="Calibri" w:hAnsi="Calibri"/>
          <w:b/>
          <w:bCs/>
          <w:color w:val="1F4E79"/>
          <w:sz w:val="24"/>
          <w:szCs w:val="24"/>
        </w:rPr>
        <w:t xml:space="preserve">13.6 Replacement and total cost of ownership</w:t>
      </w:r>
    </w:p>
    <w:p>
      <w:pPr>
        <w:spacing w:after="140" w:line="276"/>
        <w:jc w:val="both"/>
      </w:pPr>
      <w:r>
        <w:rPr>
          <w:rFonts w:ascii="Calibri" w:cs="Calibri" w:eastAsia="Calibri" w:hAnsi="Calibri"/>
          <w:b w:val="false"/>
          <w:bCs w:val="false"/>
          <w:i w:val="false"/>
          <w:iCs w:val="false"/>
          <w:sz w:val="21"/>
          <w:szCs w:val="21"/>
        </w:rPr>
        <w:t xml:space="preserve">Replacement events follow directly from the lifetime estimate for each technology. Total cost of ownership is computed as:</w:t>
      </w:r>
    </w:p>
    <w:p>
      <w:pPr>
        <w:spacing w:after="120" w:before="80"/>
        <w:jc w:val="center"/>
      </w:pPr>
      <w:r>
        <w:rPr>
          <w:rFonts w:ascii="Cambria Math" w:cs="Cambria Math" w:eastAsia="Cambria Math" w:hAnsi="Cambria Math"/>
          <w:i/>
          <w:iCs/>
          <w:sz w:val="21"/>
          <w:szCs w:val="21"/>
        </w:rPr>
        <w:t xml:space="preserve">TCO_i = C_initial,i + C_replacement,i + C_electricity,i + C_maintenance,i − C_scrap,i</w:t>
      </w:r>
    </w:p>
    <w:p>
      <w:pPr>
        <w:spacing w:after="140" w:line="276"/>
        <w:jc w:val="both"/>
      </w:pPr>
      <w:r>
        <w:rPr>
          <w:rFonts w:ascii="Calibri" w:cs="Calibri" w:eastAsia="Calibri" w:hAnsi="Calibri"/>
          <w:b w:val="false"/>
          <w:bCs w:val="false"/>
          <w:i w:val="false"/>
          <w:iCs w:val="false"/>
          <w:sz w:val="21"/>
          <w:szCs w:val="21"/>
        </w:rPr>
        <w:t xml:space="preserve">computed for 5-year and 10-year horizons, and discounted to present value:</w:t>
      </w:r>
    </w:p>
    <w:p>
      <w:pPr>
        <w:spacing w:after="120" w:before="80"/>
        <w:jc w:val="center"/>
      </w:pPr>
      <w:r>
        <w:rPr>
          <w:rFonts w:ascii="Cambria Math" w:cs="Cambria Math" w:eastAsia="Cambria Math" w:hAnsi="Cambria Math"/>
          <w:i/>
          <w:iCs/>
          <w:sz w:val="21"/>
          <w:szCs w:val="21"/>
        </w:rPr>
        <w:t xml:space="preserve">NPV = Σ (t=0 to n)  C_t / (1 + r)^t</w:t>
      </w:r>
    </w:p>
    <w:p>
      <w:pPr>
        <w:spacing w:after="140" w:line="276"/>
        <w:jc w:val="both"/>
      </w:pPr>
      <w:r>
        <w:rPr>
          <w:rFonts w:ascii="Calibri" w:cs="Calibri" w:eastAsia="Calibri" w:hAnsi="Calibri"/>
          <w:b w:val="false"/>
          <w:bCs w:val="false"/>
          <w:i w:val="false"/>
          <w:iCs w:val="false"/>
          <w:sz w:val="21"/>
          <w:szCs w:val="21"/>
        </w:rPr>
        <w:t xml:space="preserve">consistent with standard EV TCO formulations in the literature [11], [12]. The discount rate will not be fixed at a single arbitrary value; instead it will be tested across a plausible range as part of sensitivity analysis (Section 13.8).</w:t>
      </w:r>
    </w:p>
    <w:p>
      <w:pPr>
        <w:pStyle w:val="Heading2"/>
        <w:spacing w:after="120" w:before="220"/>
      </w:pPr>
      <w:r>
        <w:rPr>
          <w:rFonts w:ascii="Calibri" w:cs="Calibri" w:eastAsia="Calibri" w:hAnsi="Calibri"/>
          <w:b/>
          <w:bCs/>
          <w:color w:val="1F4E79"/>
          <w:sz w:val="24"/>
          <w:szCs w:val="24"/>
        </w:rPr>
        <w:t xml:space="preserve">13.7 Break-even analysis</w:t>
      </w:r>
    </w:p>
    <w:p>
      <w:pPr>
        <w:spacing w:after="140" w:line="276"/>
        <w:jc w:val="both"/>
      </w:pPr>
      <w:r>
        <w:rPr>
          <w:rFonts w:ascii="Calibri" w:cs="Calibri" w:eastAsia="Calibri" w:hAnsi="Calibri"/>
          <w:b w:val="false"/>
          <w:bCs w:val="false"/>
          <w:i w:val="false"/>
          <w:iCs w:val="false"/>
          <w:sz w:val="21"/>
          <w:szCs w:val="21"/>
        </w:rPr>
        <w:t xml:space="preserve">Pairwise break-even points (lead-acid vs. NMC, lead-acid vs. LFP, NMC vs. LFP) will be calculated for break-even year, mileage, and battery price premium. Where no break-even occurs within the analyzed horizon, this will be reported explicitly rather than forced.</w:t>
      </w:r>
    </w:p>
    <w:p>
      <w:pPr>
        <w:pStyle w:val="Heading2"/>
        <w:spacing w:after="120" w:before="220"/>
      </w:pPr>
      <w:r>
        <w:rPr>
          <w:rFonts w:ascii="Calibri" w:cs="Calibri" w:eastAsia="Calibri" w:hAnsi="Calibri"/>
          <w:b/>
          <w:bCs/>
          <w:color w:val="1F4E79"/>
          <w:sz w:val="24"/>
          <w:szCs w:val="24"/>
        </w:rPr>
        <w:t xml:space="preserve">13.8 Sensitivity and uncertainty analysis</w:t>
      </w:r>
    </w:p>
    <w:p>
      <w:pPr>
        <w:spacing w:after="140" w:line="276"/>
        <w:jc w:val="both"/>
      </w:pPr>
      <w:r>
        <w:rPr>
          <w:rFonts w:ascii="Calibri" w:cs="Calibri" w:eastAsia="Calibri" w:hAnsi="Calibri"/>
          <w:b w:val="false"/>
          <w:bCs w:val="false"/>
          <w:i w:val="false"/>
          <w:iCs w:val="false"/>
          <w:sz w:val="21"/>
          <w:szCs w:val="21"/>
        </w:rPr>
        <w:t xml:space="preserve">Essential: one-at-a-time sensitivity analysis across battery price, lifetime, temperature, daily distance, DoD, efficiency, electricity tariff, scrap value, maintenance cost, and discount rate, presented as a tornado chart. Recommended (time-permitting): two-variable heat maps and a Monte Carlo simulation drawing on literature-justified parameter ranges [10] to estimate the probability that each technology has the lowest TCO, reported with median and 5th/95th percentile bounds. Monte Carlo will not proceed on invented probability distributions; if literature-justified ranges cannot be assembled in time, this component will be dropped rather than filled with placeholder assumptions.</w:t>
      </w:r>
    </w:p>
    <w:p>
      <w:pPr>
        <w:pStyle w:val="Heading2"/>
        <w:spacing w:after="120" w:before="220"/>
      </w:pPr>
      <w:r>
        <w:rPr>
          <w:rFonts w:ascii="Calibri" w:cs="Calibri" w:eastAsia="Calibri" w:hAnsi="Calibri"/>
          <w:b/>
          <w:bCs/>
          <w:color w:val="1F4E79"/>
          <w:sz w:val="24"/>
          <w:szCs w:val="24"/>
        </w:rPr>
        <w:t xml:space="preserve">13.9 Environmental assessment</w:t>
      </w:r>
    </w:p>
    <w:p>
      <w:pPr>
        <w:spacing w:after="140" w:line="276"/>
        <w:jc w:val="both"/>
      </w:pPr>
      <w:r>
        <w:rPr>
          <w:rFonts w:ascii="Calibri" w:cs="Calibri" w:eastAsia="Calibri" w:hAnsi="Calibri"/>
          <w:b w:val="false"/>
          <w:bCs w:val="false"/>
          <w:i w:val="false"/>
          <w:iCs w:val="false"/>
          <w:sz w:val="21"/>
          <w:szCs w:val="21"/>
        </w:rPr>
        <w:t xml:space="preserve">A simplified, transparently bounded lifecycle-oriented comparison — not a full ISO-compliant LCA — covering manufacturing, operational (charging) emissions, replacement-related emissions, and end-of-life. Operational emissions:</w:t>
      </w:r>
    </w:p>
    <w:p>
      <w:pPr>
        <w:spacing w:after="120" w:before="80"/>
        <w:jc w:val="center"/>
      </w:pPr>
      <w:r>
        <w:rPr>
          <w:rFonts w:ascii="Cambria Math" w:cs="Cambria Math" w:eastAsia="Cambria Math" w:hAnsi="Cambria Math"/>
          <w:i/>
          <w:iCs/>
          <w:sz w:val="21"/>
          <w:szCs w:val="21"/>
        </w:rPr>
        <w:t xml:space="preserve">CO2_operation = E_electricity × EF_grid</w:t>
      </w:r>
    </w:p>
    <w:p>
      <w:pPr>
        <w:spacing w:after="140" w:line="276"/>
        <w:jc w:val="both"/>
      </w:pPr>
      <w:r>
        <w:rPr>
          <w:rFonts w:ascii="Calibri" w:cs="Calibri" w:eastAsia="Calibri" w:hAnsi="Calibri"/>
          <w:b w:val="false"/>
          <w:bCs w:val="false"/>
          <w:i w:val="false"/>
          <w:iCs w:val="false"/>
          <w:sz w:val="21"/>
          <w:szCs w:val="21"/>
        </w:rPr>
        <w:t xml:space="preserve">Manufacturing emissions will use chemistry-specific factors from literature where credible values exist (e.g., LFP-specific manufacturing LCA work under uncertainty [23]) rather than generic values. End-of-life treatment must explicitly reflect Bangladesh's largely informal lead-acid recycling sector [14], [15] rather than assuming a formal, high-recovery pathway. Results will be normalized to kg CO2-eq per vehicle-km to allow comparison despite different battery lifetimes.</w:t>
      </w:r>
    </w:p>
    <w:p>
      <w:pPr>
        <w:pStyle w:val="Heading2"/>
        <w:spacing w:after="120" w:before="220"/>
      </w:pPr>
      <w:r>
        <w:rPr>
          <w:rFonts w:ascii="Calibri" w:cs="Calibri" w:eastAsia="Calibri" w:hAnsi="Calibri"/>
          <w:b/>
          <w:bCs/>
          <w:color w:val="1F4E79"/>
          <w:sz w:val="24"/>
          <w:szCs w:val="24"/>
        </w:rPr>
        <w:t xml:space="preserve">13.10 Policy analysis</w:t>
      </w:r>
    </w:p>
    <w:p>
      <w:pPr>
        <w:spacing w:after="140" w:line="276"/>
        <w:jc w:val="both"/>
      </w:pPr>
      <w:r>
        <w:rPr>
          <w:rFonts w:ascii="Calibri" w:cs="Calibri" w:eastAsia="Calibri" w:hAnsi="Calibri"/>
          <w:b w:val="false"/>
          <w:bCs w:val="false"/>
          <w:i w:val="false"/>
          <w:iCs w:val="false"/>
          <w:sz w:val="21"/>
          <w:szCs w:val="21"/>
        </w:rPr>
        <w:t xml:space="preserve">A small number of realistic policy scenarios (e.g., a modest LFP/NMC subsidy or duty-reduction scenario, informed by Bangladesh's existing EV incentive structure [16]–[18], and a lead-acid take-back/recycling formalization scenario) will be evaluated against the TCO and environmental results, producing quantified thresholds (required subsidy or duty change for break-even) rather than unquantified policy narrative.</w:t>
      </w:r>
    </w:p>
    <w:p>
      <w:pPr>
        <w:pStyle w:val="Heading2"/>
        <w:spacing w:after="120" w:before="220"/>
      </w:pPr>
      <w:r>
        <w:rPr>
          <w:rFonts w:ascii="Calibri" w:cs="Calibri" w:eastAsia="Calibri" w:hAnsi="Calibri"/>
          <w:b/>
          <w:bCs/>
          <w:color w:val="1F4E79"/>
          <w:sz w:val="24"/>
          <w:szCs w:val="24"/>
        </w:rPr>
        <w:t xml:space="preserve">13.11 Statistical analysis of survey data</w:t>
      </w:r>
    </w:p>
    <w:p>
      <w:pPr>
        <w:spacing w:after="140" w:line="276"/>
        <w:jc w:val="both"/>
      </w:pPr>
      <w:r>
        <w:rPr>
          <w:rFonts w:ascii="Calibri" w:cs="Calibri" w:eastAsia="Calibri" w:hAnsi="Calibri"/>
          <w:b w:val="false"/>
          <w:bCs w:val="false"/>
          <w:i w:val="false"/>
          <w:iCs w:val="false"/>
          <w:sz w:val="21"/>
          <w:szCs w:val="21"/>
        </w:rPr>
        <w:t xml:space="preserve">Descriptive statistics (mean, median, SD, confidence intervals) for all survey variables; group comparisons between lead-acid and lithium users using t-test/Mann-Whitney or ANOVA/Kruskal-Wallis depending on distribution; Pearson/Spearman correlation between key variables (e.g., utilization vs. observed battery life); and, only if the achieved sample size supports it, a simple logistic regression on lithium-adoption willingness. No additional tests will be added merely to appear sophisticated.</w:t>
      </w:r>
    </w:p>
    <w:p>
      <w:pPr>
        <w:pStyle w:val="Heading2"/>
        <w:spacing w:after="120" w:before="220"/>
      </w:pPr>
      <w:r>
        <w:rPr>
          <w:rFonts w:ascii="Calibri" w:cs="Calibri" w:eastAsia="Calibri" w:hAnsi="Calibri"/>
          <w:b/>
          <w:bCs/>
          <w:color w:val="1F4E79"/>
          <w:sz w:val="24"/>
          <w:szCs w:val="24"/>
        </w:rPr>
        <w:t xml:space="preserve">13.12 MATLAB implementation</w:t>
      </w:r>
    </w:p>
    <w:p>
      <w:pPr>
        <w:spacing w:after="140" w:line="276"/>
        <w:jc w:val="both"/>
      </w:pPr>
      <w:r>
        <w:rPr>
          <w:rFonts w:ascii="Calibri" w:cs="Calibri" w:eastAsia="Calibri" w:hAnsi="Calibri"/>
          <w:b w:val="false"/>
          <w:bCs w:val="false"/>
          <w:i w:val="false"/>
          <w:iCs w:val="false"/>
          <w:sz w:val="21"/>
          <w:szCs w:val="21"/>
        </w:rPr>
        <w:t xml:space="preserve">MATLAB will implement the model in the following modular structure, matching the equations above one-to-one: 01_input_data.m, 02_energy_model.m, 03_degradation_model.m, 04_lifetime_model.m, 05_replacement_model.m, 06_TCO_model.m, 07_environmental_model.m, 08_break_even.m, 09_sensitivity_analysis.m, 10_monte_carlo.m (recommended), 11_statistics.m, 12_plot_results.m, using a consistent battery.LA / battery.NMC / battery.LFP data structure. MATLAB coding will not begin until the parameter set in Section 13.3 is populated with real, sourced data (see Section 17, Phase 3) — coding against placeholder numbers would produce a model that looks complete but means nothing.</w:t>
      </w:r>
    </w:p>
    <w:p>
      <w:pPr>
        <w:pStyle w:val="Heading2"/>
        <w:spacing w:after="120" w:before="220"/>
      </w:pPr>
      <w:r>
        <w:rPr>
          <w:rFonts w:ascii="Calibri" w:cs="Calibri" w:eastAsia="Calibri" w:hAnsi="Calibri"/>
          <w:b/>
          <w:bCs/>
          <w:color w:val="1F4E79"/>
          <w:sz w:val="24"/>
          <w:szCs w:val="24"/>
        </w:rPr>
        <w:t xml:space="preserve">13.13 Model validation</w:t>
      </w:r>
    </w:p>
    <w:p>
      <w:pPr>
        <w:spacing w:after="140" w:line="276"/>
        <w:jc w:val="both"/>
      </w:pPr>
      <w:r>
        <w:rPr>
          <w:rFonts w:ascii="Calibri" w:cs="Calibri" w:eastAsia="Calibri" w:hAnsi="Calibri"/>
          <w:b w:val="false"/>
          <w:bCs w:val="false"/>
          <w:i w:val="false"/>
          <w:iCs w:val="false"/>
          <w:sz w:val="21"/>
          <w:szCs w:val="21"/>
        </w:rPr>
        <w:t xml:space="preserve">Energy consumption will be checked against survey-reported charging cost/duration; degradation/lifetime estimates against the literature values cited in Section 11.2–11.3; and TCO outputs against observed market prices reported by survey respondents. Predicted-vs-reference comparisons will report absolute and percentage error; where validation is not possible for a given component, this will be stated explicitly as a limitation rather than omitted.</w:t>
      </w:r>
    </w:p>
    <w:p>
      <w:pPr>
        <w:pStyle w:val="Heading1"/>
        <w:spacing w:after="160" w:before="320"/>
      </w:pPr>
      <w:r>
        <w:rPr>
          <w:rFonts w:ascii="Calibri" w:cs="Calibri" w:eastAsia="Calibri" w:hAnsi="Calibri"/>
          <w:b/>
          <w:bCs/>
          <w:color w:val="1F4E79"/>
          <w:sz w:val="28"/>
          <w:szCs w:val="28"/>
        </w:rPr>
        <w:t xml:space="preserve">14. Expected Results</w:t>
      </w:r>
    </w:p>
    <w:p>
      <w:pPr>
        <w:spacing w:after="140" w:line="276"/>
        <w:jc w:val="both"/>
      </w:pPr>
      <w:r>
        <w:rPr>
          <w:rFonts w:ascii="Calibri" w:cs="Calibri" w:eastAsia="Calibri" w:hAnsi="Calibri"/>
          <w:b w:val="false"/>
          <w:bCs w:val="false"/>
          <w:i w:val="false"/>
          <w:iCs w:val="false"/>
          <w:sz w:val="21"/>
          <w:szCs w:val="21"/>
        </w:rPr>
        <w:t xml:space="preserve">This proposal makes no claim about actual findings, consistent with its status as a plan for future research. The study is expected to determine, rather than assume, a technical comparison of the three battery technologies; degradation and lifetime estimates under Bangladesh-relevant conditions; annual electricity consumption per technology; a replacement schedule; 5-year and 10-year TCO figures; break-even conditions (or their absence) between technology pairs; sensitivity rankings of the input parameters that matter most; a simplified environmental comparison; and quantified policy thresholds. Any of the outcomes in Section 8 (H1–H8) may be supported, partially supported, or rejected by the actual data.</w:t>
      </w:r>
    </w:p>
    <w:p>
      <w:pPr>
        <w:pStyle w:val="Heading1"/>
        <w:spacing w:after="160" w:before="320"/>
      </w:pPr>
      <w:r>
        <w:rPr>
          <w:rFonts w:ascii="Calibri" w:cs="Calibri" w:eastAsia="Calibri" w:hAnsi="Calibri"/>
          <w:b/>
          <w:bCs/>
          <w:color w:val="1F4E79"/>
          <w:sz w:val="28"/>
          <w:szCs w:val="28"/>
        </w:rPr>
        <w:t xml:space="preserve">15. Expected Contributions</w:t>
      </w:r>
    </w:p>
    <w:p>
      <w:pPr>
        <w:pStyle w:val="Heading2"/>
        <w:spacing w:after="120" w:before="220"/>
      </w:pPr>
      <w:r>
        <w:rPr>
          <w:rFonts w:ascii="Calibri" w:cs="Calibri" w:eastAsia="Calibri" w:hAnsi="Calibri"/>
          <w:b/>
          <w:bCs/>
          <w:color w:val="1F4E79"/>
          <w:sz w:val="24"/>
          <w:szCs w:val="24"/>
        </w:rPr>
        <w:t xml:space="preserve">15.1 Scientific</w:t>
      </w:r>
    </w:p>
    <w:p>
      <w:pPr>
        <w:spacing w:after="140" w:line="276"/>
        <w:jc w:val="both"/>
      </w:pPr>
      <w:r>
        <w:rPr>
          <w:rFonts w:ascii="Calibri" w:cs="Calibri" w:eastAsia="Calibri" w:hAnsi="Calibri"/>
          <w:b w:val="false"/>
          <w:bCs w:val="false"/>
          <w:i w:val="false"/>
          <w:iCs w:val="false"/>
          <w:sz w:val="21"/>
          <w:szCs w:val="21"/>
        </w:rPr>
        <w:t xml:space="preserve">A unified, Bangladesh-specific framework combining field data, degradation modeling, discounted TCO, scrap value, and a simplified environmental comparison for a vehicle class (easy-bikes) that is under-represented in the international battery-comparison literature relative to two-wheelers and passenger EVs [3], [10]–[13].</w:t>
      </w:r>
    </w:p>
    <w:p>
      <w:pPr>
        <w:pStyle w:val="Heading2"/>
        <w:spacing w:after="120" w:before="220"/>
      </w:pPr>
      <w:r>
        <w:rPr>
          <w:rFonts w:ascii="Calibri" w:cs="Calibri" w:eastAsia="Calibri" w:hAnsi="Calibri"/>
          <w:b/>
          <w:bCs/>
          <w:color w:val="1F4E79"/>
          <w:sz w:val="24"/>
          <w:szCs w:val="24"/>
        </w:rPr>
        <w:t xml:space="preserve">15.2 Practical</w:t>
      </w:r>
    </w:p>
    <w:p>
      <w:pPr>
        <w:spacing w:after="140" w:line="276"/>
        <w:jc w:val="both"/>
      </w:pPr>
      <w:r>
        <w:rPr>
          <w:rFonts w:ascii="Calibri" w:cs="Calibri" w:eastAsia="Calibri" w:hAnsi="Calibri"/>
          <w:b w:val="false"/>
          <w:bCs w:val="false"/>
          <w:i w:val="false"/>
          <w:iCs w:val="false"/>
          <w:sz w:val="21"/>
          <w:szCs w:val="21"/>
        </w:rPr>
        <w:t xml:space="preserve">Evidence usable by operators, battery suppliers, and vehicle assemblers to evaluate the real lifetime cost trade-off between chemistries.</w:t>
      </w:r>
    </w:p>
    <w:p>
      <w:pPr>
        <w:pStyle w:val="Heading2"/>
        <w:spacing w:after="120" w:before="220"/>
      </w:pPr>
      <w:r>
        <w:rPr>
          <w:rFonts w:ascii="Calibri" w:cs="Calibri" w:eastAsia="Calibri" w:hAnsi="Calibri"/>
          <w:b/>
          <w:bCs/>
          <w:color w:val="1F4E79"/>
          <w:sz w:val="24"/>
          <w:szCs w:val="24"/>
        </w:rPr>
        <w:t xml:space="preserve">15.3 Policy</w:t>
      </w:r>
    </w:p>
    <w:p>
      <w:pPr>
        <w:spacing w:after="140" w:line="276"/>
        <w:jc w:val="both"/>
      </w:pPr>
      <w:r>
        <w:rPr>
          <w:rFonts w:ascii="Calibri" w:cs="Calibri" w:eastAsia="Calibri" w:hAnsi="Calibri"/>
          <w:b w:val="false"/>
          <w:bCs w:val="false"/>
          <w:i w:val="false"/>
          <w:iCs w:val="false"/>
          <w:sz w:val="21"/>
          <w:szCs w:val="21"/>
        </w:rPr>
        <w:t xml:space="preserve">Quantitative thresholds that can inform Bangladesh's evolving EV incentive and informal-transport regulatory discussions [16]–[19].</w:t>
      </w:r>
    </w:p>
    <w:p>
      <w:pPr>
        <w:spacing w:after="140" w:line="276"/>
        <w:jc w:val="both"/>
      </w:pPr>
      <w:r>
        <w:rPr>
          <w:rFonts w:ascii="Calibri" w:cs="Calibri" w:eastAsia="Calibri" w:hAnsi="Calibri"/>
          <w:b w:val="false"/>
          <w:bCs w:val="false"/>
          <w:i w:val="false"/>
          <w:iCs w:val="false"/>
          <w:sz w:val="21"/>
          <w:szCs w:val="21"/>
        </w:rPr>
        <w:t xml:space="preserve">These are stated as potential contributions to be confirmed by the completed literature review and results, not guaranteed outcomes; the eventual journal quality will depend on the data, novelty, methodological rigor, and results actually obtained — Q1/Q2 publication is a target, not a promise.</w:t>
      </w:r>
    </w:p>
    <w:p>
      <w:pPr>
        <w:pStyle w:val="Heading1"/>
        <w:spacing w:after="160" w:before="320"/>
      </w:pPr>
      <w:r>
        <w:rPr>
          <w:rFonts w:ascii="Calibri" w:cs="Calibri" w:eastAsia="Calibri" w:hAnsi="Calibri"/>
          <w:b/>
          <w:bCs/>
          <w:color w:val="1F4E79"/>
          <w:sz w:val="28"/>
          <w:szCs w:val="28"/>
        </w:rPr>
        <w:t xml:space="preserve">16. The “Lead-Acid Trap” — A Concept to Test, Not Assume</w:t>
      </w:r>
    </w:p>
    <w:p>
      <w:pPr>
        <w:spacing w:after="140" w:line="276"/>
        <w:jc w:val="both"/>
      </w:pPr>
      <w:r>
        <w:rPr>
          <w:rFonts w:ascii="Calibri" w:cs="Calibri" w:eastAsia="Calibri" w:hAnsi="Calibri"/>
          <w:b w:val="false"/>
          <w:bCs w:val="false"/>
          <w:i w:val="false"/>
          <w:iCs w:val="false"/>
          <w:sz w:val="21"/>
          <w:szCs w:val="21"/>
        </w:rPr>
        <w:t xml:space="preserve">The proposal will investigate, without presupposing, whether a “lead-acid trap” phenomenon exists in Bangladesh's easy-bike sector — i.e., whether low purchase price, an established supply chain, and a functioning scrap market allow lead-acid to remain economically attractive despite its technical disadvantages. This label will be used in the discussion only if the quantitative results (TCO, break-even, scrap-value sensitivity) support it; otherwise it will be dropped rather than forced into the conclusions.</w:t>
      </w:r>
    </w:p>
    <w:p>
      <w:pPr>
        <w:pStyle w:val="Heading1"/>
        <w:spacing w:after="160" w:before="320"/>
      </w:pPr>
      <w:r>
        <w:rPr>
          <w:rFonts w:ascii="Calibri" w:cs="Calibri" w:eastAsia="Calibri" w:hAnsi="Calibri"/>
          <w:b/>
          <w:bCs/>
          <w:color w:val="1F4E79"/>
          <w:sz w:val="28"/>
          <w:szCs w:val="28"/>
        </w:rPr>
        <w:t xml:space="preserve">17. Work Plan (16-Week / Four-Month Schedule)</w:t>
      </w:r>
    </w:p>
    <w:p>
      <w:pPr>
        <w:spacing w:after="140" w:line="276"/>
        <w:jc w:val="both"/>
      </w:pPr>
      <w:r>
        <w:rPr>
          <w:rFonts w:ascii="Calibri" w:cs="Calibri" w:eastAsia="Calibri" w:hAnsi="Calibri"/>
          <w:b w:val="false"/>
          <w:bCs w:val="false"/>
          <w:i w:val="false"/>
          <w:iCs w:val="false"/>
          <w:sz w:val="21"/>
          <w:szCs w:val="21"/>
        </w:rPr>
        <w:t xml:space="preserve">The original 24-week plan discussed in earlier project planning is compressed here to a 16-week, four-month timeline suitable for a proposal deadline of this length. This required real scope trade-offs, made explicit in Section 17.1, rather than simply compressing every task proportionally.</w:t>
      </w:r>
    </w:p>
    <w:p>
      <w:pPr>
        <w:pStyle w:val="Heading2"/>
        <w:spacing w:after="120" w:before="220"/>
      </w:pPr>
      <w:r>
        <w:rPr>
          <w:rFonts w:ascii="Calibri" w:cs="Calibri" w:eastAsia="Calibri" w:hAnsi="Calibri"/>
          <w:b/>
          <w:bCs/>
          <w:color w:val="1F4E79"/>
          <w:sz w:val="24"/>
          <w:szCs w:val="24"/>
        </w:rPr>
        <w:t xml:space="preserve">17.1 What was cut or scaled down to fit four months</w:t>
      </w:r>
    </w:p>
    <w:p>
      <w:pPr>
        <w:pStyle w:val="ListParagraph"/>
        <w:numPr>
          <w:ilvl w:val="0"/>
          <w:numId w:val="2"/>
        </w:numPr>
        <w:spacing w:after="60"/>
      </w:pPr>
      <w:r>
        <w:rPr>
          <w:rFonts w:ascii="Calibri" w:cs="Calibri" w:eastAsia="Calibri" w:hAnsi="Calibri"/>
          <w:sz w:val="21"/>
          <w:szCs w:val="21"/>
        </w:rPr>
        <w:t xml:space="preserve">Survey sample reduced from 100–150 to 60–80 respondents, and locations from three-plus to two (extendable to three only if time allows).</w:t>
      </w:r>
    </w:p>
    <w:p>
      <w:pPr>
        <w:pStyle w:val="ListParagraph"/>
        <w:numPr>
          <w:ilvl w:val="0"/>
          <w:numId w:val="2"/>
        </w:numPr>
        <w:spacing w:after="60"/>
      </w:pPr>
      <w:r>
        <w:rPr>
          <w:rFonts w:ascii="Calibri" w:cs="Calibri" w:eastAsia="Calibri" w:hAnsi="Calibri"/>
          <w:sz w:val="21"/>
          <w:szCs w:val="21"/>
        </w:rPr>
        <w:t xml:space="preserve">Monte Carlo simulation, two-variable heat maps, and expanded policy scenarios are marked recommended/optional and will be dropped first if time runs short.</w:t>
      </w:r>
    </w:p>
    <w:p>
      <w:pPr>
        <w:pStyle w:val="ListParagraph"/>
        <w:numPr>
          <w:ilvl w:val="0"/>
          <w:numId w:val="2"/>
        </w:numPr>
        <w:spacing w:after="60"/>
      </w:pPr>
      <w:r>
        <w:rPr>
          <w:rFonts w:ascii="Calibri" w:cs="Calibri" w:eastAsia="Calibri" w:hAnsi="Calibri"/>
          <w:sz w:val="21"/>
          <w:szCs w:val="21"/>
        </w:rPr>
        <w:t xml:space="preserve">National-scale fleet extrapolation is excluded entirely unless a credible fleet-size source is found at negligible extra cost during Phase 2.</w:t>
      </w:r>
    </w:p>
    <w:p>
      <w:pPr>
        <w:pStyle w:val="ListParagraph"/>
        <w:numPr>
          <w:ilvl w:val="0"/>
          <w:numId w:val="2"/>
        </w:numPr>
        <w:spacing w:after="60"/>
      </w:pPr>
      <w:r>
        <w:rPr>
          <w:rFonts w:ascii="Calibri" w:cs="Calibri" w:eastAsia="Calibri" w:hAnsi="Calibri"/>
          <w:sz w:val="21"/>
          <w:szCs w:val="21"/>
        </w:rPr>
        <w:t xml:space="preserve">Full ISO-style LCA is out of scope from the outset (a simplified lifecycle-oriented comparison is used instead, as in the original plan).</w:t>
      </w:r>
    </w:p>
    <w:p>
      <w:pPr>
        <w:pStyle w:val="Heading2"/>
        <w:spacing w:after="120" w:before="220"/>
      </w:pPr>
      <w:r>
        <w:rPr>
          <w:rFonts w:ascii="Calibri" w:cs="Calibri" w:eastAsia="Calibri" w:hAnsi="Calibri"/>
          <w:b/>
          <w:bCs/>
          <w:color w:val="1F4E79"/>
          <w:sz w:val="24"/>
          <w:szCs w:val="24"/>
        </w:rPr>
        <w:t xml:space="preserve">17.2 16-week schedule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4500"/>
        <w:gridCol w:w="1450"/>
      </w:tblGrid>
      <w:tr>
        <w:trPr>
          <w:tblHeader/>
        </w:trPr>
        <w:tc>
          <w:tcPr>
            <w:tcW w:type="dxa" w:w="1300"/>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Week(s)</w:t>
            </w:r>
          </w:p>
        </w:tc>
        <w:tc>
          <w:tcPr>
            <w:tcW w:type="dxa" w:w="2100"/>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Phase</w:t>
            </w:r>
          </w:p>
        </w:tc>
        <w:tc>
          <w:tcPr>
            <w:tcW w:type="dxa" w:w="4500"/>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Key activities</w:t>
            </w:r>
          </w:p>
        </w:tc>
        <w:tc>
          <w:tcPr>
            <w:tcW w:type="dxa" w:w="1450"/>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Priority</w:t>
            </w:r>
          </w:p>
        </w:tc>
      </w:tr>
      <w:tr>
        <w:tc>
          <w:tcPr>
            <w:tcW w:type="dxa" w:w="1300"/>
            <w:tcMar>
              <w:top w:type="dxa" w:w="60"/>
              <w:left w:type="dxa" w:w="100"/>
              <w:bottom w:type="dxa" w:w="60"/>
              <w:right w:type="dxa" w:w="100"/>
            </w:tcMar>
          </w:tcPr>
          <w:p>
            <w:r>
              <w:rPr>
                <w:rFonts w:ascii="Calibri" w:cs="Calibri" w:eastAsia="Calibri" w:hAnsi="Calibri"/>
                <w:sz w:val="18"/>
                <w:szCs w:val="18"/>
              </w:rPr>
              <w:t xml:space="preserve">1–2</w:t>
            </w:r>
          </w:p>
        </w:tc>
        <w:tc>
          <w:tcPr>
            <w:tcW w:type="dxa" w:w="2100"/>
            <w:tcMar>
              <w:top w:type="dxa" w:w="60"/>
              <w:left w:type="dxa" w:w="100"/>
              <w:bottom w:type="dxa" w:w="60"/>
              <w:right w:type="dxa" w:w="100"/>
            </w:tcMar>
          </w:tcPr>
          <w:p>
            <w:r>
              <w:rPr>
                <w:rFonts w:ascii="Calibri" w:cs="Calibri" w:eastAsia="Calibri" w:hAnsi="Calibri"/>
                <w:sz w:val="18"/>
                <w:szCs w:val="18"/>
              </w:rPr>
              <w:t xml:space="preserve">Literature review</w:t>
            </w:r>
          </w:p>
        </w:tc>
        <w:tc>
          <w:tcPr>
            <w:tcW w:type="dxa" w:w="4500"/>
            <w:tcMar>
              <w:top w:type="dxa" w:w="60"/>
              <w:left w:type="dxa" w:w="100"/>
              <w:bottom w:type="dxa" w:w="60"/>
              <w:right w:type="dxa" w:w="100"/>
            </w:tcMar>
          </w:tcPr>
          <w:p>
            <w:r>
              <w:rPr>
                <w:rFonts w:ascii="Calibri" w:cs="Calibri" w:eastAsia="Calibri" w:hAnsi="Calibri"/>
                <w:sz w:val="18"/>
                <w:szCs w:val="18"/>
              </w:rPr>
              <w:t xml:space="preserve">Systematic search, literature matrix, confirm/refine research gap</w:t>
            </w:r>
          </w:p>
        </w:tc>
        <w:tc>
          <w:tcPr>
            <w:tcW w:type="dxa" w:w="1450"/>
            <w:tcMar>
              <w:top w:type="dxa" w:w="60"/>
              <w:left w:type="dxa" w:w="100"/>
              <w:bottom w:type="dxa" w:w="60"/>
              <w:right w:type="dxa" w:w="100"/>
            </w:tcMar>
          </w:tcPr>
          <w:p>
            <w:r>
              <w:rPr>
                <w:rFonts w:ascii="Calibri" w:cs="Calibri" w:eastAsia="Calibri" w:hAnsi="Calibri"/>
                <w:sz w:val="18"/>
                <w:szCs w:val="18"/>
              </w:rPr>
              <w:t xml:space="preserve">Essential</w:t>
            </w:r>
          </w:p>
        </w:tc>
      </w:tr>
      <w:tr>
        <w:tc>
          <w:tcPr>
            <w:tcW w:type="dxa" w:w="1300"/>
            <w:shd w:fill="EEF3FA" w:val="clear"/>
            <w:tcMar>
              <w:top w:type="dxa" w:w="60"/>
              <w:left w:type="dxa" w:w="100"/>
              <w:bottom w:type="dxa" w:w="60"/>
              <w:right w:type="dxa" w:w="100"/>
            </w:tcMar>
          </w:tcPr>
          <w:p>
            <w:r>
              <w:rPr>
                <w:rFonts w:ascii="Calibri" w:cs="Calibri" w:eastAsia="Calibri" w:hAnsi="Calibri"/>
                <w:sz w:val="18"/>
                <w:szCs w:val="18"/>
              </w:rPr>
              <w:t xml:space="preserve">2–3</w:t>
            </w:r>
          </w:p>
        </w:tc>
        <w:tc>
          <w:tcPr>
            <w:tcW w:type="dxa" w:w="2100"/>
            <w:shd w:fill="EEF3FA" w:val="clear"/>
            <w:tcMar>
              <w:top w:type="dxa" w:w="60"/>
              <w:left w:type="dxa" w:w="100"/>
              <w:bottom w:type="dxa" w:w="60"/>
              <w:right w:type="dxa" w:w="100"/>
            </w:tcMar>
          </w:tcPr>
          <w:p>
            <w:r>
              <w:rPr>
                <w:rFonts w:ascii="Calibri" w:cs="Calibri" w:eastAsia="Calibri" w:hAnsi="Calibri"/>
                <w:sz w:val="18"/>
                <w:szCs w:val="18"/>
              </w:rPr>
              <w:t xml:space="preserve">Proposal finalization</w:t>
            </w:r>
          </w:p>
        </w:tc>
        <w:tc>
          <w:tcPr>
            <w:tcW w:type="dxa" w:w="4500"/>
            <w:shd w:fill="EEF3FA" w:val="clear"/>
            <w:tcMar>
              <w:top w:type="dxa" w:w="60"/>
              <w:left w:type="dxa" w:w="100"/>
              <w:bottom w:type="dxa" w:w="60"/>
              <w:right w:type="dxa" w:w="100"/>
            </w:tcMar>
          </w:tcPr>
          <w:p>
            <w:r>
              <w:rPr>
                <w:rFonts w:ascii="Calibri" w:cs="Calibri" w:eastAsia="Calibri" w:hAnsi="Calibri"/>
                <w:sz w:val="18"/>
                <w:szCs w:val="18"/>
              </w:rPr>
              <w:t xml:space="preserve">Finalize RQs, objectives, survey instrument draft</w:t>
            </w:r>
          </w:p>
        </w:tc>
        <w:tc>
          <w:tcPr>
            <w:tcW w:type="dxa" w:w="1450"/>
            <w:shd w:fill="EEF3FA" w:val="clear"/>
            <w:tcMar>
              <w:top w:type="dxa" w:w="60"/>
              <w:left w:type="dxa" w:w="100"/>
              <w:bottom w:type="dxa" w:w="60"/>
              <w:right w:type="dxa" w:w="100"/>
            </w:tcMar>
          </w:tcPr>
          <w:p>
            <w:r>
              <w:rPr>
                <w:rFonts w:ascii="Calibri" w:cs="Calibri" w:eastAsia="Calibri" w:hAnsi="Calibri"/>
                <w:sz w:val="18"/>
                <w:szCs w:val="18"/>
              </w:rPr>
              <w:t xml:space="preserve">Essential</w:t>
            </w:r>
          </w:p>
        </w:tc>
      </w:tr>
      <w:tr>
        <w:tc>
          <w:tcPr>
            <w:tcW w:type="dxa" w:w="1300"/>
            <w:tcMar>
              <w:top w:type="dxa" w:w="60"/>
              <w:left w:type="dxa" w:w="100"/>
              <w:bottom w:type="dxa" w:w="60"/>
              <w:right w:type="dxa" w:w="100"/>
            </w:tcMar>
          </w:tcPr>
          <w:p>
            <w:r>
              <w:rPr>
                <w:rFonts w:ascii="Calibri" w:cs="Calibri" w:eastAsia="Calibri" w:hAnsi="Calibri"/>
                <w:sz w:val="18"/>
                <w:szCs w:val="18"/>
              </w:rPr>
              <w:t xml:space="preserve">3</w:t>
            </w:r>
          </w:p>
        </w:tc>
        <w:tc>
          <w:tcPr>
            <w:tcW w:type="dxa" w:w="2100"/>
            <w:tcMar>
              <w:top w:type="dxa" w:w="60"/>
              <w:left w:type="dxa" w:w="100"/>
              <w:bottom w:type="dxa" w:w="60"/>
              <w:right w:type="dxa" w:w="100"/>
            </w:tcMar>
          </w:tcPr>
          <w:p>
            <w:r>
              <w:rPr>
                <w:rFonts w:ascii="Calibri" w:cs="Calibri" w:eastAsia="Calibri" w:hAnsi="Calibri"/>
                <w:sz w:val="18"/>
                <w:szCs w:val="18"/>
              </w:rPr>
              <w:t xml:space="preserve">Ethics + secondary data</w:t>
            </w:r>
          </w:p>
        </w:tc>
        <w:tc>
          <w:tcPr>
            <w:tcW w:type="dxa" w:w="4500"/>
            <w:tcMar>
              <w:top w:type="dxa" w:w="60"/>
              <w:left w:type="dxa" w:w="100"/>
              <w:bottom w:type="dxa" w:w="60"/>
              <w:right w:type="dxa" w:w="100"/>
            </w:tcMar>
          </w:tcPr>
          <w:p>
            <w:r>
              <w:rPr>
                <w:rFonts w:ascii="Calibri" w:cs="Calibri" w:eastAsia="Calibri" w:hAnsi="Calibri"/>
                <w:sz w:val="18"/>
                <w:szCs w:val="18"/>
              </w:rPr>
              <w:t xml:space="preserve">Submit ethics application; begin BBS/BERC/SREDA/NBR data collection</w:t>
            </w:r>
          </w:p>
        </w:tc>
        <w:tc>
          <w:tcPr>
            <w:tcW w:type="dxa" w:w="1450"/>
            <w:tcMar>
              <w:top w:type="dxa" w:w="60"/>
              <w:left w:type="dxa" w:w="100"/>
              <w:bottom w:type="dxa" w:w="60"/>
              <w:right w:type="dxa" w:w="100"/>
            </w:tcMar>
          </w:tcPr>
          <w:p>
            <w:r>
              <w:rPr>
                <w:rFonts w:ascii="Calibri" w:cs="Calibri" w:eastAsia="Calibri" w:hAnsi="Calibri"/>
                <w:sz w:val="18"/>
                <w:szCs w:val="18"/>
              </w:rPr>
              <w:t xml:space="preserve">Essential</w:t>
            </w:r>
          </w:p>
        </w:tc>
      </w:tr>
      <w:tr>
        <w:tc>
          <w:tcPr>
            <w:tcW w:type="dxa" w:w="1300"/>
            <w:shd w:fill="EEF3FA" w:val="clear"/>
            <w:tcMar>
              <w:top w:type="dxa" w:w="60"/>
              <w:left w:type="dxa" w:w="100"/>
              <w:bottom w:type="dxa" w:w="60"/>
              <w:right w:type="dxa" w:w="100"/>
            </w:tcMar>
          </w:tcPr>
          <w:p>
            <w:r>
              <w:rPr>
                <w:rFonts w:ascii="Calibri" w:cs="Calibri" w:eastAsia="Calibri" w:hAnsi="Calibri"/>
                <w:sz w:val="18"/>
                <w:szCs w:val="18"/>
              </w:rPr>
              <w:t xml:space="preserve">4</w:t>
            </w:r>
          </w:p>
        </w:tc>
        <w:tc>
          <w:tcPr>
            <w:tcW w:type="dxa" w:w="2100"/>
            <w:shd w:fill="EEF3FA" w:val="clear"/>
            <w:tcMar>
              <w:top w:type="dxa" w:w="60"/>
              <w:left w:type="dxa" w:w="100"/>
              <w:bottom w:type="dxa" w:w="60"/>
              <w:right w:type="dxa" w:w="100"/>
            </w:tcMar>
          </w:tcPr>
          <w:p>
            <w:r>
              <w:rPr>
                <w:rFonts w:ascii="Calibri" w:cs="Calibri" w:eastAsia="Calibri" w:hAnsi="Calibri"/>
                <w:sz w:val="18"/>
                <w:szCs w:val="18"/>
              </w:rPr>
              <w:t xml:space="preserve">Pilot survey</w:t>
            </w:r>
          </w:p>
        </w:tc>
        <w:tc>
          <w:tcPr>
            <w:tcW w:type="dxa" w:w="4500"/>
            <w:shd w:fill="EEF3FA" w:val="clear"/>
            <w:tcMar>
              <w:top w:type="dxa" w:w="60"/>
              <w:left w:type="dxa" w:w="100"/>
              <w:bottom w:type="dxa" w:w="60"/>
              <w:right w:type="dxa" w:w="100"/>
            </w:tcMar>
          </w:tcPr>
          <w:p>
            <w:r>
              <w:rPr>
                <w:rFonts w:ascii="Calibri" w:cs="Calibri" w:eastAsia="Calibri" w:hAnsi="Calibri"/>
                <w:sz w:val="18"/>
                <w:szCs w:val="18"/>
              </w:rPr>
              <w:t xml:space="preserve">8–10 operators; refine questionnaire</w:t>
            </w:r>
          </w:p>
        </w:tc>
        <w:tc>
          <w:tcPr>
            <w:tcW w:type="dxa" w:w="1450"/>
            <w:shd w:fill="EEF3FA" w:val="clear"/>
            <w:tcMar>
              <w:top w:type="dxa" w:w="60"/>
              <w:left w:type="dxa" w:w="100"/>
              <w:bottom w:type="dxa" w:w="60"/>
              <w:right w:type="dxa" w:w="100"/>
            </w:tcMar>
          </w:tcPr>
          <w:p>
            <w:r>
              <w:rPr>
                <w:rFonts w:ascii="Calibri" w:cs="Calibri" w:eastAsia="Calibri" w:hAnsi="Calibri"/>
                <w:sz w:val="18"/>
                <w:szCs w:val="18"/>
              </w:rPr>
              <w:t xml:space="preserve">Essential</w:t>
            </w:r>
          </w:p>
        </w:tc>
      </w:tr>
      <w:tr>
        <w:tc>
          <w:tcPr>
            <w:tcW w:type="dxa" w:w="1300"/>
            <w:tcMar>
              <w:top w:type="dxa" w:w="60"/>
              <w:left w:type="dxa" w:w="100"/>
              <w:bottom w:type="dxa" w:w="60"/>
              <w:right w:type="dxa" w:w="100"/>
            </w:tcMar>
          </w:tcPr>
          <w:p>
            <w:r>
              <w:rPr>
                <w:rFonts w:ascii="Calibri" w:cs="Calibri" w:eastAsia="Calibri" w:hAnsi="Calibri"/>
                <w:sz w:val="18"/>
                <w:szCs w:val="18"/>
              </w:rPr>
              <w:t xml:space="preserve">5–7</w:t>
            </w:r>
          </w:p>
        </w:tc>
        <w:tc>
          <w:tcPr>
            <w:tcW w:type="dxa" w:w="2100"/>
            <w:tcMar>
              <w:top w:type="dxa" w:w="60"/>
              <w:left w:type="dxa" w:w="100"/>
              <w:bottom w:type="dxa" w:w="60"/>
              <w:right w:type="dxa" w:w="100"/>
            </w:tcMar>
          </w:tcPr>
          <w:p>
            <w:r>
              <w:rPr>
                <w:rFonts w:ascii="Calibri" w:cs="Calibri" w:eastAsia="Calibri" w:hAnsi="Calibri"/>
                <w:sz w:val="18"/>
                <w:szCs w:val="18"/>
              </w:rPr>
              <w:t xml:space="preserve">Main survey</w:t>
            </w:r>
          </w:p>
        </w:tc>
        <w:tc>
          <w:tcPr>
            <w:tcW w:type="dxa" w:w="4500"/>
            <w:tcMar>
              <w:top w:type="dxa" w:w="60"/>
              <w:left w:type="dxa" w:w="100"/>
              <w:bottom w:type="dxa" w:w="60"/>
              <w:right w:type="dxa" w:w="100"/>
            </w:tcMar>
          </w:tcPr>
          <w:p>
            <w:r>
              <w:rPr>
                <w:rFonts w:ascii="Calibri" w:cs="Calibri" w:eastAsia="Calibri" w:hAnsi="Calibri"/>
                <w:sz w:val="18"/>
                <w:szCs w:val="18"/>
              </w:rPr>
              <w:t xml:space="preserve">60–80 operators across 2 locations; continue secondary data</w:t>
            </w:r>
          </w:p>
        </w:tc>
        <w:tc>
          <w:tcPr>
            <w:tcW w:type="dxa" w:w="1450"/>
            <w:tcMar>
              <w:top w:type="dxa" w:w="60"/>
              <w:left w:type="dxa" w:w="100"/>
              <w:bottom w:type="dxa" w:w="60"/>
              <w:right w:type="dxa" w:w="100"/>
            </w:tcMar>
          </w:tcPr>
          <w:p>
            <w:r>
              <w:rPr>
                <w:rFonts w:ascii="Calibri" w:cs="Calibri" w:eastAsia="Calibri" w:hAnsi="Calibri"/>
                <w:sz w:val="18"/>
                <w:szCs w:val="18"/>
              </w:rPr>
              <w:t xml:space="preserve">Essential</w:t>
            </w:r>
          </w:p>
        </w:tc>
      </w:tr>
      <w:tr>
        <w:tc>
          <w:tcPr>
            <w:tcW w:type="dxa" w:w="1300"/>
            <w:shd w:fill="EEF3FA" w:val="clear"/>
            <w:tcMar>
              <w:top w:type="dxa" w:w="60"/>
              <w:left w:type="dxa" w:w="100"/>
              <w:bottom w:type="dxa" w:w="60"/>
              <w:right w:type="dxa" w:w="100"/>
            </w:tcMar>
          </w:tcPr>
          <w:p>
            <w:r>
              <w:rPr>
                <w:rFonts w:ascii="Calibri" w:cs="Calibri" w:eastAsia="Calibri" w:hAnsi="Calibri"/>
                <w:sz w:val="18"/>
                <w:szCs w:val="18"/>
              </w:rPr>
              <w:t xml:space="preserve">7</w:t>
            </w:r>
          </w:p>
        </w:tc>
        <w:tc>
          <w:tcPr>
            <w:tcW w:type="dxa" w:w="2100"/>
            <w:shd w:fill="EEF3FA" w:val="clear"/>
            <w:tcMar>
              <w:top w:type="dxa" w:w="60"/>
              <w:left w:type="dxa" w:w="100"/>
              <w:bottom w:type="dxa" w:w="60"/>
              <w:right w:type="dxa" w:w="100"/>
            </w:tcMar>
          </w:tcPr>
          <w:p>
            <w:r>
              <w:rPr>
                <w:rFonts w:ascii="Calibri" w:cs="Calibri" w:eastAsia="Calibri" w:hAnsi="Calibri"/>
                <w:sz w:val="18"/>
                <w:szCs w:val="18"/>
              </w:rPr>
              <w:t xml:space="preserve">Data cleaning</w:t>
            </w:r>
          </w:p>
        </w:tc>
        <w:tc>
          <w:tcPr>
            <w:tcW w:type="dxa" w:w="4500"/>
            <w:shd w:fill="EEF3FA" w:val="clear"/>
            <w:tcMar>
              <w:top w:type="dxa" w:w="60"/>
              <w:left w:type="dxa" w:w="100"/>
              <w:bottom w:type="dxa" w:w="60"/>
              <w:right w:type="dxa" w:w="100"/>
            </w:tcMar>
          </w:tcPr>
          <w:p>
            <w:r>
              <w:rPr>
                <w:rFonts w:ascii="Calibri" w:cs="Calibri" w:eastAsia="Calibri" w:hAnsi="Calibri"/>
                <w:sz w:val="18"/>
                <w:szCs w:val="18"/>
              </w:rPr>
              <w:t xml:space="preserve">Remove duplicates/outliers; document assumptions</w:t>
            </w:r>
          </w:p>
        </w:tc>
        <w:tc>
          <w:tcPr>
            <w:tcW w:type="dxa" w:w="1450"/>
            <w:shd w:fill="EEF3FA" w:val="clear"/>
            <w:tcMar>
              <w:top w:type="dxa" w:w="60"/>
              <w:left w:type="dxa" w:w="100"/>
              <w:bottom w:type="dxa" w:w="60"/>
              <w:right w:type="dxa" w:w="100"/>
            </w:tcMar>
          </w:tcPr>
          <w:p>
            <w:r>
              <w:rPr>
                <w:rFonts w:ascii="Calibri" w:cs="Calibri" w:eastAsia="Calibri" w:hAnsi="Calibri"/>
                <w:sz w:val="18"/>
                <w:szCs w:val="18"/>
              </w:rPr>
              <w:t xml:space="preserve">Essential</w:t>
            </w:r>
          </w:p>
        </w:tc>
      </w:tr>
      <w:tr>
        <w:tc>
          <w:tcPr>
            <w:tcW w:type="dxa" w:w="1300"/>
            <w:tcMar>
              <w:top w:type="dxa" w:w="60"/>
              <w:left w:type="dxa" w:w="100"/>
              <w:bottom w:type="dxa" w:w="60"/>
              <w:right w:type="dxa" w:w="100"/>
            </w:tcMar>
          </w:tcPr>
          <w:p>
            <w:r>
              <w:rPr>
                <w:rFonts w:ascii="Calibri" w:cs="Calibri" w:eastAsia="Calibri" w:hAnsi="Calibri"/>
                <w:sz w:val="18"/>
                <w:szCs w:val="18"/>
              </w:rPr>
              <w:t xml:space="preserve">8–9</w:t>
            </w:r>
          </w:p>
        </w:tc>
        <w:tc>
          <w:tcPr>
            <w:tcW w:type="dxa" w:w="2100"/>
            <w:tcMar>
              <w:top w:type="dxa" w:w="60"/>
              <w:left w:type="dxa" w:w="100"/>
              <w:bottom w:type="dxa" w:w="60"/>
              <w:right w:type="dxa" w:w="100"/>
            </w:tcMar>
          </w:tcPr>
          <w:p>
            <w:r>
              <w:rPr>
                <w:rFonts w:ascii="Calibri" w:cs="Calibri" w:eastAsia="Calibri" w:hAnsi="Calibri"/>
                <w:sz w:val="18"/>
                <w:szCs w:val="18"/>
              </w:rPr>
              <w:t xml:space="preserve">Statistical analysis</w:t>
            </w:r>
          </w:p>
        </w:tc>
        <w:tc>
          <w:tcPr>
            <w:tcW w:type="dxa" w:w="4500"/>
            <w:tcMar>
              <w:top w:type="dxa" w:w="60"/>
              <w:left w:type="dxa" w:w="100"/>
              <w:bottom w:type="dxa" w:w="60"/>
              <w:right w:type="dxa" w:w="100"/>
            </w:tcMar>
          </w:tcPr>
          <w:p>
            <w:r>
              <w:rPr>
                <w:rFonts w:ascii="Calibri" w:cs="Calibri" w:eastAsia="Calibri" w:hAnsi="Calibri"/>
                <w:sz w:val="18"/>
                <w:szCs w:val="18"/>
              </w:rPr>
              <w:t xml:space="preserve">Descriptives, group comparisons, correlation</w:t>
            </w:r>
          </w:p>
        </w:tc>
        <w:tc>
          <w:tcPr>
            <w:tcW w:type="dxa" w:w="1450"/>
            <w:tcMar>
              <w:top w:type="dxa" w:w="60"/>
              <w:left w:type="dxa" w:w="100"/>
              <w:bottom w:type="dxa" w:w="60"/>
              <w:right w:type="dxa" w:w="100"/>
            </w:tcMar>
          </w:tcPr>
          <w:p>
            <w:r>
              <w:rPr>
                <w:rFonts w:ascii="Calibri" w:cs="Calibri" w:eastAsia="Calibri" w:hAnsi="Calibri"/>
                <w:sz w:val="18"/>
                <w:szCs w:val="18"/>
              </w:rPr>
              <w:t xml:space="preserve">Essential</w:t>
            </w:r>
          </w:p>
        </w:tc>
      </w:tr>
      <w:tr>
        <w:tc>
          <w:tcPr>
            <w:tcW w:type="dxa" w:w="1300"/>
            <w:shd w:fill="EEF3FA" w:val="clear"/>
            <w:tcMar>
              <w:top w:type="dxa" w:w="60"/>
              <w:left w:type="dxa" w:w="100"/>
              <w:bottom w:type="dxa" w:w="60"/>
              <w:right w:type="dxa" w:w="100"/>
            </w:tcMar>
          </w:tcPr>
          <w:p>
            <w:r>
              <w:rPr>
                <w:rFonts w:ascii="Calibri" w:cs="Calibri" w:eastAsia="Calibri" w:hAnsi="Calibri"/>
                <w:sz w:val="18"/>
                <w:szCs w:val="18"/>
              </w:rPr>
              <w:t xml:space="preserve">8–10</w:t>
            </w:r>
          </w:p>
        </w:tc>
        <w:tc>
          <w:tcPr>
            <w:tcW w:type="dxa" w:w="2100"/>
            <w:shd w:fill="EEF3FA" w:val="clear"/>
            <w:tcMar>
              <w:top w:type="dxa" w:w="60"/>
              <w:left w:type="dxa" w:w="100"/>
              <w:bottom w:type="dxa" w:w="60"/>
              <w:right w:type="dxa" w:w="100"/>
            </w:tcMar>
          </w:tcPr>
          <w:p>
            <w:r>
              <w:rPr>
                <w:rFonts w:ascii="Calibri" w:cs="Calibri" w:eastAsia="Calibri" w:hAnsi="Calibri"/>
                <w:sz w:val="18"/>
                <w:szCs w:val="18"/>
              </w:rPr>
              <w:t xml:space="preserve">Energy + degradation model</w:t>
            </w:r>
          </w:p>
        </w:tc>
        <w:tc>
          <w:tcPr>
            <w:tcW w:type="dxa" w:w="4500"/>
            <w:shd w:fill="EEF3FA" w:val="clear"/>
            <w:tcMar>
              <w:top w:type="dxa" w:w="60"/>
              <w:left w:type="dxa" w:w="100"/>
              <w:bottom w:type="dxa" w:w="60"/>
              <w:right w:type="dxa" w:w="100"/>
            </w:tcMar>
          </w:tcPr>
          <w:p>
            <w:r>
              <w:rPr>
                <w:rFonts w:ascii="Calibri" w:cs="Calibri" w:eastAsia="Calibri" w:hAnsi="Calibri"/>
                <w:sz w:val="18"/>
                <w:szCs w:val="18"/>
              </w:rPr>
              <w:t xml:space="preserve">MATLAB scripts 01–04, populated with sourced parameters</w:t>
            </w:r>
          </w:p>
        </w:tc>
        <w:tc>
          <w:tcPr>
            <w:tcW w:type="dxa" w:w="1450"/>
            <w:shd w:fill="EEF3FA" w:val="clear"/>
            <w:tcMar>
              <w:top w:type="dxa" w:w="60"/>
              <w:left w:type="dxa" w:w="100"/>
              <w:bottom w:type="dxa" w:w="60"/>
              <w:right w:type="dxa" w:w="100"/>
            </w:tcMar>
          </w:tcPr>
          <w:p>
            <w:r>
              <w:rPr>
                <w:rFonts w:ascii="Calibri" w:cs="Calibri" w:eastAsia="Calibri" w:hAnsi="Calibri"/>
                <w:sz w:val="18"/>
                <w:szCs w:val="18"/>
              </w:rPr>
              <w:t xml:space="preserve">Essential</w:t>
            </w:r>
          </w:p>
        </w:tc>
      </w:tr>
      <w:tr>
        <w:tc>
          <w:tcPr>
            <w:tcW w:type="dxa" w:w="1300"/>
            <w:tcMar>
              <w:top w:type="dxa" w:w="60"/>
              <w:left w:type="dxa" w:w="100"/>
              <w:bottom w:type="dxa" w:w="60"/>
              <w:right w:type="dxa" w:w="100"/>
            </w:tcMar>
          </w:tcPr>
          <w:p>
            <w:r>
              <w:rPr>
                <w:rFonts w:ascii="Calibri" w:cs="Calibri" w:eastAsia="Calibri" w:hAnsi="Calibri"/>
                <w:sz w:val="18"/>
                <w:szCs w:val="18"/>
              </w:rPr>
              <w:t xml:space="preserve">10–11</w:t>
            </w:r>
          </w:p>
        </w:tc>
        <w:tc>
          <w:tcPr>
            <w:tcW w:type="dxa" w:w="2100"/>
            <w:tcMar>
              <w:top w:type="dxa" w:w="60"/>
              <w:left w:type="dxa" w:w="100"/>
              <w:bottom w:type="dxa" w:w="60"/>
              <w:right w:type="dxa" w:w="100"/>
            </w:tcMar>
          </w:tcPr>
          <w:p>
            <w:r>
              <w:rPr>
                <w:rFonts w:ascii="Calibri" w:cs="Calibri" w:eastAsia="Calibri" w:hAnsi="Calibri"/>
                <w:sz w:val="18"/>
                <w:szCs w:val="18"/>
              </w:rPr>
              <w:t xml:space="preserve">Lifetime, replacement, TCO</w:t>
            </w:r>
          </w:p>
        </w:tc>
        <w:tc>
          <w:tcPr>
            <w:tcW w:type="dxa" w:w="4500"/>
            <w:tcMar>
              <w:top w:type="dxa" w:w="60"/>
              <w:left w:type="dxa" w:w="100"/>
              <w:bottom w:type="dxa" w:w="60"/>
              <w:right w:type="dxa" w:w="100"/>
            </w:tcMar>
          </w:tcPr>
          <w:p>
            <w:r>
              <w:rPr>
                <w:rFonts w:ascii="Calibri" w:cs="Calibri" w:eastAsia="Calibri" w:hAnsi="Calibri"/>
                <w:sz w:val="18"/>
                <w:szCs w:val="18"/>
              </w:rPr>
              <w:t xml:space="preserve">MATLAB scripts 05–06; 5-yr and 10-yr TCO</w:t>
            </w:r>
          </w:p>
        </w:tc>
        <w:tc>
          <w:tcPr>
            <w:tcW w:type="dxa" w:w="1450"/>
            <w:tcMar>
              <w:top w:type="dxa" w:w="60"/>
              <w:left w:type="dxa" w:w="100"/>
              <w:bottom w:type="dxa" w:w="60"/>
              <w:right w:type="dxa" w:w="100"/>
            </w:tcMar>
          </w:tcPr>
          <w:p>
            <w:r>
              <w:rPr>
                <w:rFonts w:ascii="Calibri" w:cs="Calibri" w:eastAsia="Calibri" w:hAnsi="Calibri"/>
                <w:sz w:val="18"/>
                <w:szCs w:val="18"/>
              </w:rPr>
              <w:t xml:space="preserve">Essential</w:t>
            </w:r>
          </w:p>
        </w:tc>
      </w:tr>
      <w:tr>
        <w:tc>
          <w:tcPr>
            <w:tcW w:type="dxa" w:w="1300"/>
            <w:shd w:fill="EEF3FA" w:val="clear"/>
            <w:tcMar>
              <w:top w:type="dxa" w:w="60"/>
              <w:left w:type="dxa" w:w="100"/>
              <w:bottom w:type="dxa" w:w="60"/>
              <w:right w:type="dxa" w:w="100"/>
            </w:tcMar>
          </w:tcPr>
          <w:p>
            <w:r>
              <w:rPr>
                <w:rFonts w:ascii="Calibri" w:cs="Calibri" w:eastAsia="Calibri" w:hAnsi="Calibri"/>
                <w:sz w:val="18"/>
                <w:szCs w:val="18"/>
              </w:rPr>
              <w:t xml:space="preserve">11</w:t>
            </w:r>
          </w:p>
        </w:tc>
        <w:tc>
          <w:tcPr>
            <w:tcW w:type="dxa" w:w="2100"/>
            <w:shd w:fill="EEF3FA" w:val="clear"/>
            <w:tcMar>
              <w:top w:type="dxa" w:w="60"/>
              <w:left w:type="dxa" w:w="100"/>
              <w:bottom w:type="dxa" w:w="60"/>
              <w:right w:type="dxa" w:w="100"/>
            </w:tcMar>
          </w:tcPr>
          <w:p>
            <w:r>
              <w:rPr>
                <w:rFonts w:ascii="Calibri" w:cs="Calibri" w:eastAsia="Calibri" w:hAnsi="Calibri"/>
                <w:sz w:val="18"/>
                <w:szCs w:val="18"/>
              </w:rPr>
              <w:t xml:space="preserve">Validation</w:t>
            </w:r>
          </w:p>
        </w:tc>
        <w:tc>
          <w:tcPr>
            <w:tcW w:type="dxa" w:w="4500"/>
            <w:shd w:fill="EEF3FA" w:val="clear"/>
            <w:tcMar>
              <w:top w:type="dxa" w:w="60"/>
              <w:left w:type="dxa" w:w="100"/>
              <w:bottom w:type="dxa" w:w="60"/>
              <w:right w:type="dxa" w:w="100"/>
            </w:tcMar>
          </w:tcPr>
          <w:p>
            <w:r>
              <w:rPr>
                <w:rFonts w:ascii="Calibri" w:cs="Calibri" w:eastAsia="Calibri" w:hAnsi="Calibri"/>
                <w:sz w:val="18"/>
                <w:szCs w:val="18"/>
              </w:rPr>
              <w:t xml:space="preserve">Compare model outputs to literature/survey benchmarks</w:t>
            </w:r>
          </w:p>
        </w:tc>
        <w:tc>
          <w:tcPr>
            <w:tcW w:type="dxa" w:w="1450"/>
            <w:shd w:fill="EEF3FA" w:val="clear"/>
            <w:tcMar>
              <w:top w:type="dxa" w:w="60"/>
              <w:left w:type="dxa" w:w="100"/>
              <w:bottom w:type="dxa" w:w="60"/>
              <w:right w:type="dxa" w:w="100"/>
            </w:tcMar>
          </w:tcPr>
          <w:p>
            <w:r>
              <w:rPr>
                <w:rFonts w:ascii="Calibri" w:cs="Calibri" w:eastAsia="Calibri" w:hAnsi="Calibri"/>
                <w:sz w:val="18"/>
                <w:szCs w:val="18"/>
              </w:rPr>
              <w:t xml:space="preserve">Essential</w:t>
            </w:r>
          </w:p>
        </w:tc>
      </w:tr>
      <w:tr>
        <w:tc>
          <w:tcPr>
            <w:tcW w:type="dxa" w:w="1300"/>
            <w:tcMar>
              <w:top w:type="dxa" w:w="60"/>
              <w:left w:type="dxa" w:w="100"/>
              <w:bottom w:type="dxa" w:w="60"/>
              <w:right w:type="dxa" w:w="100"/>
            </w:tcMar>
          </w:tcPr>
          <w:p>
            <w:r>
              <w:rPr>
                <w:rFonts w:ascii="Calibri" w:cs="Calibri" w:eastAsia="Calibri" w:hAnsi="Calibri"/>
                <w:sz w:val="18"/>
                <w:szCs w:val="18"/>
              </w:rPr>
              <w:t xml:space="preserve">12</w:t>
            </w:r>
          </w:p>
        </w:tc>
        <w:tc>
          <w:tcPr>
            <w:tcW w:type="dxa" w:w="2100"/>
            <w:tcMar>
              <w:top w:type="dxa" w:w="60"/>
              <w:left w:type="dxa" w:w="100"/>
              <w:bottom w:type="dxa" w:w="60"/>
              <w:right w:type="dxa" w:w="100"/>
            </w:tcMar>
          </w:tcPr>
          <w:p>
            <w:r>
              <w:rPr>
                <w:rFonts w:ascii="Calibri" w:cs="Calibri" w:eastAsia="Calibri" w:hAnsi="Calibri"/>
                <w:sz w:val="18"/>
                <w:szCs w:val="18"/>
              </w:rPr>
              <w:t xml:space="preserve">Break-even + sensitivity</w:t>
            </w:r>
          </w:p>
        </w:tc>
        <w:tc>
          <w:tcPr>
            <w:tcW w:type="dxa" w:w="4500"/>
            <w:tcMar>
              <w:top w:type="dxa" w:w="60"/>
              <w:left w:type="dxa" w:w="100"/>
              <w:bottom w:type="dxa" w:w="60"/>
              <w:right w:type="dxa" w:w="100"/>
            </w:tcMar>
          </w:tcPr>
          <w:p>
            <w:r>
              <w:rPr>
                <w:rFonts w:ascii="Calibri" w:cs="Calibri" w:eastAsia="Calibri" w:hAnsi="Calibri"/>
                <w:sz w:val="18"/>
                <w:szCs w:val="18"/>
              </w:rPr>
              <w:t xml:space="preserve">MATLAB scripts 08–09; tornado chart</w:t>
            </w:r>
          </w:p>
        </w:tc>
        <w:tc>
          <w:tcPr>
            <w:tcW w:type="dxa" w:w="1450"/>
            <w:tcMar>
              <w:top w:type="dxa" w:w="60"/>
              <w:left w:type="dxa" w:w="100"/>
              <w:bottom w:type="dxa" w:w="60"/>
              <w:right w:type="dxa" w:w="100"/>
            </w:tcMar>
          </w:tcPr>
          <w:p>
            <w:r>
              <w:rPr>
                <w:rFonts w:ascii="Calibri" w:cs="Calibri" w:eastAsia="Calibri" w:hAnsi="Calibri"/>
                <w:sz w:val="18"/>
                <w:szCs w:val="18"/>
              </w:rPr>
              <w:t xml:space="preserve">Essential</w:t>
            </w:r>
          </w:p>
        </w:tc>
      </w:tr>
      <w:tr>
        <w:tc>
          <w:tcPr>
            <w:tcW w:type="dxa" w:w="1300"/>
            <w:shd w:fill="EEF3FA" w:val="clear"/>
            <w:tcMar>
              <w:top w:type="dxa" w:w="60"/>
              <w:left w:type="dxa" w:w="100"/>
              <w:bottom w:type="dxa" w:w="60"/>
              <w:right w:type="dxa" w:w="100"/>
            </w:tcMar>
          </w:tcPr>
          <w:p>
            <w:r>
              <w:rPr>
                <w:rFonts w:ascii="Calibri" w:cs="Calibri" w:eastAsia="Calibri" w:hAnsi="Calibri"/>
                <w:sz w:val="18"/>
                <w:szCs w:val="18"/>
              </w:rPr>
              <w:t xml:space="preserve">13</w:t>
            </w:r>
          </w:p>
        </w:tc>
        <w:tc>
          <w:tcPr>
            <w:tcW w:type="dxa" w:w="2100"/>
            <w:shd w:fill="EEF3FA" w:val="clear"/>
            <w:tcMar>
              <w:top w:type="dxa" w:w="60"/>
              <w:left w:type="dxa" w:w="100"/>
              <w:bottom w:type="dxa" w:w="60"/>
              <w:right w:type="dxa" w:w="100"/>
            </w:tcMar>
          </w:tcPr>
          <w:p>
            <w:r>
              <w:rPr>
                <w:rFonts w:ascii="Calibri" w:cs="Calibri" w:eastAsia="Calibri" w:hAnsi="Calibri"/>
                <w:sz w:val="18"/>
                <w:szCs w:val="18"/>
              </w:rPr>
              <w:t xml:space="preserve">Monte Carlo (if time permits)</w:t>
            </w:r>
          </w:p>
        </w:tc>
        <w:tc>
          <w:tcPr>
            <w:tcW w:type="dxa" w:w="4500"/>
            <w:shd w:fill="EEF3FA" w:val="clear"/>
            <w:tcMar>
              <w:top w:type="dxa" w:w="60"/>
              <w:left w:type="dxa" w:w="100"/>
              <w:bottom w:type="dxa" w:w="60"/>
              <w:right w:type="dxa" w:w="100"/>
            </w:tcMar>
          </w:tcPr>
          <w:p>
            <w:r>
              <w:rPr>
                <w:rFonts w:ascii="Calibri" w:cs="Calibri" w:eastAsia="Calibri" w:hAnsi="Calibri"/>
                <w:sz w:val="18"/>
                <w:szCs w:val="18"/>
              </w:rPr>
              <w:t xml:space="preserve">MATLAB script 10; literature-based ranges only</w:t>
            </w:r>
          </w:p>
        </w:tc>
        <w:tc>
          <w:tcPr>
            <w:tcW w:type="dxa" w:w="1450"/>
            <w:shd w:fill="EEF3FA" w:val="clear"/>
            <w:tcMar>
              <w:top w:type="dxa" w:w="60"/>
              <w:left w:type="dxa" w:w="100"/>
              <w:bottom w:type="dxa" w:w="60"/>
              <w:right w:type="dxa" w:w="100"/>
            </w:tcMar>
          </w:tcPr>
          <w:p>
            <w:r>
              <w:rPr>
                <w:rFonts w:ascii="Calibri" w:cs="Calibri" w:eastAsia="Calibri" w:hAnsi="Calibri"/>
                <w:sz w:val="18"/>
                <w:szCs w:val="18"/>
              </w:rPr>
              <w:t xml:space="preserve">Recommended</w:t>
            </w:r>
          </w:p>
        </w:tc>
      </w:tr>
      <w:tr>
        <w:tc>
          <w:tcPr>
            <w:tcW w:type="dxa" w:w="1300"/>
            <w:tcMar>
              <w:top w:type="dxa" w:w="60"/>
              <w:left w:type="dxa" w:w="100"/>
              <w:bottom w:type="dxa" w:w="60"/>
              <w:right w:type="dxa" w:w="100"/>
            </w:tcMar>
          </w:tcPr>
          <w:p>
            <w:r>
              <w:rPr>
                <w:rFonts w:ascii="Calibri" w:cs="Calibri" w:eastAsia="Calibri" w:hAnsi="Calibri"/>
                <w:sz w:val="18"/>
                <w:szCs w:val="18"/>
              </w:rPr>
              <w:t xml:space="preserve">13</w:t>
            </w:r>
          </w:p>
        </w:tc>
        <w:tc>
          <w:tcPr>
            <w:tcW w:type="dxa" w:w="2100"/>
            <w:tcMar>
              <w:top w:type="dxa" w:w="60"/>
              <w:left w:type="dxa" w:w="100"/>
              <w:bottom w:type="dxa" w:w="60"/>
              <w:right w:type="dxa" w:w="100"/>
            </w:tcMar>
          </w:tcPr>
          <w:p>
            <w:r>
              <w:rPr>
                <w:rFonts w:ascii="Calibri" w:cs="Calibri" w:eastAsia="Calibri" w:hAnsi="Calibri"/>
                <w:sz w:val="18"/>
                <w:szCs w:val="18"/>
              </w:rPr>
              <w:t xml:space="preserve">Environmental analysis</w:t>
            </w:r>
          </w:p>
        </w:tc>
        <w:tc>
          <w:tcPr>
            <w:tcW w:type="dxa" w:w="4500"/>
            <w:tcMar>
              <w:top w:type="dxa" w:w="60"/>
              <w:left w:type="dxa" w:w="100"/>
              <w:bottom w:type="dxa" w:w="60"/>
              <w:right w:type="dxa" w:w="100"/>
            </w:tcMar>
          </w:tcPr>
          <w:p>
            <w:r>
              <w:rPr>
                <w:rFonts w:ascii="Calibri" w:cs="Calibri" w:eastAsia="Calibri" w:hAnsi="Calibri"/>
                <w:sz w:val="18"/>
                <w:szCs w:val="18"/>
              </w:rPr>
              <w:t xml:space="preserve">Simplified manufacturing/operation/EOL comparison</w:t>
            </w:r>
          </w:p>
        </w:tc>
        <w:tc>
          <w:tcPr>
            <w:tcW w:type="dxa" w:w="1450"/>
            <w:tcMar>
              <w:top w:type="dxa" w:w="60"/>
              <w:left w:type="dxa" w:w="100"/>
              <w:bottom w:type="dxa" w:w="60"/>
              <w:right w:type="dxa" w:w="100"/>
            </w:tcMar>
          </w:tcPr>
          <w:p>
            <w:r>
              <w:rPr>
                <w:rFonts w:ascii="Calibri" w:cs="Calibri" w:eastAsia="Calibri" w:hAnsi="Calibri"/>
                <w:sz w:val="18"/>
                <w:szCs w:val="18"/>
              </w:rPr>
              <w:t xml:space="preserve">Recommended</w:t>
            </w:r>
          </w:p>
        </w:tc>
      </w:tr>
      <w:tr>
        <w:tc>
          <w:tcPr>
            <w:tcW w:type="dxa" w:w="1300"/>
            <w:shd w:fill="EEF3FA" w:val="clear"/>
            <w:tcMar>
              <w:top w:type="dxa" w:w="60"/>
              <w:left w:type="dxa" w:w="100"/>
              <w:bottom w:type="dxa" w:w="60"/>
              <w:right w:type="dxa" w:w="100"/>
            </w:tcMar>
          </w:tcPr>
          <w:p>
            <w:r>
              <w:rPr>
                <w:rFonts w:ascii="Calibri" w:cs="Calibri" w:eastAsia="Calibri" w:hAnsi="Calibri"/>
                <w:sz w:val="18"/>
                <w:szCs w:val="18"/>
              </w:rPr>
              <w:t xml:space="preserve">14</w:t>
            </w:r>
          </w:p>
        </w:tc>
        <w:tc>
          <w:tcPr>
            <w:tcW w:type="dxa" w:w="2100"/>
            <w:shd w:fill="EEF3FA" w:val="clear"/>
            <w:tcMar>
              <w:top w:type="dxa" w:w="60"/>
              <w:left w:type="dxa" w:w="100"/>
              <w:bottom w:type="dxa" w:w="60"/>
              <w:right w:type="dxa" w:w="100"/>
            </w:tcMar>
          </w:tcPr>
          <w:p>
            <w:r>
              <w:rPr>
                <w:rFonts w:ascii="Calibri" w:cs="Calibri" w:eastAsia="Calibri" w:hAnsi="Calibri"/>
                <w:sz w:val="18"/>
                <w:szCs w:val="18"/>
              </w:rPr>
              <w:t xml:space="preserve">Policy scenarios</w:t>
            </w:r>
          </w:p>
        </w:tc>
        <w:tc>
          <w:tcPr>
            <w:tcW w:type="dxa" w:w="4500"/>
            <w:shd w:fill="EEF3FA" w:val="clear"/>
            <w:tcMar>
              <w:top w:type="dxa" w:w="60"/>
              <w:left w:type="dxa" w:w="100"/>
              <w:bottom w:type="dxa" w:w="60"/>
              <w:right w:type="dxa" w:w="100"/>
            </w:tcMar>
          </w:tcPr>
          <w:p>
            <w:r>
              <w:rPr>
                <w:rFonts w:ascii="Calibri" w:cs="Calibri" w:eastAsia="Calibri" w:hAnsi="Calibri"/>
                <w:sz w:val="18"/>
                <w:szCs w:val="18"/>
              </w:rPr>
              <w:t xml:space="preserve">2–3 quantified scenarios against TCO results</w:t>
            </w:r>
          </w:p>
        </w:tc>
        <w:tc>
          <w:tcPr>
            <w:tcW w:type="dxa" w:w="1450"/>
            <w:shd w:fill="EEF3FA" w:val="clear"/>
            <w:tcMar>
              <w:top w:type="dxa" w:w="60"/>
              <w:left w:type="dxa" w:w="100"/>
              <w:bottom w:type="dxa" w:w="60"/>
              <w:right w:type="dxa" w:w="100"/>
            </w:tcMar>
          </w:tcPr>
          <w:p>
            <w:r>
              <w:rPr>
                <w:rFonts w:ascii="Calibri" w:cs="Calibri" w:eastAsia="Calibri" w:hAnsi="Calibri"/>
                <w:sz w:val="18"/>
                <w:szCs w:val="18"/>
              </w:rPr>
              <w:t xml:space="preserve">Recommended</w:t>
            </w:r>
          </w:p>
        </w:tc>
      </w:tr>
      <w:tr>
        <w:tc>
          <w:tcPr>
            <w:tcW w:type="dxa" w:w="1300"/>
            <w:tcMar>
              <w:top w:type="dxa" w:w="60"/>
              <w:left w:type="dxa" w:w="100"/>
              <w:bottom w:type="dxa" w:w="60"/>
              <w:right w:type="dxa" w:w="100"/>
            </w:tcMar>
          </w:tcPr>
          <w:p>
            <w:r>
              <w:rPr>
                <w:rFonts w:ascii="Calibri" w:cs="Calibri" w:eastAsia="Calibri" w:hAnsi="Calibri"/>
                <w:sz w:val="18"/>
                <w:szCs w:val="18"/>
              </w:rPr>
              <w:t xml:space="preserve">15</w:t>
            </w:r>
          </w:p>
        </w:tc>
        <w:tc>
          <w:tcPr>
            <w:tcW w:type="dxa" w:w="2100"/>
            <w:tcMar>
              <w:top w:type="dxa" w:w="60"/>
              <w:left w:type="dxa" w:w="100"/>
              <w:bottom w:type="dxa" w:w="60"/>
              <w:right w:type="dxa" w:w="100"/>
            </w:tcMar>
          </w:tcPr>
          <w:p>
            <w:r>
              <w:rPr>
                <w:rFonts w:ascii="Calibri" w:cs="Calibri" w:eastAsia="Calibri" w:hAnsi="Calibri"/>
                <w:sz w:val="18"/>
                <w:szCs w:val="18"/>
              </w:rPr>
              <w:t xml:space="preserve">Figures, tables, results write-up</w:t>
            </w:r>
          </w:p>
        </w:tc>
        <w:tc>
          <w:tcPr>
            <w:tcW w:type="dxa" w:w="4500"/>
            <w:tcMar>
              <w:top w:type="dxa" w:w="60"/>
              <w:left w:type="dxa" w:w="100"/>
              <w:bottom w:type="dxa" w:w="60"/>
              <w:right w:type="dxa" w:w="100"/>
            </w:tcMar>
          </w:tcPr>
          <w:p>
            <w:r>
              <w:rPr>
                <w:rFonts w:ascii="Calibri" w:cs="Calibri" w:eastAsia="Calibri" w:hAnsi="Calibri"/>
                <w:sz w:val="18"/>
                <w:szCs w:val="18"/>
              </w:rPr>
              <w:t xml:space="preserve">Finalize Chapters 5–6 (Results, Discussion)</w:t>
            </w:r>
          </w:p>
        </w:tc>
        <w:tc>
          <w:tcPr>
            <w:tcW w:type="dxa" w:w="1450"/>
            <w:tcMar>
              <w:top w:type="dxa" w:w="60"/>
              <w:left w:type="dxa" w:w="100"/>
              <w:bottom w:type="dxa" w:w="60"/>
              <w:right w:type="dxa" w:w="100"/>
            </w:tcMar>
          </w:tcPr>
          <w:p>
            <w:r>
              <w:rPr>
                <w:rFonts w:ascii="Calibri" w:cs="Calibri" w:eastAsia="Calibri" w:hAnsi="Calibri"/>
                <w:sz w:val="18"/>
                <w:szCs w:val="18"/>
              </w:rPr>
              <w:t xml:space="preserve">Essential</w:t>
            </w:r>
          </w:p>
        </w:tc>
      </w:tr>
      <w:tr>
        <w:tc>
          <w:tcPr>
            <w:tcW w:type="dxa" w:w="1300"/>
            <w:shd w:fill="EEF3FA" w:val="clear"/>
            <w:tcMar>
              <w:top w:type="dxa" w:w="60"/>
              <w:left w:type="dxa" w:w="100"/>
              <w:bottom w:type="dxa" w:w="60"/>
              <w:right w:type="dxa" w:w="100"/>
            </w:tcMar>
          </w:tcPr>
          <w:p>
            <w:r>
              <w:rPr>
                <w:rFonts w:ascii="Calibri" w:cs="Calibri" w:eastAsia="Calibri" w:hAnsi="Calibri"/>
                <w:sz w:val="18"/>
                <w:szCs w:val="18"/>
              </w:rPr>
              <w:t xml:space="preserve">16</w:t>
            </w:r>
          </w:p>
        </w:tc>
        <w:tc>
          <w:tcPr>
            <w:tcW w:type="dxa" w:w="2100"/>
            <w:shd w:fill="EEF3FA" w:val="clear"/>
            <w:tcMar>
              <w:top w:type="dxa" w:w="60"/>
              <w:left w:type="dxa" w:w="100"/>
              <w:bottom w:type="dxa" w:w="60"/>
              <w:right w:type="dxa" w:w="100"/>
            </w:tcMar>
          </w:tcPr>
          <w:p>
            <w:r>
              <w:rPr>
                <w:rFonts w:ascii="Calibri" w:cs="Calibri" w:eastAsia="Calibri" w:hAnsi="Calibri"/>
                <w:sz w:val="18"/>
                <w:szCs w:val="18"/>
              </w:rPr>
              <w:t xml:space="preserve">Full draft, internal review, revision</w:t>
            </w:r>
          </w:p>
        </w:tc>
        <w:tc>
          <w:tcPr>
            <w:tcW w:type="dxa" w:w="4500"/>
            <w:shd w:fill="EEF3FA" w:val="clear"/>
            <w:tcMar>
              <w:top w:type="dxa" w:w="60"/>
              <w:left w:type="dxa" w:w="100"/>
              <w:bottom w:type="dxa" w:w="60"/>
              <w:right w:type="dxa" w:w="100"/>
            </w:tcMar>
          </w:tcPr>
          <w:p>
            <w:r>
              <w:rPr>
                <w:rFonts w:ascii="Calibri" w:cs="Calibri" w:eastAsia="Calibri" w:hAnsi="Calibri"/>
                <w:sz w:val="18"/>
                <w:szCs w:val="18"/>
              </w:rPr>
              <w:t xml:space="preserve">Complete proposal-to-report transition; supervisor review</w:t>
            </w:r>
          </w:p>
        </w:tc>
        <w:tc>
          <w:tcPr>
            <w:tcW w:type="dxa" w:w="1450"/>
            <w:shd w:fill="EEF3FA" w:val="clear"/>
            <w:tcMar>
              <w:top w:type="dxa" w:w="60"/>
              <w:left w:type="dxa" w:w="100"/>
              <w:bottom w:type="dxa" w:w="60"/>
              <w:right w:type="dxa" w:w="100"/>
            </w:tcMar>
          </w:tcPr>
          <w:p>
            <w:r>
              <w:rPr>
                <w:rFonts w:ascii="Calibri" w:cs="Calibri" w:eastAsia="Calibri" w:hAnsi="Calibri"/>
                <w:sz w:val="18"/>
                <w:szCs w:val="18"/>
              </w:rPr>
              <w:t xml:space="preserve">Essential</w:t>
            </w:r>
          </w:p>
        </w:tc>
      </w:tr>
    </w:tbl>
    <w:p>
      <w:pPr>
        <w:spacing w:after="140" w:line="276"/>
        <w:jc w:val="both"/>
      </w:pPr>
      <w:r>
        <w:rPr>
          <w:rFonts w:ascii="Calibri" w:cs="Calibri" w:eastAsia="Calibri" w:hAnsi="Calibri"/>
          <w:b w:val="false"/>
          <w:bCs w:val="false"/>
          <w:i/>
          <w:iCs/>
          <w:sz w:val="21"/>
          <w:szCs w:val="21"/>
        </w:rPr>
        <w:t xml:space="preserve">This schedule is intentionally tight. If ethics approval, survey access, or secondary-data acquisition takes longer than planned — which is common — the recommended-tier items (Monte Carlo, environmental analysis, policy scenarios) are the first to be trimmed, in that order, so that the essential TCO/break-even/sensitivity core is protected.</w:t>
      </w:r>
    </w:p>
    <w:p>
      <w:pPr>
        <w:pStyle w:val="Heading1"/>
        <w:spacing w:after="160" w:before="320"/>
      </w:pPr>
      <w:r>
        <w:rPr>
          <w:rFonts w:ascii="Calibri" w:cs="Calibri" w:eastAsia="Calibri" w:hAnsi="Calibri"/>
          <w:b/>
          <w:bCs/>
          <w:color w:val="1F4E79"/>
          <w:sz w:val="28"/>
          <w:szCs w:val="28"/>
        </w:rPr>
        <w:t xml:space="preserve">18. Required Resources</w:t>
      </w:r>
    </w:p>
    <w:p>
      <w:pPr>
        <w:pStyle w:val="Heading2"/>
        <w:spacing w:after="120" w:before="220"/>
      </w:pPr>
      <w:r>
        <w:rPr>
          <w:rFonts w:ascii="Calibri" w:cs="Calibri" w:eastAsia="Calibri" w:hAnsi="Calibri"/>
          <w:b/>
          <w:bCs/>
          <w:color w:val="1F4E79"/>
          <w:sz w:val="24"/>
          <w:szCs w:val="24"/>
        </w:rPr>
        <w:t xml:space="preserve">18.1 Software</w:t>
      </w:r>
    </w:p>
    <w:p>
      <w:pPr>
        <w:pStyle w:val="ListParagraph"/>
        <w:numPr>
          <w:ilvl w:val="0"/>
          <w:numId w:val="2"/>
        </w:numPr>
        <w:spacing w:after="60"/>
      </w:pPr>
      <w:r>
        <w:rPr>
          <w:rFonts w:ascii="Calibri" w:cs="Calibri" w:eastAsia="Calibri" w:hAnsi="Calibri"/>
          <w:sz w:val="21"/>
          <w:szCs w:val="21"/>
        </w:rPr>
        <w:t xml:space="preserve">MATLAB (core computation, all modeling scripts)</w:t>
      </w:r>
    </w:p>
    <w:p>
      <w:pPr>
        <w:pStyle w:val="ListParagraph"/>
        <w:numPr>
          <w:ilvl w:val="0"/>
          <w:numId w:val="2"/>
        </w:numPr>
        <w:spacing w:after="60"/>
      </w:pPr>
      <w:r>
        <w:rPr>
          <w:rFonts w:ascii="Calibri" w:cs="Calibri" w:eastAsia="Calibri" w:hAnsi="Calibri"/>
          <w:sz w:val="21"/>
          <w:szCs w:val="21"/>
        </w:rPr>
        <w:t xml:space="preserve">MATLAB Statistics and Machine Learning Toolbox (survey statistics, Monte Carlo)</w:t>
      </w:r>
    </w:p>
    <w:p>
      <w:pPr>
        <w:pStyle w:val="ListParagraph"/>
        <w:numPr>
          <w:ilvl w:val="0"/>
          <w:numId w:val="2"/>
        </w:numPr>
        <w:spacing w:after="60"/>
      </w:pPr>
      <w:r>
        <w:rPr>
          <w:rFonts w:ascii="Calibri" w:cs="Calibri" w:eastAsia="Calibri" w:hAnsi="Calibri"/>
          <w:sz w:val="21"/>
          <w:szCs w:val="21"/>
        </w:rPr>
        <w:t xml:space="preserve">Spreadsheet software (raw data handling, master parameter table)</w:t>
      </w:r>
    </w:p>
    <w:p>
      <w:pPr>
        <w:pStyle w:val="ListParagraph"/>
        <w:numPr>
          <w:ilvl w:val="0"/>
          <w:numId w:val="2"/>
        </w:numPr>
        <w:spacing w:after="60"/>
      </w:pPr>
      <w:r>
        <w:rPr>
          <w:rFonts w:ascii="Calibri" w:cs="Calibri" w:eastAsia="Calibri" w:hAnsi="Calibri"/>
          <w:sz w:val="21"/>
          <w:szCs w:val="21"/>
        </w:rPr>
        <w:t xml:space="preserve">Reference manager (Zotero or Mendeley)</w:t>
      </w:r>
    </w:p>
    <w:p>
      <w:pPr>
        <w:pStyle w:val="Heading2"/>
        <w:spacing w:after="120" w:before="220"/>
      </w:pPr>
      <w:r>
        <w:rPr>
          <w:rFonts w:ascii="Calibri" w:cs="Calibri" w:eastAsia="Calibri" w:hAnsi="Calibri"/>
          <w:b/>
          <w:bCs/>
          <w:color w:val="1F4E79"/>
          <w:sz w:val="24"/>
          <w:szCs w:val="24"/>
        </w:rPr>
        <w:t xml:space="preserve">18.2 Not required</w:t>
      </w:r>
    </w:p>
    <w:p>
      <w:pPr>
        <w:pStyle w:val="ListParagraph"/>
        <w:numPr>
          <w:ilvl w:val="0"/>
          <w:numId w:val="2"/>
        </w:numPr>
        <w:spacing w:after="60"/>
      </w:pPr>
      <w:r>
        <w:rPr>
          <w:rFonts w:ascii="Calibri" w:cs="Calibri" w:eastAsia="Calibri" w:hAnsi="Calibri"/>
          <w:sz w:val="21"/>
          <w:szCs w:val="21"/>
        </w:rPr>
        <w:t xml:space="preserve">HOMER Pro — see Section 19.</w:t>
      </w:r>
    </w:p>
    <w:p>
      <w:pPr>
        <w:pStyle w:val="ListParagraph"/>
        <w:numPr>
          <w:ilvl w:val="0"/>
          <w:numId w:val="2"/>
        </w:numPr>
        <w:spacing w:after="60"/>
      </w:pPr>
      <w:r>
        <w:rPr>
          <w:rFonts w:ascii="Calibri" w:cs="Calibri" w:eastAsia="Calibri" w:hAnsi="Calibri"/>
          <w:sz w:val="21"/>
          <w:szCs w:val="21"/>
        </w:rPr>
        <w:t xml:space="preserve">Simulink — not needed unless the MATLAB scripts prove insufficient, which is not anticipated for this scope.</w:t>
      </w:r>
    </w:p>
    <w:p>
      <w:pPr>
        <w:pStyle w:val="Heading2"/>
        <w:spacing w:after="120" w:before="220"/>
      </w:pPr>
      <w:r>
        <w:rPr>
          <w:rFonts w:ascii="Calibri" w:cs="Calibri" w:eastAsia="Calibri" w:hAnsi="Calibri"/>
          <w:b/>
          <w:bCs/>
          <w:color w:val="1F4E79"/>
          <w:sz w:val="24"/>
          <w:szCs w:val="24"/>
        </w:rPr>
        <w:t xml:space="preserve">18.3 Field resources</w:t>
      </w:r>
    </w:p>
    <w:p>
      <w:pPr>
        <w:pStyle w:val="ListParagraph"/>
        <w:numPr>
          <w:ilvl w:val="0"/>
          <w:numId w:val="2"/>
        </w:numPr>
        <w:spacing w:after="60"/>
      </w:pPr>
      <w:r>
        <w:rPr>
          <w:rFonts w:ascii="Calibri" w:cs="Calibri" w:eastAsia="Calibri" w:hAnsi="Calibri"/>
          <w:sz w:val="21"/>
          <w:szCs w:val="21"/>
        </w:rPr>
        <w:t xml:space="preserve">Printed/digital questionnaire, informed-consent forms, local transport for survey visits, mobile data-collection device (phone/tablet).</w:t>
      </w:r>
    </w:p>
    <w:p>
      <w:pPr>
        <w:pStyle w:val="Heading1"/>
        <w:spacing w:after="160" w:before="320"/>
      </w:pPr>
      <w:r>
        <w:rPr>
          <w:rFonts w:ascii="Calibri" w:cs="Calibri" w:eastAsia="Calibri" w:hAnsi="Calibri"/>
          <w:b/>
          <w:bCs/>
          <w:color w:val="1F4E79"/>
          <w:sz w:val="28"/>
          <w:szCs w:val="28"/>
        </w:rPr>
        <w:t xml:space="preserve">19. Is HOMER Pro Required?</w:t>
      </w:r>
    </w:p>
    <w:p>
      <w:pPr>
        <w:spacing w:after="140" w:line="276"/>
        <w:jc w:val="both"/>
      </w:pPr>
      <w:r>
        <w:rPr>
          <w:rFonts w:ascii="Calibri" w:cs="Calibri" w:eastAsia="Calibri" w:hAnsi="Calibri"/>
          <w:b w:val="false"/>
          <w:bCs w:val="false"/>
          <w:i w:val="false"/>
          <w:iCs w:val="false"/>
          <w:sz w:val="21"/>
          <w:szCs w:val="21"/>
        </w:rPr>
        <w:t xml:space="preserve">No. HOMER Pro is justified only if the research question expands to include PV-assisted or hybrid charging infrastructure. The current scope is a grid-charged battery-technology comparison, which the MATLAB model in Section 13 fully covers. HOMER Pro is therefore explicitly excluded from this proposal and should be introduced only as a deliberate future extension, not a default addition.</w:t>
      </w:r>
    </w:p>
    <w:p>
      <w:pPr>
        <w:pStyle w:val="Heading1"/>
        <w:spacing w:after="160" w:before="320"/>
      </w:pPr>
      <w:r>
        <w:rPr>
          <w:rFonts w:ascii="Calibri" w:cs="Calibri" w:eastAsia="Calibri" w:hAnsi="Calibri"/>
          <w:b/>
          <w:bCs/>
          <w:color w:val="1F4E79"/>
          <w:sz w:val="28"/>
          <w:szCs w:val="28"/>
        </w:rPr>
        <w:t xml:space="preserve">20. Estimated Budget</w:t>
      </w:r>
    </w:p>
    <w:p>
      <w:pPr>
        <w:spacing w:after="140" w:line="276"/>
        <w:jc w:val="both"/>
      </w:pPr>
      <w:r>
        <w:rPr>
          <w:rFonts w:ascii="Calibri" w:cs="Calibri" w:eastAsia="Calibri" w:hAnsi="Calibri"/>
          <w:b w:val="false"/>
          <w:bCs w:val="false"/>
          <w:i/>
          <w:iCs/>
          <w:sz w:val="21"/>
          <w:szCs w:val="21"/>
        </w:rPr>
        <w:t xml:space="preserve">All figures below are rough planning estimates in Bangladeshi taka (BDT) for a single-researcher Master's project and must be refined once actual survey locations and travel requirements are fixed; they are not sourced quotations.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50"/>
      </w:tblGrid>
      <w:tr>
        <w:trPr>
          <w:tblHeader/>
        </w:trPr>
        <w:tc>
          <w:tcPr>
            <w:tcW w:type="dxa" w:w="4500"/>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Item</w:t>
            </w:r>
          </w:p>
        </w:tc>
        <w:tc>
          <w:tcPr>
            <w:tcW w:type="dxa" w:w="2400"/>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Estimated cost (BDT)</w:t>
            </w:r>
          </w:p>
        </w:tc>
        <w:tc>
          <w:tcPr>
            <w:tcW w:type="dxa" w:w="2450"/>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Note</w:t>
            </w:r>
          </w:p>
        </w:tc>
      </w:tr>
      <w:tr>
        <w:tc>
          <w:tcPr>
            <w:tcW w:type="dxa" w:w="4500"/>
            <w:tcMar>
              <w:top w:type="dxa" w:w="60"/>
              <w:left w:type="dxa" w:w="100"/>
              <w:bottom w:type="dxa" w:w="60"/>
              <w:right w:type="dxa" w:w="100"/>
            </w:tcMar>
          </w:tcPr>
          <w:p>
            <w:r>
              <w:rPr>
                <w:rFonts w:ascii="Calibri" w:cs="Calibri" w:eastAsia="Calibri" w:hAnsi="Calibri"/>
                <w:sz w:val="18"/>
                <w:szCs w:val="18"/>
              </w:rPr>
              <w:t xml:space="preserve">Local transport for survey (2 cities, ~3 visits each)</w:t>
            </w:r>
          </w:p>
        </w:tc>
        <w:tc>
          <w:tcPr>
            <w:tcW w:type="dxa" w:w="2400"/>
            <w:tcMar>
              <w:top w:type="dxa" w:w="60"/>
              <w:left w:type="dxa" w:w="100"/>
              <w:bottom w:type="dxa" w:w="60"/>
              <w:right w:type="dxa" w:w="100"/>
            </w:tcMar>
          </w:tcPr>
          <w:p>
            <w:r>
              <w:rPr>
                <w:rFonts w:ascii="Calibri" w:cs="Calibri" w:eastAsia="Calibri" w:hAnsi="Calibri"/>
                <w:sz w:val="18"/>
                <w:szCs w:val="18"/>
              </w:rPr>
              <w:t xml:space="preserve">8,000–15,000</w:t>
            </w:r>
          </w:p>
        </w:tc>
        <w:tc>
          <w:tcPr>
            <w:tcW w:type="dxa" w:w="2450"/>
            <w:tcMar>
              <w:top w:type="dxa" w:w="60"/>
              <w:left w:type="dxa" w:w="100"/>
              <w:bottom w:type="dxa" w:w="60"/>
              <w:right w:type="dxa" w:w="100"/>
            </w:tcMar>
          </w:tcPr>
          <w:p>
            <w:r>
              <w:rPr>
                <w:rFonts w:ascii="Calibri" w:cs="Calibri" w:eastAsia="Calibri" w:hAnsi="Calibri"/>
                <w:sz w:val="18"/>
                <w:szCs w:val="18"/>
              </w:rPr>
              <w:t xml:space="preserve">Rough estimate — refine after site selection</w:t>
            </w:r>
          </w:p>
        </w:tc>
      </w:tr>
      <w:tr>
        <w:tc>
          <w:tcPr>
            <w:tcW w:type="dxa" w:w="4500"/>
            <w:shd w:fill="EEF3FA" w:val="clear"/>
            <w:tcMar>
              <w:top w:type="dxa" w:w="60"/>
              <w:left w:type="dxa" w:w="100"/>
              <w:bottom w:type="dxa" w:w="60"/>
              <w:right w:type="dxa" w:w="100"/>
            </w:tcMar>
          </w:tcPr>
          <w:p>
            <w:r>
              <w:rPr>
                <w:rFonts w:ascii="Calibri" w:cs="Calibri" w:eastAsia="Calibri" w:hAnsi="Calibri"/>
                <w:sz w:val="18"/>
                <w:szCs w:val="18"/>
              </w:rPr>
              <w:t xml:space="preserve">Printing (questionnaires, consent forms)</w:t>
            </w:r>
          </w:p>
        </w:tc>
        <w:tc>
          <w:tcPr>
            <w:tcW w:type="dxa" w:w="2400"/>
            <w:shd w:fill="EEF3FA" w:val="clear"/>
            <w:tcMar>
              <w:top w:type="dxa" w:w="60"/>
              <w:left w:type="dxa" w:w="100"/>
              <w:bottom w:type="dxa" w:w="60"/>
              <w:right w:type="dxa" w:w="100"/>
            </w:tcMar>
          </w:tcPr>
          <w:p>
            <w:r>
              <w:rPr>
                <w:rFonts w:ascii="Calibri" w:cs="Calibri" w:eastAsia="Calibri" w:hAnsi="Calibri"/>
                <w:sz w:val="18"/>
                <w:szCs w:val="18"/>
              </w:rPr>
              <w:t xml:space="preserve">2,000–3,000</w:t>
            </w:r>
          </w:p>
        </w:tc>
        <w:tc>
          <w:tcPr>
            <w:tcW w:type="dxa" w:w="2450"/>
            <w:shd w:fill="EEF3FA" w:val="clear"/>
            <w:tcMar>
              <w:top w:type="dxa" w:w="60"/>
              <w:left w:type="dxa" w:w="100"/>
              <w:bottom w:type="dxa" w:w="60"/>
              <w:right w:type="dxa" w:w="100"/>
            </w:tcMar>
          </w:tcPr>
          <w:p>
            <w:r>
              <w:rPr>
                <w:rFonts w:ascii="Calibri" w:cs="Calibri" w:eastAsia="Calibri" w:hAnsi="Calibri"/>
                <w:sz w:val="18"/>
                <w:szCs w:val="18"/>
              </w:rPr>
              <w:t xml:space="preserve">Rough estimate</w:t>
            </w:r>
          </w:p>
        </w:tc>
      </w:tr>
      <w:tr>
        <w:tc>
          <w:tcPr>
            <w:tcW w:type="dxa" w:w="4500"/>
            <w:tcMar>
              <w:top w:type="dxa" w:w="60"/>
              <w:left w:type="dxa" w:w="100"/>
              <w:bottom w:type="dxa" w:w="60"/>
              <w:right w:type="dxa" w:w="100"/>
            </w:tcMar>
          </w:tcPr>
          <w:p>
            <w:r>
              <w:rPr>
                <w:rFonts w:ascii="Calibri" w:cs="Calibri" w:eastAsia="Calibri" w:hAnsi="Calibri"/>
                <w:sz w:val="18"/>
                <w:szCs w:val="18"/>
              </w:rPr>
              <w:t xml:space="preserve">Mobile data / connectivity for field data entry</w:t>
            </w:r>
          </w:p>
        </w:tc>
        <w:tc>
          <w:tcPr>
            <w:tcW w:type="dxa" w:w="2400"/>
            <w:tcMar>
              <w:top w:type="dxa" w:w="60"/>
              <w:left w:type="dxa" w:w="100"/>
              <w:bottom w:type="dxa" w:w="60"/>
              <w:right w:type="dxa" w:w="100"/>
            </w:tcMar>
          </w:tcPr>
          <w:p>
            <w:r>
              <w:rPr>
                <w:rFonts w:ascii="Calibri" w:cs="Calibri" w:eastAsia="Calibri" w:hAnsi="Calibri"/>
                <w:sz w:val="18"/>
                <w:szCs w:val="18"/>
              </w:rPr>
              <w:t xml:space="preserve">1,000–2,000</w:t>
            </w:r>
          </w:p>
        </w:tc>
        <w:tc>
          <w:tcPr>
            <w:tcW w:type="dxa" w:w="2450"/>
            <w:tcMar>
              <w:top w:type="dxa" w:w="60"/>
              <w:left w:type="dxa" w:w="100"/>
              <w:bottom w:type="dxa" w:w="60"/>
              <w:right w:type="dxa" w:w="100"/>
            </w:tcMar>
          </w:tcPr>
          <w:p>
            <w:r>
              <w:rPr>
                <w:rFonts w:ascii="Calibri" w:cs="Calibri" w:eastAsia="Calibri" w:hAnsi="Calibri"/>
                <w:sz w:val="18"/>
                <w:szCs w:val="18"/>
              </w:rPr>
              <w:t xml:space="preserve">Rough estimate</w:t>
            </w:r>
          </w:p>
        </w:tc>
      </w:tr>
      <w:tr>
        <w:tc>
          <w:tcPr>
            <w:tcW w:type="dxa" w:w="4500"/>
            <w:shd w:fill="EEF3FA" w:val="clear"/>
            <w:tcMar>
              <w:top w:type="dxa" w:w="60"/>
              <w:left w:type="dxa" w:w="100"/>
              <w:bottom w:type="dxa" w:w="60"/>
              <w:right w:type="dxa" w:w="100"/>
            </w:tcMar>
          </w:tcPr>
          <w:p>
            <w:r>
              <w:rPr>
                <w:rFonts w:ascii="Calibri" w:cs="Calibri" w:eastAsia="Calibri" w:hAnsi="Calibri"/>
                <w:sz w:val="18"/>
                <w:szCs w:val="18"/>
              </w:rPr>
              <w:t xml:space="preserve">Respondent incentive (optional, if ethics board permits)</w:t>
            </w:r>
          </w:p>
        </w:tc>
        <w:tc>
          <w:tcPr>
            <w:tcW w:type="dxa" w:w="2400"/>
            <w:shd w:fill="EEF3FA" w:val="clear"/>
            <w:tcMar>
              <w:top w:type="dxa" w:w="60"/>
              <w:left w:type="dxa" w:w="100"/>
              <w:bottom w:type="dxa" w:w="60"/>
              <w:right w:type="dxa" w:w="100"/>
            </w:tcMar>
          </w:tcPr>
          <w:p>
            <w:r>
              <w:rPr>
                <w:rFonts w:ascii="Calibri" w:cs="Calibri" w:eastAsia="Calibri" w:hAnsi="Calibri"/>
                <w:sz w:val="18"/>
                <w:szCs w:val="18"/>
              </w:rPr>
              <w:t xml:space="preserve">0–10,000</w:t>
            </w:r>
          </w:p>
        </w:tc>
        <w:tc>
          <w:tcPr>
            <w:tcW w:type="dxa" w:w="2450"/>
            <w:shd w:fill="EEF3FA" w:val="clear"/>
            <w:tcMar>
              <w:top w:type="dxa" w:w="60"/>
              <w:left w:type="dxa" w:w="100"/>
              <w:bottom w:type="dxa" w:w="60"/>
              <w:right w:type="dxa" w:w="100"/>
            </w:tcMar>
          </w:tcPr>
          <w:p>
            <w:r>
              <w:rPr>
                <w:rFonts w:ascii="Calibri" w:cs="Calibri" w:eastAsia="Calibri" w:hAnsi="Calibri"/>
                <w:sz w:val="18"/>
                <w:szCs w:val="18"/>
              </w:rPr>
              <w:t xml:space="preserve">Institutional policy dependent — [DATA REQUIRED]</w:t>
            </w:r>
          </w:p>
        </w:tc>
      </w:tr>
      <w:tr>
        <w:tc>
          <w:tcPr>
            <w:tcW w:type="dxa" w:w="4500"/>
            <w:tcMar>
              <w:top w:type="dxa" w:w="60"/>
              <w:left w:type="dxa" w:w="100"/>
              <w:bottom w:type="dxa" w:w="60"/>
              <w:right w:type="dxa" w:w="100"/>
            </w:tcMar>
          </w:tcPr>
          <w:p>
            <w:r>
              <w:rPr>
                <w:rFonts w:ascii="Calibri" w:cs="Calibri" w:eastAsia="Calibri" w:hAnsi="Calibri"/>
                <w:sz w:val="18"/>
                <w:szCs w:val="18"/>
              </w:rPr>
              <w:t xml:space="preserve">Software</w:t>
            </w:r>
          </w:p>
        </w:tc>
        <w:tc>
          <w:tcPr>
            <w:tcW w:type="dxa" w:w="2400"/>
            <w:tcMar>
              <w:top w:type="dxa" w:w="60"/>
              <w:left w:type="dxa" w:w="100"/>
              <w:bottom w:type="dxa" w:w="60"/>
              <w:right w:type="dxa" w:w="100"/>
            </w:tcMar>
          </w:tcPr>
          <w:p>
            <w:r>
              <w:rPr>
                <w:rFonts w:ascii="Calibri" w:cs="Calibri" w:eastAsia="Calibri" w:hAnsi="Calibri"/>
                <w:sz w:val="18"/>
                <w:szCs w:val="18"/>
              </w:rPr>
              <w:t xml:space="preserve">0</w:t>
            </w:r>
          </w:p>
        </w:tc>
        <w:tc>
          <w:tcPr>
            <w:tcW w:type="dxa" w:w="2450"/>
            <w:tcMar>
              <w:top w:type="dxa" w:w="60"/>
              <w:left w:type="dxa" w:w="100"/>
              <w:bottom w:type="dxa" w:w="60"/>
              <w:right w:type="dxa" w:w="100"/>
            </w:tcMar>
          </w:tcPr>
          <w:p>
            <w:r>
              <w:rPr>
                <w:rFonts w:ascii="Calibri" w:cs="Calibri" w:eastAsia="Calibri" w:hAnsi="Calibri"/>
                <w:sz w:val="18"/>
                <w:szCs w:val="18"/>
              </w:rPr>
              <w:t xml:space="preserve">MATLAB typically available via university license — confirm access</w:t>
            </w:r>
          </w:p>
        </w:tc>
      </w:tr>
      <w:tr>
        <w:tc>
          <w:tcPr>
            <w:tcW w:type="dxa" w:w="4500"/>
            <w:shd w:fill="EEF3FA" w:val="clear"/>
            <w:tcMar>
              <w:top w:type="dxa" w:w="60"/>
              <w:left w:type="dxa" w:w="100"/>
              <w:bottom w:type="dxa" w:w="60"/>
              <w:right w:type="dxa" w:w="100"/>
            </w:tcMar>
          </w:tcPr>
          <w:p>
            <w:r>
              <w:rPr>
                <w:rFonts w:ascii="Calibri" w:cs="Calibri" w:eastAsia="Calibri" w:hAnsi="Calibri"/>
                <w:sz w:val="18"/>
                <w:szCs w:val="18"/>
              </w:rPr>
              <w:t xml:space="preserve">Miscellaneous / contingency</w:t>
            </w:r>
          </w:p>
        </w:tc>
        <w:tc>
          <w:tcPr>
            <w:tcW w:type="dxa" w:w="2400"/>
            <w:shd w:fill="EEF3FA" w:val="clear"/>
            <w:tcMar>
              <w:top w:type="dxa" w:w="60"/>
              <w:left w:type="dxa" w:w="100"/>
              <w:bottom w:type="dxa" w:w="60"/>
              <w:right w:type="dxa" w:w="100"/>
            </w:tcMar>
          </w:tcPr>
          <w:p>
            <w:r>
              <w:rPr>
                <w:rFonts w:ascii="Calibri" w:cs="Calibri" w:eastAsia="Calibri" w:hAnsi="Calibri"/>
                <w:sz w:val="18"/>
                <w:szCs w:val="18"/>
              </w:rPr>
              <w:t xml:space="preserve">5,000</w:t>
            </w:r>
          </w:p>
        </w:tc>
        <w:tc>
          <w:tcPr>
            <w:tcW w:type="dxa" w:w="2450"/>
            <w:shd w:fill="EEF3FA" w:val="clear"/>
            <w:tcMar>
              <w:top w:type="dxa" w:w="60"/>
              <w:left w:type="dxa" w:w="100"/>
              <w:bottom w:type="dxa" w:w="60"/>
              <w:right w:type="dxa" w:w="100"/>
            </w:tcMar>
          </w:tcPr>
          <w:p>
            <w:r>
              <w:rPr>
                <w:rFonts w:ascii="Calibri" w:cs="Calibri" w:eastAsia="Calibri" w:hAnsi="Calibri"/>
                <w:sz w:val="18"/>
                <w:szCs w:val="18"/>
              </w:rPr>
              <w:t xml:space="preserve">Rough estimate</w:t>
            </w:r>
          </w:p>
        </w:tc>
      </w:tr>
    </w:tbl>
    <w:p>
      <w:pPr>
        <w:pStyle w:val="Heading1"/>
        <w:spacing w:after="160" w:before="320"/>
      </w:pPr>
      <w:r>
        <w:rPr>
          <w:rFonts w:ascii="Calibri" w:cs="Calibri" w:eastAsia="Calibri" w:hAnsi="Calibri"/>
          <w:b/>
          <w:bCs/>
          <w:color w:val="1F4E79"/>
          <w:sz w:val="28"/>
          <w:szCs w:val="28"/>
        </w:rPr>
        <w:t xml:space="preserve">21. Ethical Considerations</w:t>
      </w:r>
    </w:p>
    <w:p>
      <w:pPr>
        <w:spacing w:after="140" w:line="276"/>
        <w:jc w:val="both"/>
      </w:pPr>
      <w:r>
        <w:rPr>
          <w:rFonts w:ascii="Calibri" w:cs="Calibri" w:eastAsia="Calibri" w:hAnsi="Calibri"/>
          <w:b w:val="false"/>
          <w:bCs w:val="false"/>
          <w:i w:val="false"/>
          <w:iCs w:val="false"/>
          <w:sz w:val="21"/>
          <w:szCs w:val="21"/>
        </w:rPr>
        <w:t xml:space="preserve">Before any survey data collection: confirm the university/department's human-subjects ethics review requirement and obtain approval if required; prepare an informed-consent form explaining the study's purpose, voluntary participation, and data use; collect no more personal information than necessary; anonymize responses; store data securely; and avoid publishing any identifying information about individual operators. Ethics approval is scheduled in Week 3 of the work plan and is a hard gate before the pilot survey in Week 4.</w:t>
      </w:r>
    </w:p>
    <w:p>
      <w:pPr>
        <w:pStyle w:val="Heading1"/>
        <w:spacing w:after="160" w:before="320"/>
      </w:pPr>
      <w:r>
        <w:rPr>
          <w:rFonts w:ascii="Calibri" w:cs="Calibri" w:eastAsia="Calibri" w:hAnsi="Calibri"/>
          <w:b/>
          <w:bCs/>
          <w:color w:val="1F4E79"/>
          <w:sz w:val="28"/>
          <w:szCs w:val="28"/>
        </w:rPr>
        <w:t xml:space="preserve">22. Anticipated Limitations</w:t>
      </w:r>
    </w:p>
    <w:p>
      <w:pPr>
        <w:pStyle w:val="ListParagraph"/>
        <w:numPr>
          <w:ilvl w:val="0"/>
          <w:numId w:val="2"/>
        </w:numPr>
        <w:spacing w:after="60"/>
      </w:pPr>
      <w:r>
        <w:rPr>
          <w:rFonts w:ascii="Calibri" w:cs="Calibri" w:eastAsia="Calibri" w:hAnsi="Calibri"/>
          <w:sz w:val="21"/>
          <w:szCs w:val="21"/>
        </w:rPr>
        <w:t xml:space="preserve">A compressed 60–80-respondent, two-city sample is smaller than the originally envisioned 100–150 across three-plus cities, limiting generalizability.</w:t>
      </w:r>
    </w:p>
    <w:p>
      <w:pPr>
        <w:pStyle w:val="ListParagraph"/>
        <w:numPr>
          <w:ilvl w:val="0"/>
          <w:numId w:val="2"/>
        </w:numPr>
        <w:spacing w:after="60"/>
      </w:pPr>
      <w:r>
        <w:rPr>
          <w:rFonts w:ascii="Calibri" w:cs="Calibri" w:eastAsia="Calibri" w:hAnsi="Calibri"/>
          <w:sz w:val="21"/>
          <w:szCs w:val="21"/>
        </w:rPr>
        <w:t xml:space="preserve">Self-reported survey data on battery age, price, and usage may be imprecise; operators may not know exact chemistry or specifications.</w:t>
      </w:r>
    </w:p>
    <w:p>
      <w:pPr>
        <w:pStyle w:val="ListParagraph"/>
        <w:numPr>
          <w:ilvl w:val="0"/>
          <w:numId w:val="2"/>
        </w:numPr>
        <w:spacing w:after="60"/>
      </w:pPr>
      <w:r>
        <w:rPr>
          <w:rFonts w:ascii="Calibri" w:cs="Calibri" w:eastAsia="Calibri" w:hAnsi="Calibri"/>
          <w:sz w:val="21"/>
          <w:szCs w:val="21"/>
        </w:rPr>
        <w:t xml:space="preserve">Bangladesh-specific degradation measurements for NMC/LFP under easy-bike duty cycles are not expected to exist; the study will rely on adapted literature coefficients rather than original cell testing.</w:t>
      </w:r>
    </w:p>
    <w:p>
      <w:pPr>
        <w:pStyle w:val="ListParagraph"/>
        <w:numPr>
          <w:ilvl w:val="0"/>
          <w:numId w:val="2"/>
        </w:numPr>
        <w:spacing w:after="60"/>
      </w:pPr>
      <w:r>
        <w:rPr>
          <w:rFonts w:ascii="Calibri" w:cs="Calibri" w:eastAsia="Calibri" w:hAnsi="Calibri"/>
          <w:sz w:val="21"/>
          <w:szCs w:val="21"/>
        </w:rPr>
        <w:t xml:space="preserve">The environmental assessment is explicitly a simplified, lifecycle-oriented comparison, not a full ISO-compliant LCA.</w:t>
      </w:r>
    </w:p>
    <w:p>
      <w:pPr>
        <w:pStyle w:val="ListParagraph"/>
        <w:numPr>
          <w:ilvl w:val="0"/>
          <w:numId w:val="2"/>
        </w:numPr>
        <w:spacing w:after="60"/>
      </w:pPr>
      <w:r>
        <w:rPr>
          <w:rFonts w:ascii="Calibri" w:cs="Calibri" w:eastAsia="Calibri" w:hAnsi="Calibri"/>
          <w:sz w:val="21"/>
          <w:szCs w:val="21"/>
        </w:rPr>
        <w:t xml:space="preserve">Fleet-size, tariff-category, and grid-emission-factor data may be uncertain or contested (Section 13.3); results dependent on these will be presented with explicit uncertainty rather than false precision.</w:t>
      </w:r>
    </w:p>
    <w:p>
      <w:pPr>
        <w:pStyle w:val="ListParagraph"/>
        <w:numPr>
          <w:ilvl w:val="0"/>
          <w:numId w:val="2"/>
        </w:numPr>
        <w:spacing w:after="60"/>
      </w:pPr>
      <w:r>
        <w:rPr>
          <w:rFonts w:ascii="Calibri" w:cs="Calibri" w:eastAsia="Calibri" w:hAnsi="Calibri"/>
          <w:sz w:val="21"/>
          <w:szCs w:val="21"/>
        </w:rPr>
        <w:t xml:space="preserve">Battery chemistry identification for “conventional Li-ion” in the Bangladesh market (NMC vs. another chemistry) will be confirmed empirically during the survey rather than assumed at the outset.</w:t>
      </w:r>
    </w:p>
    <w:p>
      <w:pPr>
        <w:pStyle w:val="ListParagraph"/>
        <w:numPr>
          <w:ilvl w:val="0"/>
          <w:numId w:val="2"/>
        </w:numPr>
        <w:spacing w:after="60"/>
      </w:pPr>
      <w:r>
        <w:rPr>
          <w:rFonts w:ascii="Calibri" w:cs="Calibri" w:eastAsia="Calibri" w:hAnsi="Calibri"/>
          <w:sz w:val="21"/>
          <w:szCs w:val="21"/>
        </w:rPr>
        <w:t xml:space="preserve">The four-month timeline is aggressive; Monte Carlo, environmental, and policy modules are explicitly at risk of being scaled back (Section 17.1).</w:t>
      </w:r>
    </w:p>
    <w:p>
      <w:pPr>
        <w:pStyle w:val="Heading1"/>
        <w:spacing w:after="160" w:before="320"/>
      </w:pPr>
      <w:r>
        <w:rPr>
          <w:rFonts w:ascii="Calibri" w:cs="Calibri" w:eastAsia="Calibri" w:hAnsi="Calibri"/>
          <w:b/>
          <w:bCs/>
          <w:color w:val="1F4E79"/>
          <w:sz w:val="28"/>
          <w:szCs w:val="28"/>
        </w:rPr>
        <w:t xml:space="preserve">23. Professor-Level Critical Review</w:t>
      </w:r>
    </w:p>
    <w:p>
      <w:pPr>
        <w:spacing w:after="140" w:line="276"/>
        <w:jc w:val="both"/>
      </w:pPr>
      <w:r>
        <w:rPr>
          <w:rFonts w:ascii="Calibri" w:cs="Calibri" w:eastAsia="Calibri" w:hAnsi="Calibri"/>
          <w:b w:val="false"/>
          <w:bCs w:val="false"/>
          <w:i w:val="false"/>
          <w:iCs w:val="false"/>
          <w:sz w:val="21"/>
          <w:szCs w:val="21"/>
        </w:rPr>
        <w:t xml:space="preserve">Adopting the perspective of a strict reviewer, the following weaknesses in the current plan should be acknowledged directly rather than left for a supervisor to discover.</w:t>
      </w:r>
    </w:p>
    <w:p>
      <w:pPr>
        <w:pStyle w:val="Heading3"/>
        <w:spacing w:after="80" w:before="160"/>
      </w:pPr>
      <w:r>
        <w:rPr>
          <w:rFonts w:ascii="Calibri" w:cs="Calibri" w:eastAsia="Calibri" w:hAnsi="Calibri"/>
          <w:b/>
          <w:bCs/>
          <w:i/>
          <w:iCs/>
          <w:color w:val="2E5A87"/>
          <w:sz w:val="22"/>
          <w:szCs w:val="22"/>
        </w:rPr>
        <w:t xml:space="preserve">Is the topic too broad?</w:t>
      </w:r>
    </w:p>
    <w:p>
      <w:pPr>
        <w:spacing w:after="140" w:line="276"/>
        <w:jc w:val="both"/>
      </w:pPr>
      <w:r>
        <w:rPr>
          <w:rFonts w:ascii="Calibri" w:cs="Calibri" w:eastAsia="Calibri" w:hAnsi="Calibri"/>
          <w:b w:val="false"/>
          <w:bCs w:val="false"/>
          <w:i w:val="false"/>
          <w:iCs w:val="false"/>
          <w:sz w:val="21"/>
          <w:szCs w:val="21"/>
        </w:rPr>
        <w:t xml:space="preserve">Yes, as originally scoped (24-week version). The four-month version in this proposal has already been narrowed — smaller sample, recommended-tier items clearly separated from essential ones — specifically to address this. A supervisor may still reasonably ask that Monte Carlo and environmental analysis be dropped entirely up front rather than left as “if time permits,” to reduce risk further.</w:t>
      </w:r>
    </w:p>
    <w:p>
      <w:pPr>
        <w:pStyle w:val="Heading3"/>
        <w:spacing w:after="80" w:before="160"/>
      </w:pPr>
      <w:r>
        <w:rPr>
          <w:rFonts w:ascii="Calibri" w:cs="Calibri" w:eastAsia="Calibri" w:hAnsi="Calibri"/>
          <w:b/>
          <w:bCs/>
          <w:i/>
          <w:iCs/>
          <w:color w:val="2E5A87"/>
          <w:sz w:val="22"/>
          <w:szCs w:val="22"/>
        </w:rPr>
        <w:t xml:space="preserve">Is the sample size (60–80) defensible?</w:t>
      </w:r>
    </w:p>
    <w:p>
      <w:pPr>
        <w:spacing w:after="140" w:line="276"/>
        <w:jc w:val="both"/>
      </w:pPr>
      <w:r>
        <w:rPr>
          <w:rFonts w:ascii="Calibri" w:cs="Calibri" w:eastAsia="Calibri" w:hAnsi="Calibri"/>
          <w:b w:val="false"/>
          <w:bCs w:val="false"/>
          <w:i w:val="false"/>
          <w:iCs w:val="false"/>
          <w:sz w:val="21"/>
          <w:szCs w:val="21"/>
        </w:rPr>
        <w:t xml:space="preserve">It is adequate for descriptive statistics and basic group comparisons, but marginal for multi-predictor regression. This should be stated as a limitation, not overstated as a strength.</w:t>
      </w:r>
    </w:p>
    <w:p>
      <w:pPr>
        <w:pStyle w:val="Heading3"/>
        <w:spacing w:after="80" w:before="160"/>
      </w:pPr>
      <w:r>
        <w:rPr>
          <w:rFonts w:ascii="Calibri" w:cs="Calibri" w:eastAsia="Calibri" w:hAnsi="Calibri"/>
          <w:b/>
          <w:bCs/>
          <w:i/>
          <w:iCs/>
          <w:color w:val="2E5A87"/>
          <w:sz w:val="22"/>
          <w:szCs w:val="22"/>
        </w:rPr>
        <w:t xml:space="preserve">Is NMC the right “conventional lithium-ion” representative?</w:t>
      </w:r>
    </w:p>
    <w:p>
      <w:pPr>
        <w:spacing w:after="140" w:line="276"/>
        <w:jc w:val="both"/>
      </w:pPr>
      <w:r>
        <w:rPr>
          <w:rFonts w:ascii="Calibri" w:cs="Calibri" w:eastAsia="Calibri" w:hAnsi="Calibri"/>
          <w:b w:val="false"/>
          <w:bCs w:val="false"/>
          <w:i w:val="false"/>
          <w:iCs w:val="false"/>
          <w:sz w:val="21"/>
          <w:szCs w:val="21"/>
        </w:rPr>
        <w:t xml:space="preserve">Not yet confirmed. The literature search so far only establishes that NMC and LFP are the two chemistries most discussed in the general and e-rickshaw-adjacent literature [4], [10]–[13]; it does not confirm which chemistry actually dominates Bangladesh's easy-bike lithium market. This must be verified with market/survey evidence in Phase 2–3 before the final chemistry choice is locked in.</w:t>
      </w:r>
    </w:p>
    <w:p>
      <w:pPr>
        <w:pStyle w:val="Heading3"/>
        <w:spacing w:after="80" w:before="160"/>
      </w:pPr>
      <w:r>
        <w:rPr>
          <w:rFonts w:ascii="Calibri" w:cs="Calibri" w:eastAsia="Calibri" w:hAnsi="Calibri"/>
          <w:b/>
          <w:bCs/>
          <w:i/>
          <w:iCs/>
          <w:color w:val="2E5A87"/>
          <w:sz w:val="22"/>
          <w:szCs w:val="22"/>
        </w:rPr>
        <w:t xml:space="preserve">Is the degradation model too ambitious?</w:t>
      </w:r>
    </w:p>
    <w:p>
      <w:pPr>
        <w:spacing w:after="140" w:line="276"/>
        <w:jc w:val="both"/>
      </w:pPr>
      <w:r>
        <w:rPr>
          <w:rFonts w:ascii="Calibri" w:cs="Calibri" w:eastAsia="Calibri" w:hAnsi="Calibri"/>
          <w:b w:val="false"/>
          <w:bCs w:val="false"/>
          <w:i w:val="false"/>
          <w:iCs w:val="false"/>
          <w:sz w:val="21"/>
          <w:szCs w:val="21"/>
        </w:rPr>
        <w:t xml:space="preserve">The proposal already avoids the highest-risk option (fitting original Arrhenius parameters) in favor of literature-adapted scenario multipliers. This is a defensible, explicitly stated simplification.</w:t>
      </w:r>
    </w:p>
    <w:p>
      <w:pPr>
        <w:pStyle w:val="Heading3"/>
        <w:spacing w:after="80" w:before="160"/>
      </w:pPr>
      <w:r>
        <w:rPr>
          <w:rFonts w:ascii="Calibri" w:cs="Calibri" w:eastAsia="Calibri" w:hAnsi="Calibri"/>
          <w:b/>
          <w:bCs/>
          <w:i/>
          <w:iCs/>
          <w:color w:val="2E5A87"/>
          <w:sz w:val="22"/>
          <w:szCs w:val="22"/>
        </w:rPr>
        <w:t xml:space="preserve">Is Monte Carlo necessary?</w:t>
      </w:r>
    </w:p>
    <w:p>
      <w:pPr>
        <w:spacing w:after="140" w:line="276"/>
        <w:jc w:val="both"/>
      </w:pPr>
      <w:r>
        <w:rPr>
          <w:rFonts w:ascii="Calibri" w:cs="Calibri" w:eastAsia="Calibri" w:hAnsi="Calibri"/>
          <w:b w:val="false"/>
          <w:bCs w:val="false"/>
          <w:i w:val="false"/>
          <w:iCs w:val="false"/>
          <w:sz w:val="21"/>
          <w:szCs w:val="21"/>
        </w:rPr>
        <w:t xml:space="preserve">Not necessary for the core contribution; it strengthens the uncertainty story (as the Battke et al. [10] finding on parameter uncertainty exceeding technology differences suggests it should), but is correctly marked recommended, not essential.</w:t>
      </w:r>
    </w:p>
    <w:p>
      <w:pPr>
        <w:pStyle w:val="Heading3"/>
        <w:spacing w:after="80" w:before="160"/>
      </w:pPr>
      <w:r>
        <w:rPr>
          <w:rFonts w:ascii="Calibri" w:cs="Calibri" w:eastAsia="Calibri" w:hAnsi="Calibri"/>
          <w:b/>
          <w:bCs/>
          <w:i/>
          <w:iCs/>
          <w:color w:val="2E5A87"/>
          <w:sz w:val="22"/>
          <w:szCs w:val="22"/>
        </w:rPr>
        <w:t xml:space="preserve">Is this a full LCA?</w:t>
      </w:r>
    </w:p>
    <w:p>
      <w:pPr>
        <w:spacing w:after="140" w:line="276"/>
        <w:jc w:val="both"/>
      </w:pPr>
      <w:r>
        <w:rPr>
          <w:rFonts w:ascii="Calibri" w:cs="Calibri" w:eastAsia="Calibri" w:hAnsi="Calibri"/>
          <w:b w:val="false"/>
          <w:bCs w:val="false"/>
          <w:i w:val="false"/>
          <w:iCs w:val="false"/>
          <w:sz w:val="21"/>
          <w:szCs w:val="21"/>
        </w:rPr>
        <w:t xml:space="preserve">No, and the proposal is explicit about this distinction throughout — a strength, since claiming a full LCA without full inventory data is a common and easily-caught weakness in similar proposals.</w:t>
      </w:r>
    </w:p>
    <w:p>
      <w:pPr>
        <w:pStyle w:val="Heading3"/>
        <w:spacing w:after="80" w:before="160"/>
      </w:pPr>
      <w:r>
        <w:rPr>
          <w:rFonts w:ascii="Calibri" w:cs="Calibri" w:eastAsia="Calibri" w:hAnsi="Calibri"/>
          <w:b/>
          <w:bCs/>
          <w:i/>
          <w:iCs/>
          <w:color w:val="2E5A87"/>
          <w:sz w:val="22"/>
          <w:szCs w:val="22"/>
        </w:rPr>
        <w:t xml:space="preserve">What happens if lead-acid turns out to still be cheapest?</w:t>
      </w:r>
    </w:p>
    <w:p>
      <w:pPr>
        <w:spacing w:after="140" w:line="276"/>
        <w:jc w:val="both"/>
      </w:pPr>
      <w:r>
        <w:rPr>
          <w:rFonts w:ascii="Calibri" w:cs="Calibri" w:eastAsia="Calibri" w:hAnsi="Calibri"/>
          <w:b w:val="false"/>
          <w:bCs w:val="false"/>
          <w:i w:val="false"/>
          <w:iCs w:val="false"/>
          <w:sz w:val="21"/>
          <w:szCs w:val="21"/>
        </w:rPr>
        <w:t xml:space="preserve">That is a valid and publishable outcome. The proposal is written to accept any of H1–H8 being rejected; a finding that lead-acid remains rational under current Bangladesh conditions (the “lead-acid trap,” Section 16) would itself be a meaningful contribution, not a failed study.</w:t>
      </w:r>
    </w:p>
    <w:p>
      <w:pPr>
        <w:pStyle w:val="Heading3"/>
        <w:spacing w:after="80" w:before="160"/>
      </w:pPr>
      <w:r>
        <w:rPr>
          <w:rFonts w:ascii="Calibri" w:cs="Calibri" w:eastAsia="Calibri" w:hAnsi="Calibri"/>
          <w:b/>
          <w:bCs/>
          <w:i/>
          <w:iCs/>
          <w:color w:val="2E5A87"/>
          <w:sz w:val="22"/>
          <w:szCs w:val="22"/>
        </w:rPr>
        <w:t xml:space="preserve">Recommended final title</w:t>
      </w:r>
    </w:p>
    <w:p>
      <w:pPr>
        <w:spacing w:after="140" w:line="276"/>
        <w:jc w:val="both"/>
      </w:pPr>
      <w:r>
        <w:rPr>
          <w:rFonts w:ascii="Calibri" w:cs="Calibri" w:eastAsia="Calibri" w:hAnsi="Calibri"/>
          <w:b w:val="false"/>
          <w:bCs w:val="false"/>
          <w:i w:val="false"/>
          <w:iCs w:val="false"/>
          <w:sz w:val="21"/>
          <w:szCs w:val="21"/>
        </w:rPr>
        <w:t xml:space="preserve">Based on this review, the following title is recommended over the original working title, since it better signals the conditional (“under what conditions”) framing that is the actual contribution:</w:t>
      </w:r>
    </w:p>
    <w:p>
      <w:pPr>
        <w:spacing w:after="140" w:line="276"/>
        <w:jc w:val="center"/>
      </w:pPr>
      <w:r>
        <w:rPr>
          <w:rFonts w:ascii="Calibri" w:cs="Calibri" w:eastAsia="Calibri" w:hAnsi="Calibri"/>
          <w:b w:val="false"/>
          <w:bCs w:val="false"/>
          <w:i/>
          <w:iCs/>
          <w:sz w:val="21"/>
          <w:szCs w:val="21"/>
        </w:rPr>
        <w:t xml:space="preserve">“When Does Lithium Replace Lead-Acid? A Bangladesh-Specific Techno-Economic and Degradation-Based Comparison of Lead-Acid, NMC, and LFP Batteries for Electric Easy-Bikes.”</w:t>
      </w:r>
    </w:p>
    <w:p>
      <w:pPr>
        <w:pStyle w:val="Heading1"/>
        <w:spacing w:after="160" w:before="320"/>
      </w:pPr>
      <w:r>
        <w:rPr>
          <w:rFonts w:ascii="Calibri" w:cs="Calibri" w:eastAsia="Calibri" w:hAnsi="Calibri"/>
          <w:b/>
          <w:bCs/>
          <w:color w:val="1F4E79"/>
          <w:sz w:val="28"/>
          <w:szCs w:val="28"/>
        </w:rPr>
        <w:t xml:space="preserve">24. Likely Supervisor / Defense Questions and Prepared Answers</w:t>
      </w:r>
    </w:p>
    <w:p>
      <w:pPr>
        <w:pStyle w:val="Heading3"/>
        <w:spacing w:after="80" w:before="160"/>
      </w:pPr>
      <w:r>
        <w:rPr>
          <w:rFonts w:ascii="Calibri" w:cs="Calibri" w:eastAsia="Calibri" w:hAnsi="Calibri"/>
          <w:b/>
          <w:bCs/>
          <w:i/>
          <w:iCs/>
          <w:color w:val="2E5A87"/>
          <w:sz w:val="22"/>
          <w:szCs w:val="22"/>
        </w:rPr>
        <w:t xml:space="preserve">Why compare three batteries instead of just lead-acid vs. one lithium option?</w:t>
      </w:r>
    </w:p>
    <w:p>
      <w:pPr>
        <w:spacing w:after="140" w:line="276"/>
        <w:jc w:val="both"/>
      </w:pPr>
      <w:r>
        <w:rPr>
          <w:rFonts w:ascii="Calibri" w:cs="Calibri" w:eastAsia="Calibri" w:hAnsi="Calibri"/>
          <w:b w:val="false"/>
          <w:bCs w:val="false"/>
          <w:i w:val="false"/>
          <w:iCs w:val="false"/>
          <w:sz w:val="21"/>
          <w:szCs w:val="21"/>
        </w:rPr>
        <w:t xml:space="preserve">Because NMC and LFP are not interchangeable despite both being lithium-ion — they differ meaningfully in cycle life, temperature sensitivity, and cost [10]–[13] — collapsing them into one “Li-ion” category would itself be a methodological error the proposal is designed to avoid.</w:t>
      </w:r>
    </w:p>
    <w:p>
      <w:pPr>
        <w:pStyle w:val="Heading3"/>
        <w:spacing w:after="80" w:before="160"/>
      </w:pPr>
      <w:r>
        <w:rPr>
          <w:rFonts w:ascii="Calibri" w:cs="Calibri" w:eastAsia="Calibri" w:hAnsi="Calibri"/>
          <w:b/>
          <w:bCs/>
          <w:i/>
          <w:iCs/>
          <w:color w:val="2E5A87"/>
          <w:sz w:val="22"/>
          <w:szCs w:val="22"/>
        </w:rPr>
        <w:t xml:space="preserve">Why electric easy-bikes specifically?</w:t>
      </w:r>
    </w:p>
    <w:p>
      <w:pPr>
        <w:spacing w:after="140" w:line="276"/>
        <w:jc w:val="both"/>
      </w:pPr>
      <w:r>
        <w:rPr>
          <w:rFonts w:ascii="Calibri" w:cs="Calibri" w:eastAsia="Calibri" w:hAnsi="Calibri"/>
          <w:b w:val="false"/>
          <w:bCs w:val="false"/>
          <w:i w:val="false"/>
          <w:iCs w:val="false"/>
          <w:sz w:val="21"/>
          <w:szCs w:val="21"/>
        </w:rPr>
        <w:t xml:space="preserve">They represent one of Bangladesh's largest and fastest-growing informal transport modes [7], [19], are almost universally lead-acid powered today, and are comparatively under-studied relative to two-wheelers and passenger EVs in the international battery-economics literature.</w:t>
      </w:r>
    </w:p>
    <w:p>
      <w:pPr>
        <w:pStyle w:val="Heading3"/>
        <w:spacing w:after="80" w:before="160"/>
      </w:pPr>
      <w:r>
        <w:rPr>
          <w:rFonts w:ascii="Calibri" w:cs="Calibri" w:eastAsia="Calibri" w:hAnsi="Calibri"/>
          <w:b/>
          <w:bCs/>
          <w:i/>
          <w:iCs/>
          <w:color w:val="2E5A87"/>
          <w:sz w:val="22"/>
          <w:szCs w:val="22"/>
        </w:rPr>
        <w:t xml:space="preserve">How will you obtain degradation parameters without cell-testing equipment?</w:t>
      </w:r>
    </w:p>
    <w:p>
      <w:pPr>
        <w:spacing w:after="140" w:line="276"/>
        <w:jc w:val="both"/>
      </w:pPr>
      <w:r>
        <w:rPr>
          <w:rFonts w:ascii="Calibri" w:cs="Calibri" w:eastAsia="Calibri" w:hAnsi="Calibri"/>
          <w:b w:val="false"/>
          <w:bCs w:val="false"/>
          <w:i w:val="false"/>
          <w:iCs w:val="false"/>
          <w:sz w:val="21"/>
          <w:szCs w:val="21"/>
        </w:rPr>
        <w:t xml:space="preserve">By adapting literature-reported temperature- and DoD-dependent degradation behavior for each chemistry [4], [10]–[13] into scenario multipliers, validated against survey-reported observed lifetimes rather than independently fitted from scratch.</w:t>
      </w:r>
    </w:p>
    <w:p>
      <w:pPr>
        <w:pStyle w:val="Heading3"/>
        <w:spacing w:after="80" w:before="160"/>
      </w:pPr>
      <w:r>
        <w:rPr>
          <w:rFonts w:ascii="Calibri" w:cs="Calibri" w:eastAsia="Calibri" w:hAnsi="Calibri"/>
          <w:b/>
          <w:bCs/>
          <w:i/>
          <w:iCs/>
          <w:color w:val="2E5A87"/>
          <w:sz w:val="22"/>
          <w:szCs w:val="22"/>
        </w:rPr>
        <w:t xml:space="preserve">Why 60–80 operators, and why is that enough?</w:t>
      </w:r>
    </w:p>
    <w:p>
      <w:pPr>
        <w:spacing w:after="140" w:line="276"/>
        <w:jc w:val="both"/>
      </w:pPr>
      <w:r>
        <w:rPr>
          <w:rFonts w:ascii="Calibri" w:cs="Calibri" w:eastAsia="Calibri" w:hAnsi="Calibri"/>
          <w:b w:val="false"/>
          <w:bCs w:val="false"/>
          <w:i w:val="false"/>
          <w:iCs w:val="false"/>
          <w:sz w:val="21"/>
          <w:szCs w:val="21"/>
        </w:rPr>
        <w:t xml:space="preserve">It is a feasibility-driven reduction from the originally desired 100–150, sized to support descriptive statistics and two-group comparisons within a four-month timeline; it is explicitly flagged as a limitation for any regression-based adoption analysis.</w:t>
      </w:r>
    </w:p>
    <w:p>
      <w:pPr>
        <w:pStyle w:val="Heading3"/>
        <w:spacing w:after="80" w:before="160"/>
      </w:pPr>
      <w:r>
        <w:rPr>
          <w:rFonts w:ascii="Calibri" w:cs="Calibri" w:eastAsia="Calibri" w:hAnsi="Calibri"/>
          <w:b/>
          <w:bCs/>
          <w:i/>
          <w:iCs/>
          <w:color w:val="2E5A87"/>
          <w:sz w:val="22"/>
          <w:szCs w:val="22"/>
        </w:rPr>
        <w:t xml:space="preserve">Why MATLAB and not HOMER?</w:t>
      </w:r>
    </w:p>
    <w:p>
      <w:pPr>
        <w:spacing w:after="140" w:line="276"/>
        <w:jc w:val="both"/>
      </w:pPr>
      <w:r>
        <w:rPr>
          <w:rFonts w:ascii="Calibri" w:cs="Calibri" w:eastAsia="Calibri" w:hAnsi="Calibri"/>
          <w:b w:val="false"/>
          <w:bCs w:val="false"/>
          <w:i w:val="false"/>
          <w:iCs w:val="false"/>
          <w:sz w:val="21"/>
          <w:szCs w:val="21"/>
        </w:rPr>
        <w:t xml:space="preserve">The research question is a battery-technology comparison under grid charging, which does not require HOMER's renewable-system-sizing capabilities; MATLAB alone can implement every required calculation (Section 13.12).</w:t>
      </w:r>
    </w:p>
    <w:p>
      <w:pPr>
        <w:pStyle w:val="Heading3"/>
        <w:spacing w:after="80" w:before="160"/>
      </w:pPr>
      <w:r>
        <w:rPr>
          <w:rFonts w:ascii="Calibri" w:cs="Calibri" w:eastAsia="Calibri" w:hAnsi="Calibri"/>
          <w:b/>
          <w:bCs/>
          <w:i/>
          <w:iCs/>
          <w:color w:val="2E5A87"/>
          <w:sz w:val="22"/>
          <w:szCs w:val="22"/>
        </w:rPr>
        <w:t xml:space="preserve">Why include scrap value at all?</w:t>
      </w:r>
    </w:p>
    <w:p>
      <w:pPr>
        <w:spacing w:after="140" w:line="276"/>
        <w:jc w:val="both"/>
      </w:pPr>
      <w:r>
        <w:rPr>
          <w:rFonts w:ascii="Calibri" w:cs="Calibri" w:eastAsia="Calibri" w:hAnsi="Calibri"/>
          <w:b w:val="false"/>
          <w:bCs w:val="false"/>
          <w:i w:val="false"/>
          <w:iCs w:val="false"/>
          <w:sz w:val="21"/>
          <w:szCs w:val="21"/>
        </w:rPr>
        <w:t xml:space="preserve">Because lead-acid's functioning resale/scrap market is a documented, real part of its economic competitiveness in this context [4], [8], and omitting it would bias the comparison against lead-acid.</w:t>
      </w:r>
    </w:p>
    <w:p>
      <w:pPr>
        <w:pStyle w:val="Heading3"/>
        <w:spacing w:after="80" w:before="160"/>
      </w:pPr>
      <w:r>
        <w:rPr>
          <w:rFonts w:ascii="Calibri" w:cs="Calibri" w:eastAsia="Calibri" w:hAnsi="Calibri"/>
          <w:b/>
          <w:bCs/>
          <w:i/>
          <w:iCs/>
          <w:color w:val="2E5A87"/>
          <w:sz w:val="22"/>
          <w:szCs w:val="22"/>
        </w:rPr>
        <w:t xml:space="preserve">Is this really novel, or has someone already done this for India?</w:t>
      </w:r>
    </w:p>
    <w:p>
      <w:pPr>
        <w:spacing w:after="140" w:line="276"/>
        <w:jc w:val="both"/>
      </w:pPr>
      <w:r>
        <w:rPr>
          <w:rFonts w:ascii="Calibri" w:cs="Calibri" w:eastAsia="Calibri" w:hAnsi="Calibri"/>
          <w:b w:val="false"/>
          <w:bCs w:val="false"/>
          <w:i w:val="false"/>
          <w:iCs w:val="false"/>
          <w:sz w:val="21"/>
          <w:szCs w:val="21"/>
        </w:rPr>
        <w:t xml:space="preserve">Closely related work exists for Indian e-rickshaws [2], [4] and Indian two-wheelers [3], but not, as far as the search conducted so far can establish, for Bangladesh easy-bikes across all three chemistries with an integrated degradation-TCO-environmental-policy framework. This claim will be re-verified, not assumed, once the full literature review (Phase 1) is complete.</w:t>
      </w:r>
    </w:p>
    <w:p>
      <w:pPr>
        <w:pStyle w:val="Heading1"/>
        <w:spacing w:after="160" w:before="320"/>
      </w:pPr>
      <w:r>
        <w:rPr>
          <w:rFonts w:ascii="Calibri" w:cs="Calibri" w:eastAsia="Calibri" w:hAnsi="Calibri"/>
          <w:b/>
          <w:bCs/>
          <w:color w:val="1F4E79"/>
          <w:sz w:val="28"/>
          <w:szCs w:val="28"/>
        </w:rPr>
        <w:t xml:space="preserve">25. Proposed Final Report / Thesis Structure</w:t>
      </w:r>
    </w:p>
    <w:p>
      <w:pPr>
        <w:pStyle w:val="ListParagraph"/>
        <w:numPr>
          <w:ilvl w:val="0"/>
          <w:numId w:val="2"/>
        </w:numPr>
        <w:spacing w:after="60"/>
      </w:pPr>
      <w:r>
        <w:rPr>
          <w:rFonts w:ascii="Calibri" w:cs="Calibri" w:eastAsia="Calibri" w:hAnsi="Calibri"/>
          <w:sz w:val="21"/>
          <w:szCs w:val="21"/>
        </w:rPr>
        <w:t xml:space="preserve">Chapter 1 — Introduction</w:t>
      </w:r>
    </w:p>
    <w:p>
      <w:pPr>
        <w:pStyle w:val="ListParagraph"/>
        <w:numPr>
          <w:ilvl w:val="0"/>
          <w:numId w:val="2"/>
        </w:numPr>
        <w:spacing w:after="60"/>
      </w:pPr>
      <w:r>
        <w:rPr>
          <w:rFonts w:ascii="Calibri" w:cs="Calibri" w:eastAsia="Calibri" w:hAnsi="Calibri"/>
          <w:sz w:val="21"/>
          <w:szCs w:val="21"/>
        </w:rPr>
        <w:t xml:space="preserve">Chapter 2 — Literature Review</w:t>
      </w:r>
    </w:p>
    <w:p>
      <w:pPr>
        <w:pStyle w:val="ListParagraph"/>
        <w:numPr>
          <w:ilvl w:val="0"/>
          <w:numId w:val="2"/>
        </w:numPr>
        <w:spacing w:after="60"/>
      </w:pPr>
      <w:r>
        <w:rPr>
          <w:rFonts w:ascii="Calibri" w:cs="Calibri" w:eastAsia="Calibri" w:hAnsi="Calibri"/>
          <w:sz w:val="21"/>
          <w:szCs w:val="21"/>
        </w:rPr>
        <w:t xml:space="preserve">Chapter 3 — Bangladesh Electric Easy-Bike and Battery Context</w:t>
      </w:r>
    </w:p>
    <w:p>
      <w:pPr>
        <w:pStyle w:val="ListParagraph"/>
        <w:numPr>
          <w:ilvl w:val="0"/>
          <w:numId w:val="2"/>
        </w:numPr>
        <w:spacing w:after="60"/>
      </w:pPr>
      <w:r>
        <w:rPr>
          <w:rFonts w:ascii="Calibri" w:cs="Calibri" w:eastAsia="Calibri" w:hAnsi="Calibri"/>
          <w:sz w:val="21"/>
          <w:szCs w:val="21"/>
        </w:rPr>
        <w:t xml:space="preserve">Chapter 4 — Data Collection and Methodology</w:t>
      </w:r>
    </w:p>
    <w:p>
      <w:pPr>
        <w:pStyle w:val="ListParagraph"/>
        <w:numPr>
          <w:ilvl w:val="0"/>
          <w:numId w:val="2"/>
        </w:numPr>
        <w:spacing w:after="60"/>
      </w:pPr>
      <w:r>
        <w:rPr>
          <w:rFonts w:ascii="Calibri" w:cs="Calibri" w:eastAsia="Calibri" w:hAnsi="Calibri"/>
          <w:sz w:val="21"/>
          <w:szCs w:val="21"/>
        </w:rPr>
        <w:t xml:space="preserve">Chapter 5 — Battery Energy and Degradation Modeling</w:t>
      </w:r>
    </w:p>
    <w:p>
      <w:pPr>
        <w:pStyle w:val="ListParagraph"/>
        <w:numPr>
          <w:ilvl w:val="0"/>
          <w:numId w:val="2"/>
        </w:numPr>
        <w:spacing w:after="60"/>
      </w:pPr>
      <w:r>
        <w:rPr>
          <w:rFonts w:ascii="Calibri" w:cs="Calibri" w:eastAsia="Calibri" w:hAnsi="Calibri"/>
          <w:sz w:val="21"/>
          <w:szCs w:val="21"/>
        </w:rPr>
        <w:t xml:space="preserve">Chapter 6 — Techno-Economic Analysis (TCO, Break-Even, Sensitivity)</w:t>
      </w:r>
    </w:p>
    <w:p>
      <w:pPr>
        <w:pStyle w:val="ListParagraph"/>
        <w:numPr>
          <w:ilvl w:val="0"/>
          <w:numId w:val="2"/>
        </w:numPr>
        <w:spacing w:after="60"/>
      </w:pPr>
      <w:r>
        <w:rPr>
          <w:rFonts w:ascii="Calibri" w:cs="Calibri" w:eastAsia="Calibri" w:hAnsi="Calibri"/>
          <w:sz w:val="21"/>
          <w:szCs w:val="21"/>
        </w:rPr>
        <w:t xml:space="preserve">Chapter 7 — Environmental and Policy Analysis</w:t>
      </w:r>
    </w:p>
    <w:p>
      <w:pPr>
        <w:pStyle w:val="ListParagraph"/>
        <w:numPr>
          <w:ilvl w:val="0"/>
          <w:numId w:val="2"/>
        </w:numPr>
        <w:spacing w:after="60"/>
      </w:pPr>
      <w:r>
        <w:rPr>
          <w:rFonts w:ascii="Calibri" w:cs="Calibri" w:eastAsia="Calibri" w:hAnsi="Calibri"/>
          <w:sz w:val="21"/>
          <w:szCs w:val="21"/>
        </w:rPr>
        <w:t xml:space="preserve">Chapter 8 — Results and Discussion</w:t>
      </w:r>
    </w:p>
    <w:p>
      <w:pPr>
        <w:pStyle w:val="ListParagraph"/>
        <w:numPr>
          <w:ilvl w:val="0"/>
          <w:numId w:val="2"/>
        </w:numPr>
        <w:spacing w:after="60"/>
      </w:pPr>
      <w:r>
        <w:rPr>
          <w:rFonts w:ascii="Calibri" w:cs="Calibri" w:eastAsia="Calibri" w:hAnsi="Calibri"/>
          <w:sz w:val="21"/>
          <w:szCs w:val="21"/>
        </w:rPr>
        <w:t xml:space="preserve">Chapter 9 — Conclusion and Recommendations</w:t>
      </w:r>
    </w:p>
    <w:p>
      <w:pPr>
        <w:spacing w:after="140" w:line="276"/>
        <w:jc w:val="both"/>
      </w:pPr>
      <w:r>
        <w:rPr>
          <w:rFonts w:ascii="Calibri" w:cs="Calibri" w:eastAsia="Calibri" w:hAnsi="Calibri"/>
          <w:b w:val="false"/>
          <w:bCs w:val="false"/>
          <w:i/>
          <w:iCs/>
          <w:sz w:val="21"/>
          <w:szCs w:val="21"/>
        </w:rPr>
        <w:t xml:space="preserve">To be adjusted if the university specifies a mandatory thesis/report template.</w:t>
      </w:r>
    </w:p>
    <w:p>
      <w:pPr>
        <w:pStyle w:val="Heading1"/>
        <w:spacing w:after="160" w:before="320"/>
      </w:pPr>
      <w:r>
        <w:rPr>
          <w:rFonts w:ascii="Calibri" w:cs="Calibri" w:eastAsia="Calibri" w:hAnsi="Calibri"/>
          <w:b/>
          <w:bCs/>
          <w:color w:val="1F4E79"/>
          <w:sz w:val="28"/>
          <w:szCs w:val="28"/>
        </w:rPr>
        <w:t xml:space="preserve">26. Target Journals (Q1/Q2, to Be Re-Verified Before Submission)</w:t>
      </w:r>
    </w:p>
    <w:p>
      <w:pPr>
        <w:spacing w:after="140" w:line="276"/>
        <w:jc w:val="both"/>
      </w:pPr>
      <w:r>
        <w:rPr>
          <w:rFonts w:ascii="Calibri" w:cs="Calibri" w:eastAsia="Calibri" w:hAnsi="Calibri"/>
          <w:b w:val="false"/>
          <w:bCs w:val="false"/>
          <w:i w:val="false"/>
          <w:iCs w:val="false"/>
          <w:sz w:val="21"/>
          <w:szCs w:val="21"/>
        </w:rPr>
        <w:t xml:space="preserve">These are preliminary, scope-matched candidates only; current quartile and indexing must be re-verified via Scimago/JCR at the time of actual submission, since rankings change annually and this list reflects information available in September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50"/>
      </w:tblGrid>
      <w:tr>
        <w:trPr>
          <w:tblHeader/>
        </w:trPr>
        <w:tc>
          <w:tcPr>
            <w:tcW w:type="dxa" w:w="2600"/>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Journal</w:t>
            </w:r>
          </w:p>
        </w:tc>
        <w:tc>
          <w:tcPr>
            <w:tcW w:type="dxa" w:w="2000"/>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Publisher / Indexing</w:t>
            </w:r>
          </w:p>
        </w:tc>
        <w:tc>
          <w:tcPr>
            <w:tcW w:type="dxa" w:w="2400"/>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Current quartile (verify at submission)</w:t>
            </w:r>
          </w:p>
        </w:tc>
        <w:tc>
          <w:tcPr>
            <w:tcW w:type="dxa" w:w="2350"/>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Scope fit</w:t>
            </w:r>
          </w:p>
        </w:tc>
      </w:tr>
      <w:tr>
        <w:tc>
          <w:tcPr>
            <w:tcW w:type="dxa" w:w="2600"/>
            <w:tcMar>
              <w:top w:type="dxa" w:w="60"/>
              <w:left w:type="dxa" w:w="100"/>
              <w:bottom w:type="dxa" w:w="60"/>
              <w:right w:type="dxa" w:w="100"/>
            </w:tcMar>
          </w:tcPr>
          <w:p>
            <w:r>
              <w:rPr>
                <w:rFonts w:ascii="Calibri" w:cs="Calibri" w:eastAsia="Calibri" w:hAnsi="Calibri"/>
                <w:sz w:val="18"/>
                <w:szCs w:val="18"/>
              </w:rPr>
              <w:t xml:space="preserve">Journal of Energy Storage</w:t>
            </w:r>
          </w:p>
        </w:tc>
        <w:tc>
          <w:tcPr>
            <w:tcW w:type="dxa" w:w="2000"/>
            <w:tcMar>
              <w:top w:type="dxa" w:w="60"/>
              <w:left w:type="dxa" w:w="100"/>
              <w:bottom w:type="dxa" w:w="60"/>
              <w:right w:type="dxa" w:w="100"/>
            </w:tcMar>
          </w:tcPr>
          <w:p>
            <w:r>
              <w:rPr>
                <w:rFonts w:ascii="Calibri" w:cs="Calibri" w:eastAsia="Calibri" w:hAnsi="Calibri"/>
                <w:sz w:val="18"/>
                <w:szCs w:val="18"/>
              </w:rPr>
              <w:t xml:space="preserve">Elsevier / SJR, WoS</w:t>
            </w:r>
          </w:p>
        </w:tc>
        <w:tc>
          <w:tcPr>
            <w:tcW w:type="dxa" w:w="2400"/>
            <w:tcMar>
              <w:top w:type="dxa" w:w="60"/>
              <w:left w:type="dxa" w:w="100"/>
              <w:bottom w:type="dxa" w:w="60"/>
              <w:right w:type="dxa" w:w="100"/>
            </w:tcMar>
          </w:tcPr>
          <w:p>
            <w:r>
              <w:rPr>
                <w:rFonts w:ascii="Calibri" w:cs="Calibri" w:eastAsia="Calibri" w:hAnsi="Calibri"/>
                <w:sz w:val="18"/>
                <w:szCs w:val="18"/>
              </w:rPr>
              <w:t xml:space="preserve">Q1 (2024–2025 SJR/JCR)</w:t>
            </w:r>
          </w:p>
        </w:tc>
        <w:tc>
          <w:tcPr>
            <w:tcW w:type="dxa" w:w="2350"/>
            <w:tcMar>
              <w:top w:type="dxa" w:w="60"/>
              <w:left w:type="dxa" w:w="100"/>
              <w:bottom w:type="dxa" w:w="60"/>
              <w:right w:type="dxa" w:w="100"/>
            </w:tcMar>
          </w:tcPr>
          <w:p>
            <w:r>
              <w:rPr>
                <w:rFonts w:ascii="Calibri" w:cs="Calibri" w:eastAsia="Calibri" w:hAnsi="Calibri"/>
                <w:sz w:val="18"/>
                <w:szCs w:val="18"/>
              </w:rPr>
              <w:t xml:space="preserve">Battery technology, degradation, techno-economics</w:t>
            </w:r>
          </w:p>
        </w:tc>
      </w:tr>
      <w:tr>
        <w:tc>
          <w:tcPr>
            <w:tcW w:type="dxa" w:w="2600"/>
            <w:shd w:fill="EEF3FA" w:val="clear"/>
            <w:tcMar>
              <w:top w:type="dxa" w:w="60"/>
              <w:left w:type="dxa" w:w="100"/>
              <w:bottom w:type="dxa" w:w="60"/>
              <w:right w:type="dxa" w:w="100"/>
            </w:tcMar>
          </w:tcPr>
          <w:p>
            <w:r>
              <w:rPr>
                <w:rFonts w:ascii="Calibri" w:cs="Calibri" w:eastAsia="Calibri" w:hAnsi="Calibri"/>
                <w:sz w:val="18"/>
                <w:szCs w:val="18"/>
              </w:rPr>
              <w:t xml:space="preserve">Sustainable Energy Technologies and Assessments</w:t>
            </w:r>
          </w:p>
        </w:tc>
        <w:tc>
          <w:tcPr>
            <w:tcW w:type="dxa" w:w="2000"/>
            <w:shd w:fill="EEF3FA" w:val="clear"/>
            <w:tcMar>
              <w:top w:type="dxa" w:w="60"/>
              <w:left w:type="dxa" w:w="100"/>
              <w:bottom w:type="dxa" w:w="60"/>
              <w:right w:type="dxa" w:w="100"/>
            </w:tcMar>
          </w:tcPr>
          <w:p>
            <w:r>
              <w:rPr>
                <w:rFonts w:ascii="Calibri" w:cs="Calibri" w:eastAsia="Calibri" w:hAnsi="Calibri"/>
                <w:sz w:val="18"/>
                <w:szCs w:val="18"/>
              </w:rPr>
              <w:t xml:space="preserve">Elsevier / SJR, WoS</w:t>
            </w:r>
          </w:p>
        </w:tc>
        <w:tc>
          <w:tcPr>
            <w:tcW w:type="dxa" w:w="2400"/>
            <w:shd w:fill="EEF3FA" w:val="clear"/>
            <w:tcMar>
              <w:top w:type="dxa" w:w="60"/>
              <w:left w:type="dxa" w:w="100"/>
              <w:bottom w:type="dxa" w:w="60"/>
              <w:right w:type="dxa" w:w="100"/>
            </w:tcMar>
          </w:tcPr>
          <w:p>
            <w:r>
              <w:rPr>
                <w:rFonts w:ascii="Calibri" w:cs="Calibri" w:eastAsia="Calibri" w:hAnsi="Calibri"/>
                <w:sz w:val="18"/>
                <w:szCs w:val="18"/>
              </w:rPr>
              <w:t xml:space="preserve">Q2 (2025 JCR)</w:t>
            </w:r>
          </w:p>
        </w:tc>
        <w:tc>
          <w:tcPr>
            <w:tcW w:type="dxa" w:w="2350"/>
            <w:shd w:fill="EEF3FA" w:val="clear"/>
            <w:tcMar>
              <w:top w:type="dxa" w:w="60"/>
              <w:left w:type="dxa" w:w="100"/>
              <w:bottom w:type="dxa" w:w="60"/>
              <w:right w:type="dxa" w:w="100"/>
            </w:tcMar>
          </w:tcPr>
          <w:p>
            <w:r>
              <w:rPr>
                <w:rFonts w:ascii="Calibri" w:cs="Calibri" w:eastAsia="Calibri" w:hAnsi="Calibri"/>
                <w:sz w:val="18"/>
                <w:szCs w:val="18"/>
              </w:rPr>
              <w:t xml:space="preserve">Energy technology assessment, economics, policy</w:t>
            </w:r>
          </w:p>
        </w:tc>
      </w:tr>
      <w:tr>
        <w:tc>
          <w:tcPr>
            <w:tcW w:type="dxa" w:w="2600"/>
            <w:tcMar>
              <w:top w:type="dxa" w:w="60"/>
              <w:left w:type="dxa" w:w="100"/>
              <w:bottom w:type="dxa" w:w="60"/>
              <w:right w:type="dxa" w:w="100"/>
            </w:tcMar>
          </w:tcPr>
          <w:p>
            <w:r>
              <w:rPr>
                <w:rFonts w:ascii="Calibri" w:cs="Calibri" w:eastAsia="Calibri" w:hAnsi="Calibri"/>
                <w:sz w:val="18"/>
                <w:szCs w:val="18"/>
              </w:rPr>
              <w:t xml:space="preserve">World Electric Vehicle Journal</w:t>
            </w:r>
          </w:p>
        </w:tc>
        <w:tc>
          <w:tcPr>
            <w:tcW w:type="dxa" w:w="2000"/>
            <w:tcMar>
              <w:top w:type="dxa" w:w="60"/>
              <w:left w:type="dxa" w:w="100"/>
              <w:bottom w:type="dxa" w:w="60"/>
              <w:right w:type="dxa" w:w="100"/>
            </w:tcMar>
          </w:tcPr>
          <w:p>
            <w:r>
              <w:rPr>
                <w:rFonts w:ascii="Calibri" w:cs="Calibri" w:eastAsia="Calibri" w:hAnsi="Calibri"/>
                <w:sz w:val="18"/>
                <w:szCs w:val="18"/>
              </w:rPr>
              <w:t xml:space="preserve">MDPI / Scopus</w:t>
            </w:r>
          </w:p>
        </w:tc>
        <w:tc>
          <w:tcPr>
            <w:tcW w:type="dxa" w:w="2400"/>
            <w:tcMar>
              <w:top w:type="dxa" w:w="60"/>
              <w:left w:type="dxa" w:w="100"/>
              <w:bottom w:type="dxa" w:w="60"/>
              <w:right w:type="dxa" w:w="100"/>
            </w:tcMar>
          </w:tcPr>
          <w:p>
            <w:r>
              <w:rPr>
                <w:rFonts w:ascii="Calibri" w:cs="Calibri" w:eastAsia="Calibri" w:hAnsi="Calibri"/>
                <w:sz w:val="18"/>
                <w:szCs w:val="18"/>
              </w:rPr>
              <w:t xml:space="preserve">Verify — [DATA REQUIRED]</w:t>
            </w:r>
          </w:p>
        </w:tc>
        <w:tc>
          <w:tcPr>
            <w:tcW w:type="dxa" w:w="2350"/>
            <w:tcMar>
              <w:top w:type="dxa" w:w="60"/>
              <w:left w:type="dxa" w:w="100"/>
              <w:bottom w:type="dxa" w:w="60"/>
              <w:right w:type="dxa" w:w="100"/>
            </w:tcMar>
          </w:tcPr>
          <w:p>
            <w:r>
              <w:rPr>
                <w:rFonts w:ascii="Calibri" w:cs="Calibri" w:eastAsia="Calibri" w:hAnsi="Calibri"/>
                <w:sz w:val="18"/>
                <w:szCs w:val="18"/>
              </w:rPr>
              <w:t xml:space="preserve">EV batteries, e-mobility, developing-country transport</w:t>
            </w:r>
          </w:p>
        </w:tc>
      </w:tr>
      <w:tr>
        <w:tc>
          <w:tcPr>
            <w:tcW w:type="dxa" w:w="2600"/>
            <w:shd w:fill="EEF3FA" w:val="clear"/>
            <w:tcMar>
              <w:top w:type="dxa" w:w="60"/>
              <w:left w:type="dxa" w:w="100"/>
              <w:bottom w:type="dxa" w:w="60"/>
              <w:right w:type="dxa" w:w="100"/>
            </w:tcMar>
          </w:tcPr>
          <w:p>
            <w:r>
              <w:rPr>
                <w:rFonts w:ascii="Calibri" w:cs="Calibri" w:eastAsia="Calibri" w:hAnsi="Calibri"/>
                <w:sz w:val="18"/>
                <w:szCs w:val="18"/>
              </w:rPr>
              <w:t xml:space="preserve">Energy for Sustainable Development</w:t>
            </w:r>
          </w:p>
        </w:tc>
        <w:tc>
          <w:tcPr>
            <w:tcW w:type="dxa" w:w="2000"/>
            <w:shd w:fill="EEF3FA" w:val="clear"/>
            <w:tcMar>
              <w:top w:type="dxa" w:w="60"/>
              <w:left w:type="dxa" w:w="100"/>
              <w:bottom w:type="dxa" w:w="60"/>
              <w:right w:type="dxa" w:w="100"/>
            </w:tcMar>
          </w:tcPr>
          <w:p>
            <w:r>
              <w:rPr>
                <w:rFonts w:ascii="Calibri" w:cs="Calibri" w:eastAsia="Calibri" w:hAnsi="Calibri"/>
                <w:sz w:val="18"/>
                <w:szCs w:val="18"/>
              </w:rPr>
              <w:t xml:space="preserve">Elsevier / SJR</w:t>
            </w:r>
          </w:p>
        </w:tc>
        <w:tc>
          <w:tcPr>
            <w:tcW w:type="dxa" w:w="2400"/>
            <w:shd w:fill="EEF3FA" w:val="clear"/>
            <w:tcMar>
              <w:top w:type="dxa" w:w="60"/>
              <w:left w:type="dxa" w:w="100"/>
              <w:bottom w:type="dxa" w:w="60"/>
              <w:right w:type="dxa" w:w="100"/>
            </w:tcMar>
          </w:tcPr>
          <w:p>
            <w:r>
              <w:rPr>
                <w:rFonts w:ascii="Calibri" w:cs="Calibri" w:eastAsia="Calibri" w:hAnsi="Calibri"/>
                <w:sz w:val="18"/>
                <w:szCs w:val="18"/>
              </w:rPr>
              <w:t xml:space="preserve">Verify — [DATA REQUIRED]</w:t>
            </w:r>
          </w:p>
        </w:tc>
        <w:tc>
          <w:tcPr>
            <w:tcW w:type="dxa" w:w="2350"/>
            <w:shd w:fill="EEF3FA" w:val="clear"/>
            <w:tcMar>
              <w:top w:type="dxa" w:w="60"/>
              <w:left w:type="dxa" w:w="100"/>
              <w:bottom w:type="dxa" w:w="60"/>
              <w:right w:type="dxa" w:w="100"/>
            </w:tcMar>
          </w:tcPr>
          <w:p>
            <w:r>
              <w:rPr>
                <w:rFonts w:ascii="Calibri" w:cs="Calibri" w:eastAsia="Calibri" w:hAnsi="Calibri"/>
                <w:sz w:val="18"/>
                <w:szCs w:val="18"/>
              </w:rPr>
              <w:t xml:space="preserve">Developing-country energy access and transport</w:t>
            </w:r>
          </w:p>
        </w:tc>
      </w:tr>
      <w:tr>
        <w:tc>
          <w:tcPr>
            <w:tcW w:type="dxa" w:w="2600"/>
            <w:tcMar>
              <w:top w:type="dxa" w:w="60"/>
              <w:left w:type="dxa" w:w="100"/>
              <w:bottom w:type="dxa" w:w="60"/>
              <w:right w:type="dxa" w:w="100"/>
            </w:tcMar>
          </w:tcPr>
          <w:p>
            <w:r>
              <w:rPr>
                <w:rFonts w:ascii="Calibri" w:cs="Calibri" w:eastAsia="Calibri" w:hAnsi="Calibri"/>
                <w:sz w:val="18"/>
                <w:szCs w:val="18"/>
              </w:rPr>
              <w:t xml:space="preserve">Case Studies on Transport Policy</w:t>
            </w:r>
          </w:p>
        </w:tc>
        <w:tc>
          <w:tcPr>
            <w:tcW w:type="dxa" w:w="2000"/>
            <w:tcMar>
              <w:top w:type="dxa" w:w="60"/>
              <w:left w:type="dxa" w:w="100"/>
              <w:bottom w:type="dxa" w:w="60"/>
              <w:right w:type="dxa" w:w="100"/>
            </w:tcMar>
          </w:tcPr>
          <w:p>
            <w:r>
              <w:rPr>
                <w:rFonts w:ascii="Calibri" w:cs="Calibri" w:eastAsia="Calibri" w:hAnsi="Calibri"/>
                <w:sz w:val="18"/>
                <w:szCs w:val="18"/>
              </w:rPr>
              <w:t xml:space="preserve">Elsevier / SJR, WoS</w:t>
            </w:r>
          </w:p>
        </w:tc>
        <w:tc>
          <w:tcPr>
            <w:tcW w:type="dxa" w:w="2400"/>
            <w:tcMar>
              <w:top w:type="dxa" w:w="60"/>
              <w:left w:type="dxa" w:w="100"/>
              <w:bottom w:type="dxa" w:w="60"/>
              <w:right w:type="dxa" w:w="100"/>
            </w:tcMar>
          </w:tcPr>
          <w:p>
            <w:r>
              <w:rPr>
                <w:rFonts w:ascii="Calibri" w:cs="Calibri" w:eastAsia="Calibri" w:hAnsi="Calibri"/>
                <w:sz w:val="18"/>
                <w:szCs w:val="18"/>
              </w:rPr>
              <w:t xml:space="preserve">Verify — [DATA REQUIRED]</w:t>
            </w:r>
          </w:p>
        </w:tc>
        <w:tc>
          <w:tcPr>
            <w:tcW w:type="dxa" w:w="2350"/>
            <w:tcMar>
              <w:top w:type="dxa" w:w="60"/>
              <w:left w:type="dxa" w:w="100"/>
              <w:bottom w:type="dxa" w:w="60"/>
              <w:right w:type="dxa" w:w="100"/>
            </w:tcMar>
          </w:tcPr>
          <w:p>
            <w:r>
              <w:rPr>
                <w:rFonts w:ascii="Calibri" w:cs="Calibri" w:eastAsia="Calibri" w:hAnsi="Calibri"/>
                <w:sz w:val="18"/>
                <w:szCs w:val="18"/>
              </w:rPr>
              <w:t xml:space="preserve">Informal/paratransit transport policy, e-mobility</w:t>
            </w:r>
          </w:p>
        </w:tc>
      </w:tr>
    </w:tbl>
    <w:p>
      <w:pPr>
        <w:spacing w:after="140" w:line="276"/>
        <w:jc w:val="both"/>
      </w:pPr>
      <w:r>
        <w:rPr>
          <w:rFonts w:ascii="Calibri" w:cs="Calibri" w:eastAsia="Calibri" w:hAnsi="Calibri"/>
          <w:b w:val="false"/>
          <w:bCs w:val="false"/>
          <w:i w:val="false"/>
          <w:iCs w:val="false"/>
          <w:sz w:val="21"/>
          <w:szCs w:val="21"/>
        </w:rPr>
        <w:t xml:space="preserve">No journal will be finalized until the actual novelty, methodological depth, and results of the completed research are known (Section 15); this table is a starting shortlist, not a commitment.</w:t>
      </w:r>
    </w:p>
    <w:p>
      <w:r>
        <w:br w:type="page"/>
      </w:r>
    </w:p>
    <w:p>
      <w:pPr>
        <w:pStyle w:val="Heading1"/>
        <w:spacing w:after="160" w:before="320"/>
      </w:pPr>
      <w:r>
        <w:rPr>
          <w:rFonts w:ascii="Calibri" w:cs="Calibri" w:eastAsia="Calibri" w:hAnsi="Calibri"/>
          <w:b/>
          <w:bCs/>
          <w:color w:val="1F4E79"/>
          <w:sz w:val="28"/>
          <w:szCs w:val="28"/>
        </w:rPr>
        <w:t xml:space="preserve">27. References</w:t>
      </w:r>
    </w:p>
    <w:p>
      <w:pPr>
        <w:spacing w:after="140" w:line="276"/>
        <w:jc w:val="both"/>
      </w:pPr>
      <w:r>
        <w:rPr>
          <w:rFonts w:ascii="Calibri" w:cs="Calibri" w:eastAsia="Calibri" w:hAnsi="Calibri"/>
          <w:b w:val="false"/>
          <w:bCs w:val="false"/>
          <w:i/>
          <w:iCs/>
          <w:sz w:val="21"/>
          <w:szCs w:val="21"/>
        </w:rPr>
        <w:t xml:space="preserve">IEEE style, numbered in order of first citation in the text above.</w:t>
      </w:r>
    </w:p>
    <w:p>
      <w:pPr>
        <w:spacing w:after="120" w:line="264"/>
        <w:ind w:left="420" w:hanging="420"/>
        <w:jc w:val="both"/>
      </w:pPr>
      <w:r>
        <w:rPr>
          <w:rFonts w:ascii="Calibri" w:cs="Calibri" w:eastAsia="Calibri" w:hAnsi="Calibri"/>
          <w:sz w:val="20"/>
          <w:szCs w:val="20"/>
        </w:rPr>
        <w:t xml:space="preserve">[1] </w:t>
      </w:r>
      <w:r>
        <w:rPr>
          <w:rFonts w:ascii="Calibri" w:cs="Calibri" w:eastAsia="Calibri" w:hAnsi="Calibri"/>
          <w:sz w:val="20"/>
          <w:szCs w:val="20"/>
        </w:rPr>
        <w:t xml:space="preserve">“The Experimental Study on Lead Acid Battery Driven E-Rickshaw Performance Using Capacitor Bank,” J. New Mater. Electrochem. Syst., IIETA, DOI: 10.14447/jnmes.v27i1.a05.</w:t>
      </w:r>
    </w:p>
    <w:p>
      <w:pPr>
        <w:spacing w:after="120" w:line="264"/>
        <w:ind w:left="420" w:hanging="420"/>
        <w:jc w:val="both"/>
      </w:pPr>
      <w:r>
        <w:rPr>
          <w:rFonts w:ascii="Calibri" w:cs="Calibri" w:eastAsia="Calibri" w:hAnsi="Calibri"/>
          <w:sz w:val="20"/>
          <w:szCs w:val="20"/>
        </w:rPr>
        <w:t xml:space="preserve">[2] </w:t>
      </w:r>
      <w:r>
        <w:rPr>
          <w:rFonts w:ascii="Calibri" w:cs="Calibri" w:eastAsia="Calibri" w:hAnsi="Calibri"/>
          <w:sz w:val="20"/>
          <w:szCs w:val="20"/>
        </w:rPr>
        <w:t xml:space="preserve">“The effect of fast charging and equalization on the reliability and cycle life of the lead acid batteries,” J. Energy Storage, Elsevier (ScienceDirect), 2022.</w:t>
      </w:r>
    </w:p>
    <w:p>
      <w:pPr>
        <w:spacing w:after="120" w:line="264"/>
        <w:ind w:left="420" w:hanging="420"/>
        <w:jc w:val="both"/>
      </w:pPr>
      <w:r>
        <w:rPr>
          <w:rFonts w:ascii="Calibri" w:cs="Calibri" w:eastAsia="Calibri" w:hAnsi="Calibri"/>
          <w:sz w:val="20"/>
          <w:szCs w:val="20"/>
        </w:rPr>
        <w:t xml:space="preserve">[3] </w:t>
      </w:r>
      <w:r>
        <w:rPr>
          <w:rFonts w:ascii="Calibri" w:cs="Calibri" w:eastAsia="Calibri" w:hAnsi="Calibri"/>
          <w:sz w:val="20"/>
          <w:szCs w:val="20"/>
        </w:rPr>
        <w:t xml:space="preserve">“Techno–economic and environmental impact analysis of electric two-wheeler batteries in India,” Clean Energy, Oxford Academic, vol. 8, no. 3, pp. 147–…, 2024–25.</w:t>
      </w:r>
    </w:p>
    <w:p>
      <w:pPr>
        <w:spacing w:after="120" w:line="264"/>
        <w:ind w:left="420" w:hanging="420"/>
        <w:jc w:val="both"/>
      </w:pPr>
      <w:r>
        <w:rPr>
          <w:rFonts w:ascii="Calibri" w:cs="Calibri" w:eastAsia="Calibri" w:hAnsi="Calibri"/>
          <w:sz w:val="20"/>
          <w:szCs w:val="20"/>
        </w:rPr>
        <w:t xml:space="preserve">[4] </w:t>
      </w:r>
      <w:r>
        <w:rPr>
          <w:rFonts w:ascii="Calibri" w:cs="Calibri" w:eastAsia="Calibri" w:hAnsi="Calibri"/>
          <w:sz w:val="20"/>
          <w:szCs w:val="20"/>
        </w:rPr>
        <w:t xml:space="preserve">“Bi-linear capacity decay and internal resistance increase of lithium iron phosphate cell in electric-rickshaw application,” J. Energy Storage / Green Energy and Resources, Elsevier (ScienceDirect), 2024–25.</w:t>
      </w:r>
    </w:p>
    <w:p>
      <w:pPr>
        <w:spacing w:after="120" w:line="264"/>
        <w:ind w:left="420" w:hanging="420"/>
        <w:jc w:val="both"/>
      </w:pPr>
      <w:r>
        <w:rPr>
          <w:rFonts w:ascii="Calibri" w:cs="Calibri" w:eastAsia="Calibri" w:hAnsi="Calibri"/>
          <w:sz w:val="20"/>
          <w:szCs w:val="20"/>
        </w:rPr>
        <w:t xml:space="preserve">[5] </w:t>
      </w:r>
      <w:r>
        <w:rPr>
          <w:rFonts w:ascii="Calibri" w:cs="Calibri" w:eastAsia="Calibri" w:hAnsi="Calibri"/>
          <w:sz w:val="20"/>
          <w:szCs w:val="20"/>
        </w:rPr>
        <w:t xml:space="preserve">M. Iqbal, S. Akhter, and S. Ahmad, “Study on Merits and Demerits of Two Transport Systems: Battery Operated Easy Bike with CNG Operated Auto Rickshaw at Sylhet City in Bangladesh,” 2013.</w:t>
      </w:r>
    </w:p>
    <w:p>
      <w:pPr>
        <w:spacing w:after="120" w:line="264"/>
        <w:ind w:left="420" w:hanging="420"/>
        <w:jc w:val="both"/>
      </w:pPr>
      <w:r>
        <w:rPr>
          <w:rFonts w:ascii="Calibri" w:cs="Calibri" w:eastAsia="Calibri" w:hAnsi="Calibri"/>
          <w:sz w:val="20"/>
          <w:szCs w:val="20"/>
        </w:rPr>
        <w:t xml:space="preserve">[6] </w:t>
      </w:r>
      <w:r>
        <w:rPr>
          <w:rFonts w:ascii="Calibri" w:cs="Calibri" w:eastAsia="Calibri" w:hAnsi="Calibri"/>
          <w:sz w:val="20"/>
          <w:szCs w:val="20"/>
        </w:rPr>
        <w:t xml:space="preserve">“A Case Study on E-rickshaws in Rangpur City, Bangladesh,” Journal of the Bangladesh Institute of Planners, vol. 12, pp. 55–64, 2019.</w:t>
      </w:r>
    </w:p>
    <w:p>
      <w:pPr>
        <w:spacing w:after="120" w:line="264"/>
        <w:ind w:left="420" w:hanging="420"/>
        <w:jc w:val="both"/>
      </w:pPr>
      <w:r>
        <w:rPr>
          <w:rFonts w:ascii="Calibri" w:cs="Calibri" w:eastAsia="Calibri" w:hAnsi="Calibri"/>
          <w:sz w:val="20"/>
          <w:szCs w:val="20"/>
        </w:rPr>
        <w:t xml:space="preserve">[7] </w:t>
      </w:r>
      <w:r>
        <w:rPr>
          <w:rFonts w:ascii="Calibri" w:cs="Calibri" w:eastAsia="Calibri" w:hAnsi="Calibri"/>
          <w:sz w:val="20"/>
          <w:szCs w:val="20"/>
        </w:rPr>
        <w:t xml:space="preserve">S. Ahmad and A. Al Amin, “The rise of battery-run rickshaws in Bangladesh: Causes, Effects, Solution, and Benefits,” Intent Research Center, Oct. 2025.</w:t>
      </w:r>
    </w:p>
    <w:p>
      <w:pPr>
        <w:spacing w:after="120" w:line="264"/>
        <w:ind w:left="420" w:hanging="420"/>
        <w:jc w:val="both"/>
      </w:pPr>
      <w:r>
        <w:rPr>
          <w:rFonts w:ascii="Calibri" w:cs="Calibri" w:eastAsia="Calibri" w:hAnsi="Calibri"/>
          <w:sz w:val="20"/>
          <w:szCs w:val="20"/>
        </w:rPr>
        <w:t xml:space="preserve">[8] </w:t>
      </w:r>
      <w:r>
        <w:rPr>
          <w:rFonts w:ascii="Calibri" w:cs="Calibri" w:eastAsia="Calibri" w:hAnsi="Calibri"/>
          <w:sz w:val="20"/>
          <w:szCs w:val="20"/>
        </w:rPr>
        <w:t xml:space="preserve">“The Role of Battery Operated Auto-Rickshaw in the Transportation System of a City,” Dept. of Urban and Regional Planning, Bangladesh University of Engineering and Technology (BUET), n.d.</w:t>
      </w:r>
    </w:p>
    <w:p>
      <w:pPr>
        <w:spacing w:after="120" w:line="264"/>
        <w:ind w:left="420" w:hanging="420"/>
        <w:jc w:val="both"/>
      </w:pPr>
      <w:r>
        <w:rPr>
          <w:rFonts w:ascii="Calibri" w:cs="Calibri" w:eastAsia="Calibri" w:hAnsi="Calibri"/>
          <w:sz w:val="20"/>
          <w:szCs w:val="20"/>
        </w:rPr>
        <w:t xml:space="preserve">[9] </w:t>
      </w:r>
      <w:r>
        <w:rPr>
          <w:rFonts w:ascii="Calibri" w:cs="Calibri" w:eastAsia="Calibri" w:hAnsi="Calibri"/>
          <w:sz w:val="20"/>
          <w:szCs w:val="20"/>
        </w:rPr>
        <w:t xml:space="preserve">“Used Electric Vehicles batteries could be used for rickshaws in Bangladesh,” WMG, University of Warwick, press release, Nov. 13, 2019.</w:t>
      </w:r>
    </w:p>
    <w:p>
      <w:pPr>
        <w:spacing w:after="120" w:line="264"/>
        <w:ind w:left="420" w:hanging="420"/>
        <w:jc w:val="both"/>
      </w:pPr>
      <w:r>
        <w:rPr>
          <w:rFonts w:ascii="Calibri" w:cs="Calibri" w:eastAsia="Calibri" w:hAnsi="Calibri"/>
          <w:sz w:val="20"/>
          <w:szCs w:val="20"/>
        </w:rPr>
        <w:t xml:space="preserve">[10] </w:t>
      </w:r>
      <w:r>
        <w:rPr>
          <w:rFonts w:ascii="Calibri" w:cs="Calibri" w:eastAsia="Calibri" w:hAnsi="Calibri"/>
          <w:sz w:val="20"/>
          <w:szCs w:val="20"/>
        </w:rPr>
        <w:t xml:space="preserve">B. Battke, T. S. Schmidt, D. Grosspietsch, and V. H. Hoffmann, “A review and probabilistic model of lifecycle costs of stationary batteries in multiple applications,” Renewable and Sustainable Energy Reviews, vol. 25, pp. 240–250, 2013.</w:t>
      </w:r>
    </w:p>
    <w:p>
      <w:pPr>
        <w:spacing w:after="120" w:line="264"/>
        <w:ind w:left="420" w:hanging="420"/>
        <w:jc w:val="both"/>
      </w:pPr>
      <w:r>
        <w:rPr>
          <w:rFonts w:ascii="Calibri" w:cs="Calibri" w:eastAsia="Calibri" w:hAnsi="Calibri"/>
          <w:sz w:val="20"/>
          <w:szCs w:val="20"/>
        </w:rPr>
        <w:t xml:space="preserve">[11] </w:t>
      </w:r>
      <w:r>
        <w:rPr>
          <w:rFonts w:ascii="Calibri" w:cs="Calibri" w:eastAsia="Calibri" w:hAnsi="Calibri"/>
          <w:sz w:val="20"/>
          <w:szCs w:val="20"/>
        </w:rPr>
        <w:t xml:space="preserve">J. Hagman, S. Ritzén, J. Janhager Stier, and Y. Susilo, “Total cost of ownership and its potential implications for battery electric vehicle diffusion,” Research in Transportation Business &amp; Management, vol. 18, pp. 11–17, 2016.</w:t>
      </w:r>
    </w:p>
    <w:p>
      <w:pPr>
        <w:spacing w:after="120" w:line="264"/>
        <w:ind w:left="420" w:hanging="420"/>
        <w:jc w:val="both"/>
      </w:pPr>
      <w:r>
        <w:rPr>
          <w:rFonts w:ascii="Calibri" w:cs="Calibri" w:eastAsia="Calibri" w:hAnsi="Calibri"/>
          <w:sz w:val="20"/>
          <w:szCs w:val="20"/>
        </w:rPr>
        <w:t xml:space="preserve">[12] </w:t>
      </w:r>
      <w:r>
        <w:rPr>
          <w:rFonts w:ascii="Calibri" w:cs="Calibri" w:eastAsia="Calibri" w:hAnsi="Calibri"/>
          <w:sz w:val="20"/>
          <w:szCs w:val="20"/>
        </w:rPr>
        <w:t xml:space="preserve">J. Bauer, P. Letmathe, and R. Woeste, “Total cost of ownership for battery electric vehicles: The role of energy prices,” Applied Energy, Elsevier, 2025.</w:t>
      </w:r>
    </w:p>
    <w:p>
      <w:pPr>
        <w:spacing w:after="120" w:line="264"/>
        <w:ind w:left="420" w:hanging="420"/>
        <w:jc w:val="both"/>
      </w:pPr>
      <w:r>
        <w:rPr>
          <w:rFonts w:ascii="Calibri" w:cs="Calibri" w:eastAsia="Calibri" w:hAnsi="Calibri"/>
          <w:sz w:val="20"/>
          <w:szCs w:val="20"/>
        </w:rPr>
        <w:t xml:space="preserve">[13] </w:t>
      </w:r>
      <w:r>
        <w:rPr>
          <w:rFonts w:ascii="Calibri" w:cs="Calibri" w:eastAsia="Calibri" w:hAnsi="Calibri"/>
          <w:sz w:val="20"/>
          <w:szCs w:val="20"/>
        </w:rPr>
        <w:t xml:space="preserve">“Total Cost of Ownership of Electric Vehicles: A Synthesis of Critical Factors,” IET-published journal (Wiley Online Library), DOI: 10.1049/tje2.70113, 2024–25.</w:t>
      </w:r>
    </w:p>
    <w:p>
      <w:pPr>
        <w:spacing w:after="120" w:line="264"/>
        <w:ind w:left="420" w:hanging="420"/>
        <w:jc w:val="both"/>
      </w:pPr>
      <w:r>
        <w:rPr>
          <w:rFonts w:ascii="Calibri" w:cs="Calibri" w:eastAsia="Calibri" w:hAnsi="Calibri"/>
          <w:sz w:val="20"/>
          <w:szCs w:val="20"/>
        </w:rPr>
        <w:t xml:space="preserve">[14] </w:t>
      </w:r>
      <w:r>
        <w:rPr>
          <w:rFonts w:ascii="Calibri" w:cs="Calibri" w:eastAsia="Calibri" w:hAnsi="Calibri"/>
          <w:sz w:val="20"/>
          <w:szCs w:val="20"/>
        </w:rPr>
        <w:t xml:space="preserve">Battery Asset Management with Cycle Life Prognosis (LFP lifetime prediction under temperature/DoD/charge-rate scenarios), arXiv preprint, arXiv:2011.14903.</w:t>
      </w:r>
    </w:p>
    <w:p>
      <w:pPr>
        <w:spacing w:after="120" w:line="264"/>
        <w:ind w:left="420" w:hanging="420"/>
        <w:jc w:val="both"/>
      </w:pPr>
      <w:r>
        <w:rPr>
          <w:rFonts w:ascii="Calibri" w:cs="Calibri" w:eastAsia="Calibri" w:hAnsi="Calibri"/>
          <w:sz w:val="20"/>
          <w:szCs w:val="20"/>
        </w:rPr>
        <w:t xml:space="preserve">[15] </w:t>
      </w:r>
      <w:r>
        <w:rPr>
          <w:rFonts w:ascii="Calibri" w:cs="Calibri" w:eastAsia="Calibri" w:hAnsi="Calibri"/>
          <w:sz w:val="20"/>
          <w:szCs w:val="20"/>
        </w:rPr>
        <w:t xml:space="preserve">United Nations Environment Programme (UNEP), “Used Lead-Acid Batteries (ULAB): Waste and Lead,” UNEP Chemicals and Waste topic page, incl. Bangladesh pilot project summary, n.d.</w:t>
      </w:r>
    </w:p>
    <w:p>
      <w:pPr>
        <w:spacing w:after="120" w:line="264"/>
        <w:ind w:left="420" w:hanging="420"/>
        <w:jc w:val="both"/>
      </w:pPr>
      <w:r>
        <w:rPr>
          <w:rFonts w:ascii="Calibri" w:cs="Calibri" w:eastAsia="Calibri" w:hAnsi="Calibri"/>
          <w:sz w:val="20"/>
          <w:szCs w:val="20"/>
        </w:rPr>
        <w:t xml:space="preserve">[16] </w:t>
      </w:r>
      <w:r>
        <w:rPr>
          <w:rFonts w:ascii="Calibri" w:cs="Calibri" w:eastAsia="Calibri" w:hAnsi="Calibri"/>
          <w:sz w:val="20"/>
          <w:szCs w:val="20"/>
        </w:rPr>
        <w:t xml:space="preserve">“Strictly regulate used lead-acid battery recycling: Experts to govt,” The Business Standard, reporting on ESDO/UNEP/International Lead Association workshop, Dhaka.</w:t>
      </w:r>
    </w:p>
    <w:p>
      <w:pPr>
        <w:spacing w:after="120" w:line="264"/>
        <w:ind w:left="420" w:hanging="420"/>
        <w:jc w:val="both"/>
      </w:pPr>
      <w:r>
        <w:rPr>
          <w:rFonts w:ascii="Calibri" w:cs="Calibri" w:eastAsia="Calibri" w:hAnsi="Calibri"/>
          <w:sz w:val="20"/>
          <w:szCs w:val="20"/>
        </w:rPr>
        <w:t xml:space="preserve">[17] </w:t>
      </w:r>
      <w:r>
        <w:rPr>
          <w:rFonts w:ascii="Calibri" w:cs="Calibri" w:eastAsia="Calibri" w:hAnsi="Calibri"/>
          <w:sz w:val="20"/>
          <w:szCs w:val="20"/>
        </w:rPr>
        <w:t xml:space="preserve">“Govt readies rules to pave way for electric vehicles,” The Daily Star, reporting on Automobile Industry Development Policy 2021 and easy-bike battery duty reduction.</w:t>
      </w:r>
    </w:p>
    <w:p>
      <w:pPr>
        <w:spacing w:after="120" w:line="264"/>
        <w:ind w:left="420" w:hanging="420"/>
        <w:jc w:val="both"/>
      </w:pPr>
      <w:r>
        <w:rPr>
          <w:rFonts w:ascii="Calibri" w:cs="Calibri" w:eastAsia="Calibri" w:hAnsi="Calibri"/>
          <w:sz w:val="20"/>
          <w:szCs w:val="20"/>
        </w:rPr>
        <w:t xml:space="preserve">[18] </w:t>
      </w:r>
      <w:r>
        <w:rPr>
          <w:rFonts w:ascii="Calibri" w:cs="Calibri" w:eastAsia="Calibri" w:hAnsi="Calibri"/>
          <w:sz w:val="20"/>
          <w:szCs w:val="20"/>
        </w:rPr>
        <w:t xml:space="preserve">“EV incentives unveiled in Bangladesh as BYD eyes expansion,” electrive.com, Jun. 24, 2026.</w:t>
      </w:r>
    </w:p>
    <w:p>
      <w:pPr>
        <w:spacing w:after="120" w:line="264"/>
        <w:ind w:left="420" w:hanging="420"/>
        <w:jc w:val="both"/>
      </w:pPr>
      <w:r>
        <w:rPr>
          <w:rFonts w:ascii="Calibri" w:cs="Calibri" w:eastAsia="Calibri" w:hAnsi="Calibri"/>
          <w:sz w:val="20"/>
          <w:szCs w:val="20"/>
        </w:rPr>
        <w:t xml:space="preserve">[19] </w:t>
      </w:r>
      <w:r>
        <w:rPr>
          <w:rFonts w:ascii="Calibri" w:cs="Calibri" w:eastAsia="Calibri" w:hAnsi="Calibri"/>
          <w:sz w:val="20"/>
          <w:szCs w:val="20"/>
        </w:rPr>
        <w:t xml:space="preserve">S. Alam, “Faster electric car rollout in Bangladesh demands policy support,” Institute for Energy Economics and Financial Analysis (IEEFA), Jun. 14, 2023.</w:t>
      </w:r>
    </w:p>
    <w:p>
      <w:pPr>
        <w:spacing w:after="120" w:line="264"/>
        <w:ind w:left="420" w:hanging="420"/>
        <w:jc w:val="both"/>
      </w:pPr>
      <w:r>
        <w:rPr>
          <w:rFonts w:ascii="Calibri" w:cs="Calibri" w:eastAsia="Calibri" w:hAnsi="Calibri"/>
          <w:sz w:val="20"/>
          <w:szCs w:val="20"/>
        </w:rPr>
        <w:t xml:space="preserve">[20] </w:t>
      </w:r>
      <w:r>
        <w:rPr>
          <w:rFonts w:ascii="Calibri" w:cs="Calibri" w:eastAsia="Calibri" w:hAnsi="Calibri"/>
          <w:sz w:val="20"/>
          <w:szCs w:val="20"/>
        </w:rPr>
        <w:t xml:space="preserve">“Battery rickshaws: From transport solution to menace on Dhaka roads,” The Business Standard, 2026 (citing a 2025 BUET fleet estimate).</w:t>
      </w:r>
    </w:p>
    <w:p>
      <w:pPr>
        <w:spacing w:after="120" w:line="264"/>
        <w:ind w:left="420" w:hanging="420"/>
        <w:jc w:val="both"/>
      </w:pPr>
      <w:r>
        <w:rPr>
          <w:rFonts w:ascii="Calibri" w:cs="Calibri" w:eastAsia="Calibri" w:hAnsi="Calibri"/>
          <w:sz w:val="20"/>
          <w:szCs w:val="20"/>
        </w:rPr>
        <w:t xml:space="preserve">[21] </w:t>
      </w:r>
      <w:r>
        <w:rPr>
          <w:rFonts w:ascii="Calibri" w:cs="Calibri" w:eastAsia="Calibri" w:hAnsi="Calibri"/>
          <w:sz w:val="20"/>
          <w:szCs w:val="20"/>
        </w:rPr>
        <w:t xml:space="preserve">cmbatteries.com, sunlithenergy.com, and anernstore.com, industry technical comparison pages on LFP vs. NMC cycle life, temperature sensitivity, and cost (non-peer-reviewed industry sources — to be used only as a starting point and corroborated with peer-reviewed literature before inclusion in the final parameter table).</w:t>
      </w:r>
    </w:p>
    <w:p>
      <w:pPr>
        <w:spacing w:after="120" w:line="264"/>
        <w:ind w:left="420" w:hanging="420"/>
        <w:jc w:val="both"/>
      </w:pPr>
      <w:r>
        <w:rPr>
          <w:rFonts w:ascii="Calibri" w:cs="Calibri" w:eastAsia="Calibri" w:hAnsi="Calibri"/>
          <w:sz w:val="20"/>
          <w:szCs w:val="20"/>
        </w:rPr>
        <w:t xml:space="preserve">[22] </w:t>
      </w:r>
      <w:r>
        <w:rPr>
          <w:rFonts w:ascii="Calibri" w:cs="Calibri" w:eastAsia="Calibri" w:hAnsi="Calibri"/>
          <w:sz w:val="20"/>
          <w:szCs w:val="20"/>
        </w:rPr>
        <w:t xml:space="preserve">Y. Han, J. Wang, Q. Zhao, and P. Han, “An Optimal Operating Strategy for Battery Life Cycle Costs in Electric Vehicles,” Journal of Applied Mathematics, vol. 2014, Article ID 305905, 2014.</w:t>
      </w:r>
    </w:p>
    <w:p>
      <w:pPr>
        <w:spacing w:after="120" w:line="264"/>
        <w:ind w:left="420" w:hanging="420"/>
        <w:jc w:val="both"/>
      </w:pPr>
      <w:r>
        <w:rPr>
          <w:rFonts w:ascii="Calibri" w:cs="Calibri" w:eastAsia="Calibri" w:hAnsi="Calibri"/>
          <w:sz w:val="20"/>
          <w:szCs w:val="20"/>
        </w:rPr>
        <w:t xml:space="preserve">[23] </w:t>
      </w:r>
      <w:r>
        <w:rPr>
          <w:rFonts w:ascii="Calibri" w:cs="Calibri" w:eastAsia="Calibri" w:hAnsi="Calibri"/>
          <w:sz w:val="20"/>
          <w:szCs w:val="20"/>
        </w:rPr>
        <w:t xml:space="preserve">“Bayesian Monte Carlo-assisted life cycle assessment of lithium iron phosphate batteries production for electric vehicles under uncertainty,” Green Manufacturing Open, vol. 2, no. 18, 2024.</w:t>
      </w:r>
    </w:p>
    <w:p>
      <w:pPr>
        <w:spacing w:after="120" w:line="264"/>
        <w:ind w:left="420" w:hanging="420"/>
        <w:jc w:val="both"/>
      </w:pPr>
      <w:r>
        <w:rPr>
          <w:rFonts w:ascii="Calibri" w:cs="Calibri" w:eastAsia="Calibri" w:hAnsi="Calibri"/>
          <w:sz w:val="20"/>
          <w:szCs w:val="20"/>
        </w:rPr>
        <w:t xml:space="preserve">[24] </w:t>
      </w:r>
      <w:r>
        <w:rPr>
          <w:rFonts w:ascii="Calibri" w:cs="Calibri" w:eastAsia="Calibri" w:hAnsi="Calibri"/>
          <w:sz w:val="20"/>
          <w:szCs w:val="20"/>
        </w:rPr>
        <w:t xml:space="preserve">M. A. H. Mondal, M. Denich, and P. L. G. Vlek, “The future choice of technologies and co-benefits of CO2 emission reduction in Bangladesh power sector,” Energy, vol. 35, no. 12, pp. 4902–4909, 2010.</w:t>
      </w:r>
    </w:p>
    <w:p>
      <w:pPr>
        <w:spacing w:before="260"/>
      </w:pPr>
    </w:p>
    <w:p>
      <w:pPr>
        <w:spacing w:after="140" w:line="276"/>
        <w:jc w:val="both"/>
      </w:pPr>
      <w:r>
        <w:rPr>
          <w:rFonts w:ascii="Calibri" w:cs="Calibri" w:eastAsia="Calibri" w:hAnsi="Calibri"/>
          <w:b w:val="false"/>
          <w:bCs w:val="false"/>
          <w:i/>
          <w:iCs/>
          <w:sz w:val="21"/>
          <w:szCs w:val="21"/>
        </w:rPr>
        <w:t xml:space="preserve">Note on reference quality: entries [1]–[4], [10]–[13], [22]–[24] are peer-reviewed journal articles or archival preprints; [5]–[9], [19] are Bangladesh-specific academic/institutional sources of mixed peer-review status (thesis-level, planning-institute, and university-press-release sources) and should be treated as good leads to be corroborated during the full Phase-1 literature review, not final citations; [14]–[18], [20] are institutional/news sources appropriate for policy and context claims but not for technical battery parameters; [21] is explicitly flagged as non-peer-reviewed industry material. This mixed-quality reference list reflects the reality of a preliminary scan and must be upgraded during Phase 1 of the work plan — consistent with the no-fabrication requirement, nothing above has been invented.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2026-09-04T07:23:35.512Z</dcterms:created>
  <dcterms:modified xsi:type="dcterms:W3CDTF">2026-09-04T07:23:35.520Z</dcterms:modified>
</cp:coreProperties>
</file>

<file path=docProps/custom.xml><?xml version="1.0" encoding="utf-8"?>
<Properties xmlns="http://schemas.openxmlformats.org/officeDocument/2006/custom-properties" xmlns:vt="http://schemas.openxmlformats.org/officeDocument/2006/docPropsVTypes"/>
</file>