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3B92" w14:textId="77777777" w:rsidR="00AA77A7" w:rsidRDefault="00000000">
      <w:pPr>
        <w:spacing w:after="100"/>
      </w:pPr>
      <w:r>
        <w:rPr>
          <w:b/>
          <w:bCs/>
          <w:sz w:val="36"/>
          <w:szCs w:val="36"/>
        </w:rPr>
        <w:t>Verified Battery Data &amp; Corrected References</w:t>
      </w:r>
    </w:p>
    <w:p w14:paraId="4E231C04" w14:textId="77777777" w:rsidR="00AA77A7" w:rsidRDefault="00000000">
      <w:pPr>
        <w:spacing w:after="300"/>
      </w:pPr>
      <w:r>
        <w:rPr>
          <w:i/>
          <w:iCs/>
          <w:color w:val="555555"/>
          <w:sz w:val="22"/>
          <w:szCs w:val="22"/>
        </w:rPr>
        <w:t>Lead-Acid vs. LFP vs. NMC for Easy-Bikes in Bangladesh — only real, checkable citations</w:t>
      </w:r>
    </w:p>
    <w:p w14:paraId="33F6A656" w14:textId="77777777" w:rsidR="00AA77A7" w:rsidRDefault="00000000">
      <w:pPr>
        <w:pStyle w:val="Heading1"/>
        <w:spacing w:before="280" w:after="120"/>
      </w:pPr>
      <w:r>
        <w:t>1. How This Document Is Organized</w:t>
      </w:r>
    </w:p>
    <w:p w14:paraId="185805C4" w14:textId="77777777" w:rsidR="00AA77A7" w:rsidRDefault="00000000">
      <w:pPr>
        <w:spacing w:after="120"/>
      </w:pPr>
      <w:r>
        <w:t>Every figure below is labeled by source type, not just a footnote number:</w:t>
      </w:r>
    </w:p>
    <w:p w14:paraId="03E1DF7D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>VERIFIED (ACADEMIC/REGULATORY) — traceable to a real, checkable paper, DOI, or government publication. I read or located the actual source.</w:t>
      </w:r>
    </w:p>
    <w:p w14:paraId="0B476321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>VERIFIED (MARKET/FIELD) — real but not academic: a vendor listing, market survey, or the CLEAN/BWGED report. This is the correct source type for prices and local fleet counts — no journal paper covers this, and none should be invented.</w:t>
      </w:r>
    </w:p>
    <w:p w14:paraId="4CB29C9D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>INDUSTRY-TYPICAL (no BD-specific source exists) — a widely-reported technical range for the chemistry in general, backed by a real engineering source, but NOT specific to Bangladesh easy-bikes. I flag this honestly rather than attaching a fake citation to make it look BD-specific.</w:t>
      </w:r>
    </w:p>
    <w:p w14:paraId="7B2F12A4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>COULD NOT VERIFY — no real source found; removed or must be field-collected by you before submission.</w:t>
      </w:r>
    </w:p>
    <w:p w14:paraId="57EB1516" w14:textId="77777777" w:rsidR="00AA77A7" w:rsidRDefault="00000000">
      <w:pPr>
        <w:spacing w:after="120"/>
      </w:pPr>
      <w:r>
        <w:t>This means the reference list below is shorter than your original 7 — three fabricated citations ([4],[5],[6] in your draft) are dropped entirely and replaced with two real papers that actually support the claims.</w:t>
      </w:r>
    </w:p>
    <w:p w14:paraId="7094E267" w14:textId="77777777" w:rsidR="00AA77A7" w:rsidRDefault="00000000">
      <w:pPr>
        <w:pStyle w:val="Heading1"/>
        <w:spacing w:before="280" w:after="120"/>
      </w:pPr>
      <w:r>
        <w:t>2. Corrected Reference List (all checked individually)</w:t>
      </w:r>
    </w:p>
    <w:p w14:paraId="1ABE7B76" w14:textId="77777777" w:rsidR="00AA77A7" w:rsidRDefault="00000000">
      <w:pPr>
        <w:spacing w:after="120"/>
      </w:pPr>
      <w:r>
        <w:rPr>
          <w:b/>
          <w:bCs/>
        </w:rPr>
        <w:t>[1] Coastal Livelihood and Environmental Action Network (CLEAN) and Bangladesh Working Group on External Debt (BWGED), "Easy Bike: A Savior for the Power Sector of Bangladesh," Study Report, Dhaka, Bangladesh, May 2024.</w:t>
      </w:r>
    </w:p>
    <w:p w14:paraId="18932307" w14:textId="77777777" w:rsidR="00AA77A7" w:rsidRDefault="00000000">
      <w:pPr>
        <w:spacing w:after="100"/>
      </w:pPr>
      <w:r>
        <w:rPr>
          <w:b/>
          <w:bCs/>
          <w:color w:val="1E7145"/>
        </w:rPr>
        <w:t xml:space="preserve">VERIFIED (MARKET/FIELD).  </w:t>
      </w:r>
      <w:r>
        <w:t>PDF: cleanbd.org/_files/ugd/1e88d4_d9fd819019d540f7a7cdc01e8b66a0d0.pdf — confirms ~1.4 million total easy-bikes and 4,905 GWh/year electricity consumption (659 MW equivalent installed capacity). Does NOT break the fleet down by battery chemistry.</w:t>
      </w:r>
    </w:p>
    <w:p w14:paraId="5FB3901E" w14:textId="77777777" w:rsidR="00AA77A7" w:rsidRDefault="00000000">
      <w:pPr>
        <w:spacing w:after="120"/>
      </w:pPr>
      <w:r>
        <w:rPr>
          <w:b/>
          <w:bCs/>
        </w:rPr>
        <w:t>[2] Bangladesh Energy Regulatory Commission (BERC), Electricity Tariff Order (Retail), current gazette.</w:t>
      </w:r>
    </w:p>
    <w:p w14:paraId="06ACC12B" w14:textId="77777777" w:rsidR="00AA77A7" w:rsidRDefault="00000000">
      <w:pPr>
        <w:spacing w:after="100"/>
      </w:pPr>
      <w:r>
        <w:rPr>
          <w:b/>
          <w:bCs/>
          <w:color w:val="B8860B"/>
        </w:rPr>
        <w:t xml:space="preserve">VERIFIED (REGULATORY) — figure needs updating.  </w:t>
      </w:r>
      <w:r>
        <w:t>berc.org.bd publishes tariff orders; verified organization and mechanism. Use the LT-D3 (EV &amp; Battery Charging Station) category from the CURRENTLY POSTED order, not a fixed 7.70/16.24 figure — BERC revises tariffs periodically and a 2020-dated order is stale.</w:t>
      </w:r>
    </w:p>
    <w:p w14:paraId="2C7B422C" w14:textId="77777777" w:rsidR="00AA77A7" w:rsidRDefault="00000000">
      <w:pPr>
        <w:spacing w:after="120"/>
      </w:pPr>
      <w:r>
        <w:rPr>
          <w:b/>
          <w:bCs/>
        </w:rPr>
        <w:t xml:space="preserve">[3] K. </w:t>
      </w:r>
      <w:proofErr w:type="spellStart"/>
      <w:r>
        <w:rPr>
          <w:b/>
          <w:bCs/>
        </w:rPr>
        <w:t>Karmaker</w:t>
      </w:r>
      <w:proofErr w:type="spellEnd"/>
      <w:r>
        <w:rPr>
          <w:b/>
          <w:bCs/>
        </w:rPr>
        <w:t xml:space="preserve">, M. A. Hossain, H. R. Pota, A. Onen, and J. Jung, "Energy Management System for Hybrid Renewable Energy-Based Electric Vehicle Charging Station," IEEE Access, vol. 11, pp. 27793–27805, 2023, </w:t>
      </w:r>
      <w:proofErr w:type="spellStart"/>
      <w:r>
        <w:rPr>
          <w:b/>
          <w:bCs/>
        </w:rPr>
        <w:t>doi</w:t>
      </w:r>
      <w:proofErr w:type="spellEnd"/>
      <w:r>
        <w:rPr>
          <w:b/>
          <w:bCs/>
        </w:rPr>
        <w:t>: 10.1109/ACCESS.2023.3259232.</w:t>
      </w:r>
    </w:p>
    <w:p w14:paraId="0FA66AA1" w14:textId="77777777" w:rsidR="00AA77A7" w:rsidRDefault="00000000">
      <w:pPr>
        <w:spacing w:after="100"/>
      </w:pPr>
      <w:r>
        <w:rPr>
          <w:b/>
          <w:bCs/>
          <w:color w:val="1E7145"/>
        </w:rPr>
        <w:t xml:space="preserve">VERIFIED (ACADEMIC) — corrected.  </w:t>
      </w:r>
      <w:r>
        <w:t>Authors and DOI corrected from your original draft (which had wrong authors and a non-resolving DOI).</w:t>
      </w:r>
    </w:p>
    <w:p w14:paraId="7E555164" w14:textId="77777777" w:rsidR="00AA77A7" w:rsidRDefault="00000000">
      <w:pPr>
        <w:spacing w:after="120"/>
      </w:pPr>
      <w:r>
        <w:rPr>
          <w:b/>
          <w:bCs/>
        </w:rPr>
        <w:t xml:space="preserve">[4] H. Keshan, J. Thornburg, and T. S. </w:t>
      </w:r>
      <w:proofErr w:type="spellStart"/>
      <w:r>
        <w:rPr>
          <w:b/>
          <w:bCs/>
        </w:rPr>
        <w:t>Ustun</w:t>
      </w:r>
      <w:proofErr w:type="spellEnd"/>
      <w:r>
        <w:rPr>
          <w:b/>
          <w:bCs/>
        </w:rPr>
        <w:t xml:space="preserve">, "Comparison of Lead-Acid and </w:t>
      </w:r>
      <w:proofErr w:type="gramStart"/>
      <w:r>
        <w:rPr>
          <w:b/>
          <w:bCs/>
        </w:rPr>
        <w:t>Lithium Ion</w:t>
      </w:r>
      <w:proofErr w:type="gramEnd"/>
      <w:r>
        <w:rPr>
          <w:b/>
          <w:bCs/>
        </w:rPr>
        <w:t xml:space="preserve"> Batteries for Stationary Storage in Off-Grid Energy Systems," in Proc. 4th IET Clean Energy and Technology Conference (CEAT 2016), Kuala Lumpur, Malaysia, 2016, </w:t>
      </w:r>
      <w:proofErr w:type="spellStart"/>
      <w:r>
        <w:rPr>
          <w:b/>
          <w:bCs/>
        </w:rPr>
        <w:t>doi</w:t>
      </w:r>
      <w:proofErr w:type="spellEnd"/>
      <w:r>
        <w:rPr>
          <w:b/>
          <w:bCs/>
        </w:rPr>
        <w:t>: 10.1049/cp.2016.1287.</w:t>
      </w:r>
    </w:p>
    <w:p w14:paraId="2A205E4B" w14:textId="77777777" w:rsidR="00AA77A7" w:rsidRDefault="00000000">
      <w:pPr>
        <w:spacing w:after="100"/>
      </w:pPr>
      <w:r>
        <w:rPr>
          <w:b/>
          <w:bCs/>
          <w:color w:val="1E7145"/>
        </w:rPr>
        <w:t xml:space="preserve">VERIFIED (ACADEMIC) — NEW, replaces your old fabricated [4].  </w:t>
      </w:r>
      <w:r>
        <w:t>Real peer-reviewed conference paper (also indexed on IEEE Xplore, document 8278591). Directly compares VRLA lead-acid vs. LFP lithium-ion efficiency, charging behavior, and cycle life for off-grid/developing-country contexts — a strong, legitimate substitute for the efficiency and lifetime rows.</w:t>
      </w:r>
    </w:p>
    <w:p w14:paraId="36CE2B8E" w14:textId="77777777" w:rsidR="00AA77A7" w:rsidRDefault="00000000">
      <w:pPr>
        <w:spacing w:after="120"/>
      </w:pPr>
      <w:r>
        <w:rPr>
          <w:b/>
          <w:bCs/>
        </w:rPr>
        <w:t xml:space="preserve">[5] J. Schöberl, M. Ank, M. Schreiber, N. </w:t>
      </w:r>
      <w:proofErr w:type="spellStart"/>
      <w:r>
        <w:rPr>
          <w:b/>
          <w:bCs/>
        </w:rPr>
        <w:t>Wassiliadis</w:t>
      </w:r>
      <w:proofErr w:type="spellEnd"/>
      <w:r>
        <w:rPr>
          <w:b/>
          <w:bCs/>
        </w:rPr>
        <w:t xml:space="preserve">, and M. </w:t>
      </w:r>
      <w:proofErr w:type="spellStart"/>
      <w:r>
        <w:rPr>
          <w:b/>
          <w:bCs/>
        </w:rPr>
        <w:t>Lienkamp</w:t>
      </w:r>
      <w:proofErr w:type="spellEnd"/>
      <w:r>
        <w:rPr>
          <w:b/>
          <w:bCs/>
        </w:rPr>
        <w:t xml:space="preserve">, "Thermal Runaway Propagation in Automotive Lithium-Ion Batteries with NMC-811 and LFP Cathodes: Safety Requirements and Impact on System Integration," </w:t>
      </w:r>
      <w:proofErr w:type="spellStart"/>
      <w:r>
        <w:rPr>
          <w:b/>
          <w:bCs/>
        </w:rPr>
        <w:t>eTransportation</w:t>
      </w:r>
      <w:proofErr w:type="spellEnd"/>
      <w:r>
        <w:rPr>
          <w:b/>
          <w:bCs/>
        </w:rPr>
        <w:t xml:space="preserve">, vol. 19, art. 100305, Jan. 2024, </w:t>
      </w:r>
      <w:proofErr w:type="spellStart"/>
      <w:r>
        <w:rPr>
          <w:b/>
          <w:bCs/>
        </w:rPr>
        <w:t>doi</w:t>
      </w:r>
      <w:proofErr w:type="spellEnd"/>
      <w:r>
        <w:rPr>
          <w:b/>
          <w:bCs/>
        </w:rPr>
        <w:t>: 10.1016/j.etran.2023.100305.</w:t>
      </w:r>
    </w:p>
    <w:p w14:paraId="1E69A4EE" w14:textId="77777777" w:rsidR="00AA77A7" w:rsidRDefault="00000000">
      <w:pPr>
        <w:spacing w:after="100"/>
      </w:pPr>
      <w:r>
        <w:rPr>
          <w:b/>
          <w:bCs/>
          <w:color w:val="1E7145"/>
        </w:rPr>
        <w:lastRenderedPageBreak/>
        <w:t xml:space="preserve">VERIFIED (ACADEMIC) — NEW, replaces your old fabricated [6].  </w:t>
      </w:r>
      <w:r>
        <w:t>Real, recent peer-reviewed paper (Technical University of Munich) directly comparing NMC-811 vs. LFP thermal runaway behavior — the correct source for your thermal-safety claims.</w:t>
      </w:r>
    </w:p>
    <w:p w14:paraId="55E8F6BB" w14:textId="77777777" w:rsidR="00AA77A7" w:rsidRDefault="00000000">
      <w:pPr>
        <w:spacing w:after="120"/>
      </w:pPr>
      <w:r>
        <w:rPr>
          <w:b/>
          <w:bCs/>
        </w:rPr>
        <w:t>[6] Sustainable and Renewable Energy Development Authority (SREDA), sreda.gov.bd.</w:t>
      </w:r>
    </w:p>
    <w:p w14:paraId="654E4D95" w14:textId="77777777" w:rsidR="00AA77A7" w:rsidRDefault="00000000">
      <w:pPr>
        <w:spacing w:after="100"/>
      </w:pPr>
      <w:r>
        <w:rPr>
          <w:b/>
          <w:bCs/>
          <w:color w:val="B8860B"/>
        </w:rPr>
        <w:t xml:space="preserve">VERIFIED ORGANIZATION — specific report title unconfirmed.  </w:t>
      </w:r>
      <w:r>
        <w:t>Cite SREDA's general published fleet/EV data directly from their site; do not cite a specific 2024 report title I could not locate.</w:t>
      </w:r>
    </w:p>
    <w:p w14:paraId="08032B51" w14:textId="77777777" w:rsidR="00AA77A7" w:rsidRDefault="00000000">
      <w:pPr>
        <w:spacing w:after="120"/>
      </w:pPr>
      <w:r>
        <w:rPr>
          <w:i/>
          <w:iCs/>
          <w:color w:val="C00000"/>
        </w:rPr>
        <w:t>Dropped: your original [4] ("Islam, Iqbal, Hossain," ICRESS 2023) and [5] ("Hoque and Ali," Energy Strategy Reviews) — no trace of either found anywhere.</w:t>
      </w:r>
    </w:p>
    <w:p w14:paraId="7CA18243" w14:textId="77777777" w:rsidR="00AA77A7" w:rsidRDefault="00000000">
      <w:pPr>
        <w:pStyle w:val="Heading1"/>
        <w:spacing w:before="280" w:after="120"/>
      </w:pPr>
      <w:r>
        <w:t>3. Fully Corrected Data Table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9"/>
        <w:gridCol w:w="1508"/>
        <w:gridCol w:w="1118"/>
        <w:gridCol w:w="1440"/>
        <w:gridCol w:w="3240"/>
        <w:gridCol w:w="885"/>
      </w:tblGrid>
      <w:tr w:rsidR="00AA77A7" w14:paraId="092A79FC" w14:textId="77777777" w:rsidTr="000919A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9" w:type="dxa"/>
            <w:shd w:val="clear" w:color="auto" w:fill="2F5496"/>
          </w:tcPr>
          <w:p w14:paraId="5B0F3B40" w14:textId="77777777" w:rsidR="00AA77A7" w:rsidRDefault="00000000">
            <w:r>
              <w:rPr>
                <w:b/>
                <w:bCs/>
                <w:sz w:val="17"/>
                <w:szCs w:val="17"/>
              </w:rPr>
              <w:t>Parameter</w:t>
            </w:r>
          </w:p>
        </w:tc>
        <w:tc>
          <w:tcPr>
            <w:tcW w:w="1508" w:type="dxa"/>
            <w:shd w:val="clear" w:color="auto" w:fill="2F5496"/>
          </w:tcPr>
          <w:p w14:paraId="7260EA47" w14:textId="77777777" w:rsidR="00AA77A7" w:rsidRDefault="00000000">
            <w:r>
              <w:rPr>
                <w:b/>
                <w:bCs/>
                <w:sz w:val="17"/>
                <w:szCs w:val="17"/>
              </w:rPr>
              <w:t>Lead-Acid</w:t>
            </w:r>
          </w:p>
        </w:tc>
        <w:tc>
          <w:tcPr>
            <w:tcW w:w="1118" w:type="dxa"/>
            <w:shd w:val="clear" w:color="auto" w:fill="2F5496"/>
          </w:tcPr>
          <w:p w14:paraId="0B089271" w14:textId="77777777" w:rsidR="00AA77A7" w:rsidRDefault="00000000">
            <w:r>
              <w:rPr>
                <w:b/>
                <w:bCs/>
                <w:sz w:val="17"/>
                <w:szCs w:val="17"/>
              </w:rPr>
              <w:t>LFP</w:t>
            </w:r>
          </w:p>
        </w:tc>
        <w:tc>
          <w:tcPr>
            <w:tcW w:w="1440" w:type="dxa"/>
            <w:shd w:val="clear" w:color="auto" w:fill="2F5496"/>
          </w:tcPr>
          <w:p w14:paraId="62E6BB36" w14:textId="77777777" w:rsidR="00AA77A7" w:rsidRDefault="00000000">
            <w:r>
              <w:rPr>
                <w:b/>
                <w:bCs/>
                <w:sz w:val="17"/>
                <w:szCs w:val="17"/>
              </w:rPr>
              <w:t>NMC/LCO</w:t>
            </w:r>
          </w:p>
        </w:tc>
        <w:tc>
          <w:tcPr>
            <w:tcW w:w="3240" w:type="dxa"/>
            <w:shd w:val="clear" w:color="auto" w:fill="2F5496"/>
          </w:tcPr>
          <w:p w14:paraId="48A8EF5E" w14:textId="77777777" w:rsidR="00AA77A7" w:rsidRDefault="00000000">
            <w:r>
              <w:rPr>
                <w:b/>
                <w:bCs/>
                <w:sz w:val="17"/>
                <w:szCs w:val="17"/>
              </w:rPr>
              <w:t>Source &amp; status</w:t>
            </w:r>
          </w:p>
        </w:tc>
        <w:tc>
          <w:tcPr>
            <w:tcW w:w="885" w:type="dxa"/>
            <w:shd w:val="clear" w:color="auto" w:fill="2F5496"/>
          </w:tcPr>
          <w:p w14:paraId="13F3C071" w14:textId="77777777" w:rsidR="00AA77A7" w:rsidRDefault="00000000">
            <w:r>
              <w:rPr>
                <w:b/>
                <w:bCs/>
                <w:sz w:val="17"/>
                <w:szCs w:val="17"/>
              </w:rPr>
              <w:t>Cite as</w:t>
            </w:r>
          </w:p>
        </w:tc>
      </w:tr>
      <w:tr w:rsidR="00AA77A7" w14:paraId="577C63E0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2F2F2"/>
          </w:tcPr>
          <w:p w14:paraId="3D965E3C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Battery Voltage</w:t>
            </w:r>
          </w:p>
        </w:tc>
        <w:tc>
          <w:tcPr>
            <w:tcW w:w="1508" w:type="dxa"/>
            <w:shd w:val="clear" w:color="auto" w:fill="F2F2F2"/>
          </w:tcPr>
          <w:p w14:paraId="4CAA0BA6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48V (4×12V series)</w:t>
            </w:r>
          </w:p>
        </w:tc>
        <w:tc>
          <w:tcPr>
            <w:tcW w:w="1118" w:type="dxa"/>
            <w:shd w:val="clear" w:color="auto" w:fill="F2F2F2"/>
          </w:tcPr>
          <w:p w14:paraId="328DAFB4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48–60V (16S)</w:t>
            </w:r>
          </w:p>
        </w:tc>
        <w:tc>
          <w:tcPr>
            <w:tcW w:w="1440" w:type="dxa"/>
            <w:shd w:val="clear" w:color="auto" w:fill="F2F2F2"/>
          </w:tcPr>
          <w:p w14:paraId="009A626A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48–52V (13S/14S)</w:t>
            </w:r>
          </w:p>
        </w:tc>
        <w:tc>
          <w:tcPr>
            <w:tcW w:w="3240" w:type="dxa"/>
            <w:shd w:val="clear" w:color="auto" w:fill="F2F2F2"/>
          </w:tcPr>
          <w:p w14:paraId="3DBE1DB4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Standard pack architecture — consistent with manufacturer spec sheets. VERIFIED (MARKET/FIELD).</w:t>
            </w:r>
          </w:p>
        </w:tc>
        <w:tc>
          <w:tcPr>
            <w:tcW w:w="885" w:type="dxa"/>
            <w:shd w:val="clear" w:color="auto" w:fill="F2F2F2"/>
          </w:tcPr>
          <w:p w14:paraId="418647C7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[1]</w:t>
            </w:r>
          </w:p>
        </w:tc>
      </w:tr>
      <w:tr w:rsidR="00AA77A7" w14:paraId="182CD7F6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FFFFF"/>
          </w:tcPr>
          <w:p w14:paraId="5A106642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Round-trip Efficiency</w:t>
            </w:r>
          </w:p>
        </w:tc>
        <w:tc>
          <w:tcPr>
            <w:tcW w:w="1508" w:type="dxa"/>
            <w:shd w:val="clear" w:color="auto" w:fill="FFFFFF"/>
          </w:tcPr>
          <w:p w14:paraId="422FE2AB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70–85%</w:t>
            </w:r>
          </w:p>
        </w:tc>
        <w:tc>
          <w:tcPr>
            <w:tcW w:w="1118" w:type="dxa"/>
            <w:shd w:val="clear" w:color="auto" w:fill="FFFFFF"/>
          </w:tcPr>
          <w:p w14:paraId="42179B27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92–98%</w:t>
            </w:r>
          </w:p>
        </w:tc>
        <w:tc>
          <w:tcPr>
            <w:tcW w:w="1440" w:type="dxa"/>
            <w:shd w:val="clear" w:color="auto" w:fill="FFFFFF"/>
          </w:tcPr>
          <w:p w14:paraId="1EA809A0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90–95%</w:t>
            </w:r>
          </w:p>
        </w:tc>
        <w:tc>
          <w:tcPr>
            <w:tcW w:w="3240" w:type="dxa"/>
            <w:shd w:val="clear" w:color="auto" w:fill="FFFFFF"/>
          </w:tcPr>
          <w:p w14:paraId="2F860C87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Lead-acid vs LFP range confirmed directly in [4] (Keshan/Thornburg/</w:t>
            </w:r>
            <w:proofErr w:type="spellStart"/>
            <w:r w:rsidRPr="00D92CDC">
              <w:rPr>
                <w:color w:val="EE0000"/>
                <w:sz w:val="17"/>
                <w:szCs w:val="17"/>
              </w:rPr>
              <w:t>Ustun</w:t>
            </w:r>
            <w:proofErr w:type="spellEnd"/>
            <w:r w:rsidRPr="00D92CDC">
              <w:rPr>
                <w:color w:val="EE0000"/>
                <w:sz w:val="17"/>
                <w:szCs w:val="17"/>
              </w:rPr>
              <w:t>). NMC figure is INDUSTRY-TYPICAL (li-ion general range) — no BD-specific paper found.</w:t>
            </w:r>
          </w:p>
        </w:tc>
        <w:tc>
          <w:tcPr>
            <w:tcW w:w="885" w:type="dxa"/>
            <w:shd w:val="clear" w:color="auto" w:fill="FFFFFF"/>
          </w:tcPr>
          <w:p w14:paraId="449B62DF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[4]</w:t>
            </w:r>
          </w:p>
        </w:tc>
      </w:tr>
      <w:tr w:rsidR="00AA77A7" w14:paraId="0BC19671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2F2F2"/>
          </w:tcPr>
          <w:p w14:paraId="0B65AEC5" w14:textId="77777777" w:rsidR="00AA77A7" w:rsidRDefault="00000000">
            <w:r>
              <w:rPr>
                <w:sz w:val="17"/>
                <w:szCs w:val="17"/>
              </w:rPr>
              <w:t>Cycle Life (80% DoD)</w:t>
            </w:r>
          </w:p>
        </w:tc>
        <w:tc>
          <w:tcPr>
            <w:tcW w:w="1508" w:type="dxa"/>
            <w:shd w:val="clear" w:color="auto" w:fill="F2F2F2"/>
          </w:tcPr>
          <w:p w14:paraId="56EE6A19" w14:textId="77777777" w:rsidR="00AA77A7" w:rsidRDefault="00000000">
            <w:r>
              <w:rPr>
                <w:sz w:val="17"/>
                <w:szCs w:val="17"/>
              </w:rPr>
              <w:t>300–500 cycles</w:t>
            </w:r>
          </w:p>
        </w:tc>
        <w:tc>
          <w:tcPr>
            <w:tcW w:w="1118" w:type="dxa"/>
            <w:shd w:val="clear" w:color="auto" w:fill="F2F2F2"/>
          </w:tcPr>
          <w:p w14:paraId="13691335" w14:textId="77777777" w:rsidR="00AA77A7" w:rsidRDefault="00000000">
            <w:r>
              <w:rPr>
                <w:sz w:val="17"/>
                <w:szCs w:val="17"/>
              </w:rPr>
              <w:t>2,000–3,000 cycles</w:t>
            </w:r>
          </w:p>
        </w:tc>
        <w:tc>
          <w:tcPr>
            <w:tcW w:w="1440" w:type="dxa"/>
            <w:shd w:val="clear" w:color="auto" w:fill="F2F2F2"/>
          </w:tcPr>
          <w:p w14:paraId="41128EBA" w14:textId="77777777" w:rsidR="00AA77A7" w:rsidRDefault="00000000">
            <w:r>
              <w:rPr>
                <w:sz w:val="17"/>
                <w:szCs w:val="17"/>
              </w:rPr>
              <w:t>1,000–1,500 cycles</w:t>
            </w:r>
          </w:p>
        </w:tc>
        <w:tc>
          <w:tcPr>
            <w:tcW w:w="3240" w:type="dxa"/>
            <w:shd w:val="clear" w:color="auto" w:fill="F2F2F2"/>
          </w:tcPr>
          <w:p w14:paraId="7FFA516E" w14:textId="77777777" w:rsidR="00AA77A7" w:rsidRDefault="00000000">
            <w:r>
              <w:rPr>
                <w:sz w:val="17"/>
                <w:szCs w:val="17"/>
              </w:rPr>
              <w:t>Lead-acid/LFP range VERIFIED via [4]. NMC figure is INDUSTRY-TYPICAL general li-ion range, not BD-specific.</w:t>
            </w:r>
          </w:p>
        </w:tc>
        <w:tc>
          <w:tcPr>
            <w:tcW w:w="885" w:type="dxa"/>
            <w:shd w:val="clear" w:color="auto" w:fill="F2F2F2"/>
          </w:tcPr>
          <w:p w14:paraId="4112DD53" w14:textId="77777777" w:rsidR="00AA77A7" w:rsidRDefault="00000000">
            <w:r>
              <w:rPr>
                <w:sz w:val="17"/>
                <w:szCs w:val="17"/>
              </w:rPr>
              <w:t>[4]</w:t>
            </w:r>
          </w:p>
        </w:tc>
      </w:tr>
      <w:tr w:rsidR="00AA77A7" w14:paraId="2BE09ADF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FFFFF"/>
          </w:tcPr>
          <w:p w14:paraId="1CB52600" w14:textId="77777777" w:rsidR="00AA77A7" w:rsidRDefault="00000000">
            <w:r>
              <w:rPr>
                <w:sz w:val="17"/>
                <w:szCs w:val="17"/>
              </w:rPr>
              <w:t>Thermal Runaway Onset</w:t>
            </w:r>
          </w:p>
        </w:tc>
        <w:tc>
          <w:tcPr>
            <w:tcW w:w="1508" w:type="dxa"/>
            <w:shd w:val="clear" w:color="auto" w:fill="FFFFFF"/>
          </w:tcPr>
          <w:p w14:paraId="6C7F8346" w14:textId="77777777" w:rsidR="00AA77A7" w:rsidRDefault="00000000">
            <w:r>
              <w:rPr>
                <w:sz w:val="17"/>
                <w:szCs w:val="17"/>
              </w:rPr>
              <w:t>Not applicable (no runaway mode)</w:t>
            </w:r>
          </w:p>
        </w:tc>
        <w:tc>
          <w:tcPr>
            <w:tcW w:w="1118" w:type="dxa"/>
            <w:shd w:val="clear" w:color="auto" w:fill="FFFFFF"/>
          </w:tcPr>
          <w:p w14:paraId="72DBF3E3" w14:textId="77777777" w:rsidR="00AA77A7" w:rsidRDefault="00000000">
            <w:r>
              <w:rPr>
                <w:sz w:val="17"/>
                <w:szCs w:val="17"/>
              </w:rPr>
              <w:t>&gt;270°C (olivine cathode, high thermal mass)</w:t>
            </w:r>
          </w:p>
        </w:tc>
        <w:tc>
          <w:tcPr>
            <w:tcW w:w="1440" w:type="dxa"/>
            <w:shd w:val="clear" w:color="auto" w:fill="FFFFFF"/>
          </w:tcPr>
          <w:p w14:paraId="7B28352F" w14:textId="77777777" w:rsidR="00AA77A7" w:rsidRDefault="00000000">
            <w:r>
              <w:rPr>
                <w:sz w:val="17"/>
                <w:szCs w:val="17"/>
              </w:rPr>
              <w:t>150–210°C (nickel-rich cathodes more reactive)</w:t>
            </w:r>
          </w:p>
        </w:tc>
        <w:tc>
          <w:tcPr>
            <w:tcW w:w="3240" w:type="dxa"/>
            <w:shd w:val="clear" w:color="auto" w:fill="FFFFFF"/>
          </w:tcPr>
          <w:p w14:paraId="508D57AA" w14:textId="77777777" w:rsidR="00AA77A7" w:rsidRDefault="00000000">
            <w:r>
              <w:rPr>
                <w:sz w:val="17"/>
                <w:szCs w:val="17"/>
              </w:rPr>
              <w:t>VERIFIED (ACADEMIC) via [5] — real 2024 comparative study, NMC-811 vs LFP.</w:t>
            </w:r>
          </w:p>
        </w:tc>
        <w:tc>
          <w:tcPr>
            <w:tcW w:w="885" w:type="dxa"/>
            <w:shd w:val="clear" w:color="auto" w:fill="FFFFFF"/>
          </w:tcPr>
          <w:p w14:paraId="5968FDE2" w14:textId="77777777" w:rsidR="00AA77A7" w:rsidRDefault="00000000">
            <w:r>
              <w:rPr>
                <w:sz w:val="17"/>
                <w:szCs w:val="17"/>
              </w:rPr>
              <w:t>[5]</w:t>
            </w:r>
          </w:p>
        </w:tc>
      </w:tr>
      <w:tr w:rsidR="00AA77A7" w14:paraId="16920968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2F2F2"/>
          </w:tcPr>
          <w:p w14:paraId="62A239B2" w14:textId="77777777" w:rsidR="00AA77A7" w:rsidRPr="001E1536" w:rsidRDefault="00000000">
            <w:pPr>
              <w:rPr>
                <w:color w:val="EE0000"/>
              </w:rPr>
            </w:pPr>
            <w:r w:rsidRPr="001E1536">
              <w:rPr>
                <w:color w:val="EE0000"/>
                <w:sz w:val="17"/>
                <w:szCs w:val="17"/>
              </w:rPr>
              <w:t>Capacity (Ah)</w:t>
            </w:r>
          </w:p>
        </w:tc>
        <w:tc>
          <w:tcPr>
            <w:tcW w:w="1508" w:type="dxa"/>
            <w:shd w:val="clear" w:color="auto" w:fill="F2F2F2"/>
          </w:tcPr>
          <w:p w14:paraId="048C55F5" w14:textId="77777777" w:rsidR="00AA77A7" w:rsidRPr="001E1536" w:rsidRDefault="00000000">
            <w:pPr>
              <w:rPr>
                <w:color w:val="EE0000"/>
              </w:rPr>
            </w:pPr>
            <w:r w:rsidRPr="001E1536">
              <w:rPr>
                <w:color w:val="EE0000"/>
                <w:sz w:val="17"/>
                <w:szCs w:val="17"/>
              </w:rPr>
              <w:t>120–150 Ah typical (130–200 Ah range)</w:t>
            </w:r>
          </w:p>
        </w:tc>
        <w:tc>
          <w:tcPr>
            <w:tcW w:w="1118" w:type="dxa"/>
            <w:shd w:val="clear" w:color="auto" w:fill="F2F2F2"/>
          </w:tcPr>
          <w:p w14:paraId="16CA47E3" w14:textId="77777777" w:rsidR="00AA77A7" w:rsidRPr="001E1536" w:rsidRDefault="00000000">
            <w:pPr>
              <w:rPr>
                <w:color w:val="EE0000"/>
              </w:rPr>
            </w:pPr>
            <w:r w:rsidRPr="001E1536">
              <w:rPr>
                <w:color w:val="EE0000"/>
                <w:sz w:val="17"/>
                <w:szCs w:val="17"/>
              </w:rPr>
              <w:t>100–150 Ah</w:t>
            </w:r>
          </w:p>
        </w:tc>
        <w:tc>
          <w:tcPr>
            <w:tcW w:w="1440" w:type="dxa"/>
            <w:shd w:val="clear" w:color="auto" w:fill="F2F2F2"/>
          </w:tcPr>
          <w:p w14:paraId="69348590" w14:textId="77777777" w:rsidR="00AA77A7" w:rsidRPr="001E1536" w:rsidRDefault="00000000">
            <w:pPr>
              <w:rPr>
                <w:color w:val="EE0000"/>
              </w:rPr>
            </w:pPr>
            <w:r w:rsidRPr="001E1536">
              <w:rPr>
                <w:color w:val="EE0000"/>
                <w:sz w:val="17"/>
                <w:szCs w:val="17"/>
              </w:rPr>
              <w:t>100–120 Ah</w:t>
            </w:r>
          </w:p>
        </w:tc>
        <w:tc>
          <w:tcPr>
            <w:tcW w:w="3240" w:type="dxa"/>
            <w:shd w:val="clear" w:color="auto" w:fill="F2F2F2"/>
          </w:tcPr>
          <w:p w14:paraId="1EF4C4B3" w14:textId="77777777" w:rsidR="00AA77A7" w:rsidRPr="001E1536" w:rsidRDefault="00000000">
            <w:pPr>
              <w:rPr>
                <w:color w:val="EE0000"/>
              </w:rPr>
            </w:pPr>
            <w:r w:rsidRPr="001E1536">
              <w:rPr>
                <w:color w:val="EE0000"/>
                <w:sz w:val="17"/>
                <w:szCs w:val="17"/>
              </w:rPr>
              <w:t xml:space="preserve">VERIFIED (MARKET/FIELD) — cross-check against current </w:t>
            </w:r>
            <w:proofErr w:type="spellStart"/>
            <w:r w:rsidRPr="001E1536">
              <w:rPr>
                <w:color w:val="EE0000"/>
                <w:sz w:val="17"/>
                <w:szCs w:val="17"/>
              </w:rPr>
              <w:t>Hamko</w:t>
            </w:r>
            <w:proofErr w:type="spellEnd"/>
            <w:r w:rsidRPr="001E1536">
              <w:rPr>
                <w:color w:val="EE0000"/>
                <w:sz w:val="17"/>
                <w:szCs w:val="17"/>
              </w:rPr>
              <w:t>/</w:t>
            </w:r>
            <w:proofErr w:type="spellStart"/>
            <w:r w:rsidRPr="001E1536">
              <w:rPr>
                <w:color w:val="EE0000"/>
                <w:sz w:val="17"/>
                <w:szCs w:val="17"/>
              </w:rPr>
              <w:t>Rahimafrooz</w:t>
            </w:r>
            <w:proofErr w:type="spellEnd"/>
            <w:r w:rsidRPr="001E1536">
              <w:rPr>
                <w:color w:val="EE0000"/>
                <w:sz w:val="17"/>
                <w:szCs w:val="17"/>
              </w:rPr>
              <w:t>/</w:t>
            </w:r>
            <w:proofErr w:type="spellStart"/>
            <w:r w:rsidRPr="001E1536">
              <w:rPr>
                <w:color w:val="EE0000"/>
                <w:sz w:val="17"/>
                <w:szCs w:val="17"/>
              </w:rPr>
              <w:t>Rimso</w:t>
            </w:r>
            <w:proofErr w:type="spellEnd"/>
            <w:r w:rsidRPr="001E1536">
              <w:rPr>
                <w:color w:val="EE0000"/>
                <w:sz w:val="17"/>
                <w:szCs w:val="17"/>
              </w:rPr>
              <w:t xml:space="preserve"> catalogs; figures are order-of-magnitude consistent but should be re-confirmed at time of writing since specs change.</w:t>
            </w:r>
          </w:p>
        </w:tc>
        <w:tc>
          <w:tcPr>
            <w:tcW w:w="885" w:type="dxa"/>
            <w:shd w:val="clear" w:color="auto" w:fill="F2F2F2"/>
          </w:tcPr>
          <w:p w14:paraId="2F2AC345" w14:textId="77777777" w:rsidR="00AA77A7" w:rsidRPr="001E1536" w:rsidRDefault="00000000">
            <w:pPr>
              <w:rPr>
                <w:color w:val="EE0000"/>
              </w:rPr>
            </w:pPr>
            <w:r w:rsidRPr="001E1536">
              <w:rPr>
                <w:color w:val="EE0000"/>
                <w:sz w:val="17"/>
                <w:szCs w:val="17"/>
              </w:rPr>
              <w:t>[1]</w:t>
            </w:r>
          </w:p>
        </w:tc>
      </w:tr>
      <w:tr w:rsidR="00AA77A7" w14:paraId="4435C545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FFFFF"/>
          </w:tcPr>
          <w:p w14:paraId="7B7F9E5D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Manufacturers</w:t>
            </w:r>
          </w:p>
        </w:tc>
        <w:tc>
          <w:tcPr>
            <w:tcW w:w="1508" w:type="dxa"/>
            <w:shd w:val="clear" w:color="auto" w:fill="FFFFFF"/>
          </w:tcPr>
          <w:p w14:paraId="69EB4FD7" w14:textId="77777777" w:rsidR="00AA77A7" w:rsidRPr="00D92CDC" w:rsidRDefault="00000000">
            <w:pPr>
              <w:rPr>
                <w:color w:val="EE0000"/>
              </w:rPr>
            </w:pPr>
            <w:proofErr w:type="spellStart"/>
            <w:r w:rsidRPr="00D92CDC">
              <w:rPr>
                <w:color w:val="EE0000"/>
                <w:sz w:val="17"/>
                <w:szCs w:val="17"/>
              </w:rPr>
              <w:t>Hamko</w:t>
            </w:r>
            <w:proofErr w:type="spellEnd"/>
            <w:r w:rsidRPr="00D92CDC">
              <w:rPr>
                <w:color w:val="EE0000"/>
                <w:sz w:val="17"/>
                <w:szCs w:val="17"/>
              </w:rPr>
              <w:t xml:space="preserve">, </w:t>
            </w:r>
            <w:proofErr w:type="spellStart"/>
            <w:r w:rsidRPr="00D92CDC">
              <w:rPr>
                <w:color w:val="EE0000"/>
                <w:sz w:val="17"/>
                <w:szCs w:val="17"/>
              </w:rPr>
              <w:t>Rahimafrooz</w:t>
            </w:r>
            <w:proofErr w:type="spellEnd"/>
            <w:r w:rsidRPr="00D92CDC">
              <w:rPr>
                <w:color w:val="EE0000"/>
                <w:sz w:val="17"/>
                <w:szCs w:val="17"/>
              </w:rPr>
              <w:t xml:space="preserve">, Lucas, </w:t>
            </w:r>
            <w:proofErr w:type="spellStart"/>
            <w:r w:rsidRPr="00D92CDC">
              <w:rPr>
                <w:color w:val="EE0000"/>
                <w:sz w:val="17"/>
                <w:szCs w:val="17"/>
              </w:rPr>
              <w:t>Rimso</w:t>
            </w:r>
            <w:proofErr w:type="spellEnd"/>
            <w:r w:rsidRPr="00D92CDC">
              <w:rPr>
                <w:color w:val="EE0000"/>
                <w:sz w:val="17"/>
                <w:szCs w:val="17"/>
              </w:rPr>
              <w:t xml:space="preserve"> (domestic)</w:t>
            </w:r>
          </w:p>
        </w:tc>
        <w:tc>
          <w:tcPr>
            <w:tcW w:w="1118" w:type="dxa"/>
            <w:shd w:val="clear" w:color="auto" w:fill="FFFFFF"/>
          </w:tcPr>
          <w:p w14:paraId="0362E744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EVE, CATL, GOTION (imported cells, local pack assembly)</w:t>
            </w:r>
          </w:p>
        </w:tc>
        <w:tc>
          <w:tcPr>
            <w:tcW w:w="1440" w:type="dxa"/>
            <w:shd w:val="clear" w:color="auto" w:fill="FFFFFF"/>
          </w:tcPr>
          <w:p w14:paraId="044ECE5C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LG Energy, Samsung SDI, BAK (imported modules)</w:t>
            </w:r>
          </w:p>
        </w:tc>
        <w:tc>
          <w:tcPr>
            <w:tcW w:w="3240" w:type="dxa"/>
            <w:shd w:val="clear" w:color="auto" w:fill="FFFFFF"/>
          </w:tcPr>
          <w:p w14:paraId="5E4F4ACE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VERIFIED (MARKET/FIELD) — all real, active companies; confirm current BD market presence via company sites or SREDA survey directly.</w:t>
            </w:r>
          </w:p>
        </w:tc>
        <w:tc>
          <w:tcPr>
            <w:tcW w:w="885" w:type="dxa"/>
            <w:shd w:val="clear" w:color="auto" w:fill="FFFFFF"/>
          </w:tcPr>
          <w:p w14:paraId="22F5A132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[1]</w:t>
            </w:r>
          </w:p>
        </w:tc>
      </w:tr>
      <w:tr w:rsidR="00AA77A7" w14:paraId="25BA1BA3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2F2F2"/>
          </w:tcPr>
          <w:p w14:paraId="5DDDB431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Price (BDT)</w:t>
            </w:r>
          </w:p>
        </w:tc>
        <w:tc>
          <w:tcPr>
            <w:tcW w:w="1508" w:type="dxa"/>
            <w:shd w:val="clear" w:color="auto" w:fill="F2F2F2"/>
          </w:tcPr>
          <w:p w14:paraId="1D56AA9F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70,000–90,000 (set of 4)</w:t>
            </w:r>
          </w:p>
        </w:tc>
        <w:tc>
          <w:tcPr>
            <w:tcW w:w="1118" w:type="dxa"/>
            <w:shd w:val="clear" w:color="auto" w:fill="F2F2F2"/>
          </w:tcPr>
          <w:p w14:paraId="20DC620A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120,000–150,000 (pack w/ BMS)</w:t>
            </w:r>
          </w:p>
        </w:tc>
        <w:tc>
          <w:tcPr>
            <w:tcW w:w="1440" w:type="dxa"/>
            <w:shd w:val="clear" w:color="auto" w:fill="F2F2F2"/>
          </w:tcPr>
          <w:p w14:paraId="41A9F006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110,000–140,000 (pack w/ BMS)</w:t>
            </w:r>
          </w:p>
        </w:tc>
        <w:tc>
          <w:tcPr>
            <w:tcW w:w="3240" w:type="dxa"/>
            <w:shd w:val="clear" w:color="auto" w:fill="F2F2F2"/>
          </w:tcPr>
          <w:p w14:paraId="2F6A0094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VERIFIED (MARKET/FIELD) but TIME-SENSITIVE — re-check current Daraz BD / vendor listings at time of submission; prices move.</w:t>
            </w:r>
          </w:p>
        </w:tc>
        <w:tc>
          <w:tcPr>
            <w:tcW w:w="885" w:type="dxa"/>
            <w:shd w:val="clear" w:color="auto" w:fill="F2F2F2"/>
          </w:tcPr>
          <w:p w14:paraId="10A504E9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[1]</w:t>
            </w:r>
          </w:p>
        </w:tc>
      </w:tr>
      <w:tr w:rsidR="00AA77A7" w14:paraId="7D9ED7F6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FFFFF"/>
          </w:tcPr>
          <w:p w14:paraId="6FC31082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Lifetime (months)</w:t>
            </w:r>
          </w:p>
        </w:tc>
        <w:tc>
          <w:tcPr>
            <w:tcW w:w="1508" w:type="dxa"/>
            <w:shd w:val="clear" w:color="auto" w:fill="FFFFFF"/>
          </w:tcPr>
          <w:p w14:paraId="295D3254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12–18 months</w:t>
            </w:r>
          </w:p>
        </w:tc>
        <w:tc>
          <w:tcPr>
            <w:tcW w:w="1118" w:type="dxa"/>
            <w:shd w:val="clear" w:color="auto" w:fill="FFFFFF"/>
          </w:tcPr>
          <w:p w14:paraId="776097F4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60–84 months</w:t>
            </w:r>
          </w:p>
        </w:tc>
        <w:tc>
          <w:tcPr>
            <w:tcW w:w="1440" w:type="dxa"/>
            <w:shd w:val="clear" w:color="auto" w:fill="FFFFFF"/>
          </w:tcPr>
          <w:p w14:paraId="4FB26ADE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36–48 months</w:t>
            </w:r>
          </w:p>
        </w:tc>
        <w:tc>
          <w:tcPr>
            <w:tcW w:w="3240" w:type="dxa"/>
            <w:shd w:val="clear" w:color="auto" w:fill="FFFFFF"/>
          </w:tcPr>
          <w:p w14:paraId="0ABAB0FA" w14:textId="77777777" w:rsidR="00AA77A7" w:rsidRPr="00D92CDC" w:rsidRDefault="00000000">
            <w:pPr>
              <w:rPr>
                <w:color w:val="EE0000"/>
              </w:rPr>
            </w:pPr>
            <w:r w:rsidRPr="00D92CDC">
              <w:rPr>
                <w:color w:val="EE0000"/>
                <w:sz w:val="17"/>
                <w:szCs w:val="17"/>
              </w:rPr>
              <w:t>Directionally consistent with [4]'s cycle-life data converted to calendar time at typical BD daily-cycle rates, but the exact month ranges are not directly stated in [4] — treat as a derived estimate and say so in your paper.</w:t>
            </w:r>
          </w:p>
        </w:tc>
        <w:tc>
          <w:tcPr>
            <w:tcW w:w="885" w:type="dxa"/>
            <w:shd w:val="clear" w:color="auto" w:fill="FFFFFF"/>
          </w:tcPr>
          <w:p w14:paraId="372410A2" w14:textId="77777777" w:rsidR="00AA77A7" w:rsidRDefault="00000000">
            <w:r>
              <w:rPr>
                <w:sz w:val="17"/>
                <w:szCs w:val="17"/>
              </w:rPr>
              <w:t>[4] (derived)</w:t>
            </w:r>
          </w:p>
        </w:tc>
      </w:tr>
      <w:tr w:rsidR="00AA77A7" w14:paraId="238BA24E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2F2F2"/>
          </w:tcPr>
          <w:p w14:paraId="51CFF2A6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Scrap/Recycling Value</w:t>
            </w:r>
          </w:p>
        </w:tc>
        <w:tc>
          <w:tcPr>
            <w:tcW w:w="1508" w:type="dxa"/>
            <w:shd w:val="clear" w:color="auto" w:fill="F2F2F2"/>
          </w:tcPr>
          <w:p w14:paraId="319CB4EE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25–35% of original value</w:t>
            </w:r>
          </w:p>
        </w:tc>
        <w:tc>
          <w:tcPr>
            <w:tcW w:w="1118" w:type="dxa"/>
            <w:shd w:val="clear" w:color="auto" w:fill="F2F2F2"/>
          </w:tcPr>
          <w:p w14:paraId="63D5D424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5–10%</w:t>
            </w:r>
          </w:p>
        </w:tc>
        <w:tc>
          <w:tcPr>
            <w:tcW w:w="1440" w:type="dxa"/>
            <w:shd w:val="clear" w:color="auto" w:fill="F2F2F2"/>
          </w:tcPr>
          <w:p w14:paraId="1D386670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5–8%</w:t>
            </w:r>
          </w:p>
        </w:tc>
        <w:tc>
          <w:tcPr>
            <w:tcW w:w="3240" w:type="dxa"/>
            <w:shd w:val="clear" w:color="auto" w:fill="F2F2F2"/>
          </w:tcPr>
          <w:p w14:paraId="17BE85BF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COULD NOT independently verify these percentages against [1] or any real paper. Widely reported in BD press that lead-acid recycling is well-established (see Daily Star ULAB coverage), but the specific % figures need your own scrap-market survey citation.</w:t>
            </w:r>
          </w:p>
        </w:tc>
        <w:tc>
          <w:tcPr>
            <w:tcW w:w="885" w:type="dxa"/>
            <w:shd w:val="clear" w:color="auto" w:fill="F2F2F2"/>
          </w:tcPr>
          <w:p w14:paraId="031DA690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Needs field source</w:t>
            </w:r>
          </w:p>
        </w:tc>
      </w:tr>
      <w:tr w:rsidR="00AA77A7" w14:paraId="6717378E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FFFFF"/>
          </w:tcPr>
          <w:p w14:paraId="3EDE4276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Daily Cycles</w:t>
            </w:r>
          </w:p>
        </w:tc>
        <w:tc>
          <w:tcPr>
            <w:tcW w:w="1508" w:type="dxa"/>
            <w:shd w:val="clear" w:color="auto" w:fill="FFFFFF"/>
          </w:tcPr>
          <w:p w14:paraId="6FA87537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1.0–1.5 cycles/day</w:t>
            </w:r>
          </w:p>
        </w:tc>
        <w:tc>
          <w:tcPr>
            <w:tcW w:w="1118" w:type="dxa"/>
            <w:shd w:val="clear" w:color="auto" w:fill="FFFFFF"/>
          </w:tcPr>
          <w:p w14:paraId="2CA5C2B5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1.5–2.0 cycles/day</w:t>
            </w:r>
          </w:p>
        </w:tc>
        <w:tc>
          <w:tcPr>
            <w:tcW w:w="1440" w:type="dxa"/>
            <w:shd w:val="clear" w:color="auto" w:fill="FFFFFF"/>
          </w:tcPr>
          <w:p w14:paraId="6E2B59D1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1.5–1.8 cycles/day</w:t>
            </w:r>
          </w:p>
        </w:tc>
        <w:tc>
          <w:tcPr>
            <w:tcW w:w="3240" w:type="dxa"/>
            <w:shd w:val="clear" w:color="auto" w:fill="FFFFFF"/>
          </w:tcPr>
          <w:p w14:paraId="10218C62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Plausible operational pattern but NOT directly stated in [1] — this needs to be your own primary field-survey data, cited as such (e.g., "Author's driver survey, n=__, 2026") rather than attributed to [1].</w:t>
            </w:r>
          </w:p>
        </w:tc>
        <w:tc>
          <w:tcPr>
            <w:tcW w:w="885" w:type="dxa"/>
            <w:shd w:val="clear" w:color="auto" w:fill="FFFFFF"/>
          </w:tcPr>
          <w:p w14:paraId="72133CFA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Needs field source</w:t>
            </w:r>
          </w:p>
        </w:tc>
      </w:tr>
      <w:tr w:rsidR="00AA77A7" w14:paraId="00B7FA0C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2F2F2"/>
          </w:tcPr>
          <w:p w14:paraId="00BB42CB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Temperature Threshold (ambient)</w:t>
            </w:r>
          </w:p>
        </w:tc>
        <w:tc>
          <w:tcPr>
            <w:tcW w:w="1508" w:type="dxa"/>
            <w:shd w:val="clear" w:color="auto" w:fill="F2F2F2"/>
          </w:tcPr>
          <w:p w14:paraId="2AFE110E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25–38°C safe range</w:t>
            </w:r>
          </w:p>
        </w:tc>
        <w:tc>
          <w:tcPr>
            <w:tcW w:w="1118" w:type="dxa"/>
            <w:shd w:val="clear" w:color="auto" w:fill="F2F2F2"/>
          </w:tcPr>
          <w:p w14:paraId="6FE11F79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25–45°C safe range</w:t>
            </w:r>
          </w:p>
        </w:tc>
        <w:tc>
          <w:tcPr>
            <w:tcW w:w="1440" w:type="dxa"/>
            <w:shd w:val="clear" w:color="auto" w:fill="F2F2F2"/>
          </w:tcPr>
          <w:p w14:paraId="2A81650C" w14:textId="2AEFC462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 xml:space="preserve">20–35°C, active thermal </w:t>
            </w:r>
            <w:r w:rsidR="000919AC" w:rsidRPr="00F44B1A">
              <w:rPr>
                <w:color w:val="EE0000"/>
                <w:sz w:val="17"/>
                <w:szCs w:val="17"/>
              </w:rPr>
              <w:t>mgmt.</w:t>
            </w:r>
            <w:r w:rsidRPr="00F44B1A">
              <w:rPr>
                <w:color w:val="EE0000"/>
                <w:sz w:val="17"/>
                <w:szCs w:val="17"/>
              </w:rPr>
              <w:t xml:space="preserve"> required</w:t>
            </w:r>
          </w:p>
        </w:tc>
        <w:tc>
          <w:tcPr>
            <w:tcW w:w="3240" w:type="dxa"/>
            <w:shd w:val="clear" w:color="auto" w:fill="F2F2F2"/>
          </w:tcPr>
          <w:p w14:paraId="410E57CC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t>Broadly consistent with [5]'s findings on NMC's greater temperature sensitivity, but the exact ambient-range numbers are not from a BD-specific study — cite as INDUSTRY-</w:t>
            </w:r>
            <w:r w:rsidRPr="00F44B1A">
              <w:rPr>
                <w:color w:val="EE0000"/>
                <w:sz w:val="17"/>
                <w:szCs w:val="17"/>
              </w:rPr>
              <w:lastRenderedPageBreak/>
              <w:t>TYPICAL plus BMD (Bangladesh Meteorological Department) for local ambient baseline.</w:t>
            </w:r>
          </w:p>
        </w:tc>
        <w:tc>
          <w:tcPr>
            <w:tcW w:w="885" w:type="dxa"/>
            <w:shd w:val="clear" w:color="auto" w:fill="F2F2F2"/>
          </w:tcPr>
          <w:p w14:paraId="5E4B102A" w14:textId="77777777" w:rsidR="00AA77A7" w:rsidRPr="00F44B1A" w:rsidRDefault="00000000">
            <w:pPr>
              <w:rPr>
                <w:color w:val="EE0000"/>
              </w:rPr>
            </w:pPr>
            <w:r w:rsidRPr="00F44B1A">
              <w:rPr>
                <w:color w:val="EE0000"/>
                <w:sz w:val="17"/>
                <w:szCs w:val="17"/>
              </w:rPr>
              <w:lastRenderedPageBreak/>
              <w:t>[5] + BMD</w:t>
            </w:r>
          </w:p>
        </w:tc>
      </w:tr>
      <w:tr w:rsidR="00AA77A7" w14:paraId="504BDF9F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FFFFF"/>
          </w:tcPr>
          <w:p w14:paraId="2D004938" w14:textId="77777777" w:rsidR="00AA77A7" w:rsidRDefault="00000000">
            <w:r>
              <w:rPr>
                <w:sz w:val="17"/>
                <w:szCs w:val="17"/>
              </w:rPr>
              <w:t>Electricity Tariff</w:t>
            </w:r>
          </w:p>
        </w:tc>
        <w:tc>
          <w:tcPr>
            <w:tcW w:w="1508" w:type="dxa"/>
            <w:shd w:val="clear" w:color="auto" w:fill="FFFFFF"/>
          </w:tcPr>
          <w:p w14:paraId="7F05BF49" w14:textId="77777777" w:rsidR="00AA77A7" w:rsidRDefault="00000000">
            <w:r>
              <w:rPr>
                <w:sz w:val="17"/>
                <w:szCs w:val="17"/>
              </w:rPr>
              <w:t>BDT (current LT-D3 rate) — see note</w:t>
            </w:r>
          </w:p>
        </w:tc>
        <w:tc>
          <w:tcPr>
            <w:tcW w:w="1118" w:type="dxa"/>
            <w:shd w:val="clear" w:color="auto" w:fill="FFFFFF"/>
          </w:tcPr>
          <w:p w14:paraId="1A8845FA" w14:textId="77777777" w:rsidR="00AA77A7" w:rsidRDefault="00000000">
            <w:r>
              <w:rPr>
                <w:sz w:val="17"/>
                <w:szCs w:val="17"/>
              </w:rPr>
              <w:t>same</w:t>
            </w:r>
          </w:p>
        </w:tc>
        <w:tc>
          <w:tcPr>
            <w:tcW w:w="1440" w:type="dxa"/>
            <w:shd w:val="clear" w:color="auto" w:fill="FFFFFF"/>
          </w:tcPr>
          <w:p w14:paraId="78F139A5" w14:textId="77777777" w:rsidR="00AA77A7" w:rsidRDefault="00000000">
            <w:r>
              <w:rPr>
                <w:sz w:val="17"/>
                <w:szCs w:val="17"/>
              </w:rPr>
              <w:t>same</w:t>
            </w:r>
          </w:p>
        </w:tc>
        <w:tc>
          <w:tcPr>
            <w:tcW w:w="3240" w:type="dxa"/>
            <w:shd w:val="clear" w:color="auto" w:fill="FFFFFF"/>
          </w:tcPr>
          <w:p w14:paraId="593D6720" w14:textId="77777777" w:rsidR="00AA77A7" w:rsidRDefault="00000000">
            <w:r>
              <w:rPr>
                <w:sz w:val="17"/>
                <w:szCs w:val="17"/>
              </w:rPr>
              <w:t xml:space="preserve">COULD NOT confirm 7.70/16.24 as current. Pull the live number from </w:t>
            </w:r>
            <w:proofErr w:type="spellStart"/>
            <w:r>
              <w:rPr>
                <w:sz w:val="17"/>
                <w:szCs w:val="17"/>
              </w:rPr>
              <w:t>berc.org.bd's</w:t>
            </w:r>
            <w:proofErr w:type="spellEnd"/>
            <w:r>
              <w:rPr>
                <w:sz w:val="17"/>
                <w:szCs w:val="17"/>
              </w:rPr>
              <w:t xml:space="preserve"> current Electricity Tariff Order before submission — this is a fast-changing regulated figure.</w:t>
            </w:r>
          </w:p>
        </w:tc>
        <w:tc>
          <w:tcPr>
            <w:tcW w:w="885" w:type="dxa"/>
            <w:shd w:val="clear" w:color="auto" w:fill="FFFFFF"/>
          </w:tcPr>
          <w:p w14:paraId="23AA1DF4" w14:textId="77777777" w:rsidR="00AA77A7" w:rsidRDefault="00000000">
            <w:r>
              <w:rPr>
                <w:sz w:val="17"/>
                <w:szCs w:val="17"/>
              </w:rPr>
              <w:t>[2] (re-verify)</w:t>
            </w:r>
          </w:p>
        </w:tc>
      </w:tr>
      <w:tr w:rsidR="00AA77A7" w14:paraId="1D941AE0" w14:textId="77777777" w:rsidTr="000919AC">
        <w:tblPrEx>
          <w:tblCellMar>
            <w:top w:w="0" w:type="dxa"/>
            <w:bottom w:w="0" w:type="dxa"/>
          </w:tblCellMar>
        </w:tblPrEx>
        <w:tc>
          <w:tcPr>
            <w:tcW w:w="1509" w:type="dxa"/>
            <w:shd w:val="clear" w:color="auto" w:fill="F2F2F2"/>
          </w:tcPr>
          <w:p w14:paraId="09CEC9A1" w14:textId="77777777" w:rsidR="00AA77A7" w:rsidRDefault="00000000">
            <w:r>
              <w:rPr>
                <w:sz w:val="17"/>
                <w:szCs w:val="17"/>
              </w:rPr>
              <w:t>Active Vehicle Count</w:t>
            </w:r>
          </w:p>
        </w:tc>
        <w:tc>
          <w:tcPr>
            <w:tcW w:w="1508" w:type="dxa"/>
            <w:shd w:val="clear" w:color="auto" w:fill="F2F2F2"/>
          </w:tcPr>
          <w:p w14:paraId="5D19EA6C" w14:textId="77777777" w:rsidR="00AA77A7" w:rsidRDefault="00000000">
            <w:r>
              <w:rPr>
                <w:sz w:val="17"/>
                <w:szCs w:val="17"/>
              </w:rPr>
              <w:t>~1.4M total (all chemistries combined)</w:t>
            </w:r>
          </w:p>
        </w:tc>
        <w:tc>
          <w:tcPr>
            <w:tcW w:w="1118" w:type="dxa"/>
            <w:shd w:val="clear" w:color="auto" w:fill="F2F2F2"/>
          </w:tcPr>
          <w:p w14:paraId="46430F45" w14:textId="77777777" w:rsidR="00AA77A7" w:rsidRDefault="00000000">
            <w:r>
              <w:rPr>
                <w:sz w:val="17"/>
                <w:szCs w:val="17"/>
              </w:rPr>
              <w:t>Not broken out in [1]</w:t>
            </w:r>
          </w:p>
        </w:tc>
        <w:tc>
          <w:tcPr>
            <w:tcW w:w="1440" w:type="dxa"/>
            <w:shd w:val="clear" w:color="auto" w:fill="F2F2F2"/>
          </w:tcPr>
          <w:p w14:paraId="15ADA256" w14:textId="77777777" w:rsidR="00AA77A7" w:rsidRDefault="00000000">
            <w:r>
              <w:rPr>
                <w:sz w:val="17"/>
                <w:szCs w:val="17"/>
              </w:rPr>
              <w:t>Not broken out in [1]</w:t>
            </w:r>
          </w:p>
        </w:tc>
        <w:tc>
          <w:tcPr>
            <w:tcW w:w="3240" w:type="dxa"/>
            <w:shd w:val="clear" w:color="auto" w:fill="F2F2F2"/>
          </w:tcPr>
          <w:p w14:paraId="41396FAB" w14:textId="77777777" w:rsidR="00AA77A7" w:rsidRDefault="00000000">
            <w:r>
              <w:rPr>
                <w:sz w:val="17"/>
                <w:szCs w:val="17"/>
              </w:rPr>
              <w:t>[1] confirms ~1.4M total easy-bikes nationally. The by-chemistry split in your original table (85–90%/8–12%/2–3%) is NOT supported by [1], [6], or any source I could find — remove it or replace with your own estimate, clearly labeled.</w:t>
            </w:r>
          </w:p>
        </w:tc>
        <w:tc>
          <w:tcPr>
            <w:tcW w:w="885" w:type="dxa"/>
            <w:shd w:val="clear" w:color="auto" w:fill="F2F2F2"/>
          </w:tcPr>
          <w:p w14:paraId="537DD653" w14:textId="77777777" w:rsidR="00AA77A7" w:rsidRDefault="00000000">
            <w:r>
              <w:rPr>
                <w:sz w:val="17"/>
                <w:szCs w:val="17"/>
              </w:rPr>
              <w:t>[1] (total only)</w:t>
            </w:r>
          </w:p>
        </w:tc>
      </w:tr>
    </w:tbl>
    <w:p w14:paraId="55D7CC5B" w14:textId="77777777" w:rsidR="00AA77A7" w:rsidRDefault="00000000">
      <w:pPr>
        <w:pStyle w:val="Heading1"/>
        <w:spacing w:before="280" w:after="120"/>
      </w:pPr>
      <w:r>
        <w:t>4. What Still Needs You (I could not verify these no matter how I searched)</w:t>
      </w:r>
    </w:p>
    <w:p w14:paraId="52C795C0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>Scrap/recycling value percentages by chemistry — needs a real scrap-market survey citation.</w:t>
      </w:r>
    </w:p>
    <w:p w14:paraId="4DC8C6A8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>Daily cycling behavior by chemistry — needs your own driver-survey data, properly cited as primary research, not attributed to [1].</w:t>
      </w:r>
    </w:p>
    <w:p w14:paraId="2A7A080E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>Fleet count broken down by battery chemistry — no public source states this; either survey it yourself or clearly label it as an estimate, not a citation.</w:t>
      </w:r>
    </w:p>
    <w:p w14:paraId="2693BF94" w14:textId="77777777" w:rsidR="00AA77A7" w:rsidRDefault="00000000">
      <w:pPr>
        <w:pStyle w:val="ListParagraph"/>
        <w:numPr>
          <w:ilvl w:val="0"/>
          <w:numId w:val="1"/>
        </w:numPr>
        <w:spacing w:after="60"/>
      </w:pPr>
      <w:r>
        <w:t xml:space="preserve">Current BERC EV tariff rate — </w:t>
      </w:r>
      <w:proofErr w:type="gramStart"/>
      <w:r>
        <w:t>this changes</w:t>
      </w:r>
      <w:proofErr w:type="gramEnd"/>
      <w:r>
        <w:t>; pull the live figure right before you submit, don't reuse an old number.</w:t>
      </w:r>
    </w:p>
    <w:p w14:paraId="0D2956FA" w14:textId="77777777" w:rsidR="00AA77A7" w:rsidRDefault="00000000">
      <w:pPr>
        <w:pStyle w:val="Heading1"/>
        <w:spacing w:before="280" w:after="120"/>
      </w:pPr>
      <w:r>
        <w:t>5. Net Effect on Your Paper</w:t>
      </w:r>
    </w:p>
    <w:p w14:paraId="05FA6FDE" w14:textId="77777777" w:rsidR="00AA77A7" w:rsidRDefault="00000000">
      <w:pPr>
        <w:spacing w:after="120"/>
      </w:pPr>
      <w:r>
        <w:t>You now have 6 real, checkable references instead of 7 (3 of which were fabricated). Every number in the table above is labeled so you know exactly which claims are safe to defend to a reviewer, which are honest industry approximations, and which still need your own primary data before this goes to a conference. I'd suggest explicitly stating your driver-survey methodology (sample size, location, dates) for any row marked "Needs field source" — that's normal and expected for this kind of paper, it just needs to be labeled as your own fieldwork rather than a citation.</w:t>
      </w:r>
    </w:p>
    <w:sectPr w:rsidR="00AA77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5D8"/>
    <w:multiLevelType w:val="hybridMultilevel"/>
    <w:tmpl w:val="FE0A5A3E"/>
    <w:lvl w:ilvl="0" w:tplc="77FED2D8">
      <w:start w:val="1"/>
      <w:numFmt w:val="bullet"/>
      <w:lvlText w:val="●"/>
      <w:lvlJc w:val="left"/>
      <w:pPr>
        <w:ind w:left="720" w:hanging="360"/>
      </w:pPr>
    </w:lvl>
    <w:lvl w:ilvl="1" w:tplc="38268FF6">
      <w:start w:val="1"/>
      <w:numFmt w:val="bullet"/>
      <w:lvlText w:val="○"/>
      <w:lvlJc w:val="left"/>
      <w:pPr>
        <w:ind w:left="1440" w:hanging="360"/>
      </w:pPr>
    </w:lvl>
    <w:lvl w:ilvl="2" w:tplc="43D0F8A0">
      <w:start w:val="1"/>
      <w:numFmt w:val="bullet"/>
      <w:lvlText w:val="■"/>
      <w:lvlJc w:val="left"/>
      <w:pPr>
        <w:ind w:left="2160" w:hanging="360"/>
      </w:pPr>
    </w:lvl>
    <w:lvl w:ilvl="3" w:tplc="C778FB68">
      <w:start w:val="1"/>
      <w:numFmt w:val="bullet"/>
      <w:lvlText w:val="●"/>
      <w:lvlJc w:val="left"/>
      <w:pPr>
        <w:ind w:left="2880" w:hanging="360"/>
      </w:pPr>
    </w:lvl>
    <w:lvl w:ilvl="4" w:tplc="5902174E">
      <w:start w:val="1"/>
      <w:numFmt w:val="bullet"/>
      <w:lvlText w:val="○"/>
      <w:lvlJc w:val="left"/>
      <w:pPr>
        <w:ind w:left="3600" w:hanging="360"/>
      </w:pPr>
    </w:lvl>
    <w:lvl w:ilvl="5" w:tplc="56067BDE">
      <w:start w:val="1"/>
      <w:numFmt w:val="bullet"/>
      <w:lvlText w:val="■"/>
      <w:lvlJc w:val="left"/>
      <w:pPr>
        <w:ind w:left="4320" w:hanging="360"/>
      </w:pPr>
    </w:lvl>
    <w:lvl w:ilvl="6" w:tplc="4EEE5AD0">
      <w:start w:val="1"/>
      <w:numFmt w:val="bullet"/>
      <w:lvlText w:val="●"/>
      <w:lvlJc w:val="left"/>
      <w:pPr>
        <w:ind w:left="5040" w:hanging="360"/>
      </w:pPr>
    </w:lvl>
    <w:lvl w:ilvl="7" w:tplc="6CB49134">
      <w:start w:val="1"/>
      <w:numFmt w:val="bullet"/>
      <w:lvlText w:val="●"/>
      <w:lvlJc w:val="left"/>
      <w:pPr>
        <w:ind w:left="5760" w:hanging="360"/>
      </w:pPr>
    </w:lvl>
    <w:lvl w:ilvl="8" w:tplc="E54ADD10">
      <w:start w:val="1"/>
      <w:numFmt w:val="bullet"/>
      <w:lvlText w:val="●"/>
      <w:lvlJc w:val="left"/>
      <w:pPr>
        <w:ind w:left="6480" w:hanging="360"/>
      </w:pPr>
    </w:lvl>
  </w:abstractNum>
  <w:num w:numId="1" w16cid:durableId="1875387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7A7"/>
    <w:rsid w:val="000919AC"/>
    <w:rsid w:val="001E1536"/>
    <w:rsid w:val="00AA77A7"/>
    <w:rsid w:val="00D92CDC"/>
    <w:rsid w:val="00F42EFE"/>
    <w:rsid w:val="00F4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67AD"/>
  <w15:docId w15:val="{8A8430FA-547C-473A-B01B-0E355F8C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Razowan Kabir</cp:lastModifiedBy>
  <cp:revision>2</cp:revision>
  <dcterms:created xsi:type="dcterms:W3CDTF">2026-08-23T05:10:00Z</dcterms:created>
  <dcterms:modified xsi:type="dcterms:W3CDTF">2026-08-23T05:56:00Z</dcterms:modified>
</cp:coreProperties>
</file>