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555555"/>
          <w:sz w:val="24"/>
          <w:szCs w:val="24"/>
        </w:rPr>
        <w:t xml:space="preserve">Field Survey Note</w:t>
      </w:r>
    </w:p>
    <w:p>
      <w:pPr>
        <w:spacing w:after="160"/>
        <w:jc w:val="center"/>
      </w:pPr>
      <w:r>
        <w:rPr>
          <w:rFonts w:ascii="Times New Roman" w:cs="Times New Roman" w:eastAsia="Times New Roman" w:hAnsi="Times New Roman"/>
          <w:b/>
          <w:bCs/>
          <w:sz w:val="34"/>
          <w:szCs w:val="34"/>
        </w:rPr>
        <w:t xml:space="preserve">Battery Use, Degradation and Charging Behaviour of Easy-Bikes / E-Rickshaws in Bangladesh</w:t>
      </w:r>
    </w:p>
    <w:p>
      <w:pPr>
        <w:spacing w:after="40"/>
        <w:jc w:val="center"/>
      </w:pPr>
      <w:r>
        <w:rPr>
          <w:rFonts w:ascii="Times New Roman" w:cs="Times New Roman" w:eastAsia="Times New Roman" w:hAnsi="Times New Roman"/>
          <w:sz w:val="23"/>
          <w:szCs w:val="23"/>
        </w:rPr>
        <w:t xml:space="preserve">Razowan Kabir</w:t>
      </w:r>
    </w:p>
    <w:p>
      <w:pPr>
        <w:spacing w:after="40"/>
        <w:jc w:val="center"/>
      </w:pPr>
      <w:r>
        <w:rPr>
          <w:rFonts w:ascii="Times New Roman" w:cs="Times New Roman" w:eastAsia="Times New Roman" w:hAnsi="Times New Roman"/>
          <w:sz w:val="22"/>
          <w:szCs w:val="22"/>
        </w:rPr>
        <w:t xml:space="preserve">MSc Student, Department of Electrical and Electronic Engineering</w:t>
      </w:r>
    </w:p>
    <w:p>
      <w:pPr>
        <w:spacing w:after="40"/>
        <w:jc w:val="center"/>
      </w:pPr>
      <w:r>
        <w:rPr>
          <w:rFonts w:ascii="Times New Roman" w:cs="Times New Roman" w:eastAsia="Times New Roman" w:hAnsi="Times New Roman"/>
          <w:sz w:val="22"/>
          <w:szCs w:val="22"/>
        </w:rPr>
        <w:t xml:space="preserve">Khulna University of Engineering &amp; Technology (KUET), Khulna</w:t>
      </w:r>
    </w:p>
    <w:p>
      <w:pPr>
        <w:pBdr>
          <w:bottom w:val="single" w:color="333333" w:sz="6" w:space="6"/>
        </w:pBdr>
        <w:spacing w:after="240"/>
        <w:jc w:val="center"/>
      </w:pPr>
      <w:r>
        <w:rPr>
          <w:rFonts w:ascii="Times New Roman" w:cs="Times New Roman" w:eastAsia="Times New Roman" w:hAnsi="Times New Roman"/>
          <w:sz w:val="22"/>
          <w:szCs w:val="22"/>
        </w:rPr>
        <w:t xml:space="preserve">October 2026</w:t>
      </w:r>
    </w:p>
    <w:p>
      <w:pPr>
        <w:pStyle w:val="Heading1"/>
        <w:spacing w:after="140" w:before="300"/>
      </w:pPr>
      <w:r>
        <w:rPr>
          <w:rFonts w:ascii="Times New Roman" w:cs="Times New Roman" w:eastAsia="Times New Roman" w:hAnsi="Times New Roman"/>
          <w:b/>
          <w:bCs/>
          <w:sz w:val="28"/>
          <w:szCs w:val="28"/>
        </w:rPr>
        <w:t xml:space="preserve">1. Summary</w:t>
      </w:r>
    </w:p>
    <w:p>
      <w:pPr>
        <w:spacing w:after="120" w:line="276"/>
        <w:jc w:val="both"/>
      </w:pPr>
      <w:r>
        <w:rPr>
          <w:rFonts w:ascii="Times New Roman" w:cs="Times New Roman" w:eastAsia="Times New Roman" w:hAnsi="Times New Roman"/>
          <w:sz w:val="23"/>
          <w:szCs w:val="23"/>
        </w:rPr>
        <w:t xml:space="preserve">This note reports a field survey of 43 easy-bike / e-rickshaw drivers on the batteries they use, what the batteries cost, how long they last and what problems they develop. It also records the author’s own field observations on charging behaviour, and states for each observation whether the survey data support it. The note is written so that its tables and statements can be cited directly in the research paper on lead-acid and lithium easy-bike batteries.</w:t>
      </w:r>
    </w:p>
    <w:p>
      <w:pPr>
        <w:spacing w:after="120" w:line="276"/>
        <w:jc w:val="both"/>
      </w:pPr>
      <w:r>
        <w:rPr>
          <w:rFonts w:ascii="Times New Roman" w:cs="Times New Roman" w:eastAsia="Times New Roman" w:hAnsi="Times New Roman"/>
          <w:b/>
          <w:bCs/>
          <w:sz w:val="23"/>
          <w:szCs w:val="23"/>
        </w:rPr>
        <w:t xml:space="preserve">Main findings. </w:t>
      </w:r>
      <w:r>
        <w:rPr>
          <w:rFonts w:ascii="Times New Roman" w:cs="Times New Roman" w:eastAsia="Times New Roman" w:hAnsi="Times New Roman"/>
          <w:sz w:val="23"/>
          <w:szCs w:val="23"/>
        </w:rPr>
        <w:t xml:space="preserve">Lead-acid is the most common battery type in the sample (22 of 43, 51.2%); a further 16 respondents (37.2%) reported a “Powder” battery, and only 5 (11.6%) use lithium iron phosphate (LFP). Reduced driving range is the most common main problem (31 of 43, 72.1%), and its share rises with the age of the battery set: 46% of respondents with a set up to 12 months old, 80% at 13–18 months and 85% beyond 18 months. Almost every driver charges once a day (42 of 43). The median replacement interval reported for lead-acid is about 18 months, which matches the author’s field observation that performance and charging time deteriorate at roughly 1.5 years of use.</w:t>
      </w:r>
    </w:p>
    <w:p>
      <w:pPr>
        <w:pStyle w:val="Heading1"/>
        <w:spacing w:after="140" w:before="300"/>
      </w:pPr>
      <w:r>
        <w:rPr>
          <w:rFonts w:ascii="Times New Roman" w:cs="Times New Roman" w:eastAsia="Times New Roman" w:hAnsi="Times New Roman"/>
          <w:b/>
          <w:bCs/>
          <w:sz w:val="28"/>
          <w:szCs w:val="28"/>
        </w:rPr>
        <w:t xml:space="preserve">2. Survey Description and Data Handling</w:t>
      </w:r>
    </w:p>
    <w:p>
      <w:pPr>
        <w:pStyle w:val="Heading2"/>
        <w:spacing w:after="100" w:before="200"/>
      </w:pPr>
      <w:r>
        <w:rPr>
          <w:rFonts w:ascii="Times New Roman" w:cs="Times New Roman" w:eastAsia="Times New Roman" w:hAnsi="Times New Roman"/>
          <w:b/>
          <w:bCs/>
          <w:sz w:val="24"/>
          <w:szCs w:val="24"/>
        </w:rPr>
        <w:t xml:space="preserve">2.1 Instrument and sample</w:t>
      </w:r>
    </w:p>
    <w:p>
      <w:pPr>
        <w:spacing w:after="120" w:line="276"/>
        <w:jc w:val="both"/>
      </w:pPr>
      <w:r>
        <w:rPr>
          <w:rFonts w:ascii="Times New Roman" w:cs="Times New Roman" w:eastAsia="Times New Roman" w:hAnsi="Times New Roman"/>
          <w:sz w:val="23"/>
          <w:szCs w:val="23"/>
        </w:rPr>
        <w:t xml:space="preserve">The data come from the Google Forms questionnaire “Field Survey on Easy-Bike/E-Rickshaw Battery Use in Bangladesh”. The questionnaire is in Bengali and has ten questions (the battery-set question is unnumbered in the form). It recorded 43 responses between 8 and 28 October 2026. Survey locations: [insert district / upazila names here]. Respondents are current easy-bike / e-rickshaw drivers; the sample is a convenience sample and not a random sample.</w:t>
      </w:r>
    </w:p>
    <w:p>
      <w:pPr>
        <w:keepNext/>
        <w:spacing w:after="80" w:before="160"/>
      </w:pPr>
      <w:r>
        <w:rPr>
          <w:rFonts w:ascii="Times New Roman" w:cs="Times New Roman" w:eastAsia="Times New Roman" w:hAnsi="Times New Roman"/>
          <w:b/>
          <w:bCs/>
          <w:sz w:val="21"/>
          <w:szCs w:val="21"/>
        </w:rPr>
        <w:t xml:space="preserve">Table 1. Questionnaire fields and how each was coded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Field</w:t>
            </w:r>
          </w:p>
        </w:tc>
        <w:tc>
          <w:tcPr>
            <w:tcW w:type="dxa" w:w="4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Original response form</w:t>
            </w:r>
          </w:p>
        </w:tc>
        <w:tc>
          <w:tcPr>
            <w:tcW w:type="dxa" w:w="31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Coded as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Battery type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Choice: Lead-acid, Lithium (LFP), Powder</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Three categories, as entered</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Purchase cost of current set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 Bengali or English digits, “90k”</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Number, BDT</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Battery set (count, V, Ah)</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Count, V per battery, Ah per battery</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Daily distance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Range choice or typed value</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Min, max and mid (km)</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Charges per day</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Number</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Cost of one full charge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 per-charge, monthly or kWh units</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Value in BDT plus a “basis” label</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Months in use (current set)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 months or years</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Months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Usual replacement interval</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Range text</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Min, max and mid (months)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Main problem</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Single choice (Bengali)</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Six English categories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Resale value of old set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Free text, numbers or ranges</w:t>
            </w:r>
          </w:p>
        </w:tc>
        <w:tc>
          <w:tcPr>
            <w:tcW w:type="dxa" w:w="31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Min, max and mid (BDT)</w:t>
            </w:r>
          </w:p>
        </w:tc>
      </w:tr>
    </w:tbl>
    <w:p>
      <w:pPr>
        <w:spacing w:after="160" w:before="60"/>
      </w:pPr>
      <w:r>
        <w:rPr>
          <w:rFonts w:ascii="Times New Roman" w:cs="Times New Roman" w:eastAsia="Times New Roman" w:hAnsi="Times New Roman"/>
          <w:i/>
          <w:iCs/>
          <w:sz w:val="18"/>
          <w:szCs w:val="18"/>
        </w:rPr>
        <w:t xml:space="preserve">Source: author’s field survey, October 2026. Full cleaning rules are in Appendix B.</w:t>
      </w:r>
    </w:p>
    <w:p>
      <w:pPr>
        <w:pStyle w:val="Heading2"/>
        <w:spacing w:after="100" w:before="200"/>
      </w:pPr>
      <w:r>
        <w:rPr>
          <w:rFonts w:ascii="Times New Roman" w:cs="Times New Roman" w:eastAsia="Times New Roman" w:hAnsi="Times New Roman"/>
          <w:b/>
          <w:bCs/>
          <w:sz w:val="24"/>
          <w:szCs w:val="24"/>
        </w:rPr>
        <w:t xml:space="preserve">2.2 Data standardisation</w:t>
      </w:r>
    </w:p>
    <w:p>
      <w:pPr>
        <w:spacing w:after="120" w:line="276"/>
        <w:jc w:val="both"/>
      </w:pPr>
      <w:r>
        <w:rPr>
          <w:rFonts w:ascii="Times New Roman" w:cs="Times New Roman" w:eastAsia="Times New Roman" w:hAnsi="Times New Roman"/>
          <w:sz w:val="23"/>
          <w:szCs w:val="23"/>
        </w:rPr>
        <w:t xml:space="preserve">The raw responses were mixed in format (Bengali and English digits, “k” suffixes, ranges, years and months in the same column). Every field was converted to a single format before analysis, so that each column holds one kind of value in one unit. The original response sheet was kept unchanged. Where a value had to be derived or interpreted, it was flagged in a review-notes column; the interpretations that affect the results are listed in Section 7 and Appendix B.</w:t>
      </w:r>
    </w:p>
    <w:p>
      <w:pPr>
        <w:pStyle w:val="Heading1"/>
        <w:spacing w:after="140" w:before="300"/>
      </w:pPr>
      <w:r>
        <w:rPr>
          <w:rFonts w:ascii="Times New Roman" w:cs="Times New Roman" w:eastAsia="Times New Roman" w:hAnsi="Times New Roman"/>
          <w:b/>
          <w:bCs/>
          <w:sz w:val="28"/>
          <w:szCs w:val="28"/>
        </w:rPr>
        <w:t xml:space="preserve">3. Sample Profile</w:t>
      </w:r>
    </w:p>
    <w:p>
      <w:pPr>
        <w:keepNext/>
        <w:spacing w:after="80" w:before="160"/>
      </w:pPr>
      <w:r>
        <w:rPr>
          <w:rFonts w:ascii="Times New Roman" w:cs="Times New Roman" w:eastAsia="Times New Roman" w:hAnsi="Times New Roman"/>
          <w:b/>
          <w:bCs/>
          <w:sz w:val="21"/>
          <w:szCs w:val="21"/>
        </w:rPr>
        <w:t xml:space="preserve">Table 2. Respondents by battery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1700"/>
        <w:gridCol w:w="2946"/>
      </w:tblGrid>
      <w:tr>
        <w:trPr>
          <w:cantSplit/>
          <w:tblHeader/>
        </w:trPr>
        <w:tc>
          <w:tcPr>
            <w:tcW w:type="dxa" w:w="2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Battery type</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w:t>
            </w:r>
          </w:p>
        </w:tc>
        <w:tc>
          <w:tcPr>
            <w:tcW w:type="dxa" w:w="15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Share (%)</w:t>
            </w:r>
          </w:p>
        </w:tc>
        <w:tc>
          <w:tcPr>
            <w:tcW w:type="dxa" w:w="1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Mean batteries per set</w:t>
            </w:r>
          </w:p>
        </w:tc>
        <w:tc>
          <w:tcPr>
            <w:tcW w:type="dxa" w:w="29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Mean daily distance, km (range of mid values)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Lead-acid</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51.2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4.5</w:t>
            </w:r>
          </w:p>
        </w:tc>
        <w:tc>
          <w:tcPr>
            <w:tcW w:type="dxa" w:w="29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83 (50–150)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Lithium (LFP)</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2.8</w:t>
            </w:r>
          </w:p>
        </w:tc>
        <w:tc>
          <w:tcPr>
            <w:tcW w:type="dxa" w:w="29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106.2 (70–170)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Powder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37.2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4.4</w:t>
            </w:r>
          </w:p>
        </w:tc>
        <w:tc>
          <w:tcPr>
            <w:tcW w:type="dxa" w:w="29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56.9 (50–120)</w:t>
            </w:r>
          </w:p>
        </w:tc>
      </w:tr>
    </w:tbl>
    <w:p>
      <w:pPr>
        <w:spacing w:after="160" w:before="60"/>
      </w:pPr>
      <w:r>
        <w:rPr>
          <w:rFonts w:ascii="Times New Roman" w:cs="Times New Roman" w:eastAsia="Times New Roman" w:hAnsi="Times New Roman"/>
          <w:i/>
          <w:iCs/>
          <w:sz w:val="18"/>
          <w:szCs w:val="18"/>
        </w:rPr>
        <w:t xml:space="preserve">Daily distance uses the mid-point of the reported range; “more than 100 km” is entered as 100 km (lower bound).</w:t>
      </w:r>
    </w:p>
    <w:p>
      <w:pPr>
        <w:spacing w:after="120" w:line="276"/>
        <w:jc w:val="both"/>
      </w:pPr>
      <w:r>
        <w:rPr>
          <w:rFonts w:ascii="Times New Roman" w:cs="Times New Roman" w:eastAsia="Times New Roman" w:hAnsi="Times New Roman"/>
          <w:sz w:val="23"/>
          <w:szCs w:val="23"/>
        </w:rPr>
        <w:t xml:space="preserve">Lead-acid is the largest group (22 respondents, 51.2%). “Powder” was entered by the surveyor as a separate type and is kept separate here. If Powder batteries are confirmed to be a lead-based (lead-acid) variant, lead-based batteries would account for 38 of 43 respondents (88.4%). Lithium (LFP) is rare in the sample (5 respondents), so LFP results should be treated as indicative only. The most common pack is four batteries per set (31 of 43 respondents), followed by six (6) and five (4); two LFP users reported a single battery.</w:t>
      </w:r>
    </w:p>
    <w:p>
      <w:pPr>
        <w:pStyle w:val="Heading1"/>
        <w:spacing w:after="140" w:before="300"/>
      </w:pPr>
      <w:r>
        <w:rPr>
          <w:rFonts w:ascii="Times New Roman" w:cs="Times New Roman" w:eastAsia="Times New Roman" w:hAnsi="Times New Roman"/>
          <w:b/>
          <w:bCs/>
          <w:sz w:val="28"/>
          <w:szCs w:val="28"/>
        </w:rPr>
        <w:t xml:space="preserve">4. Results</w:t>
      </w:r>
    </w:p>
    <w:p>
      <w:pPr>
        <w:pStyle w:val="Heading2"/>
        <w:spacing w:after="100" w:before="200"/>
      </w:pPr>
      <w:r>
        <w:rPr>
          <w:rFonts w:ascii="Times New Roman" w:cs="Times New Roman" w:eastAsia="Times New Roman" w:hAnsi="Times New Roman"/>
          <w:b/>
          <w:bCs/>
          <w:sz w:val="24"/>
          <w:szCs w:val="24"/>
        </w:rPr>
        <w:t xml:space="preserve">4.1 Usage</w:t>
      </w:r>
    </w:p>
    <w:p>
      <w:pPr>
        <w:spacing w:after="120" w:line="276"/>
        <w:jc w:val="both"/>
      </w:pPr>
      <w:r>
        <w:rPr>
          <w:rFonts w:ascii="Times New Roman" w:cs="Times New Roman" w:eastAsia="Times New Roman" w:hAnsi="Times New Roman"/>
          <w:sz w:val="23"/>
          <w:szCs w:val="23"/>
        </w:rPr>
        <w:t xml:space="preserve">Mean daily distance across the sample is 76 km. Lead-acid and LFP drivers covered the longest distances (means of 83 km and 106.2 km), while Powder users reported about 56.9 km. Charging frequency is almost uniform: 42 of 43 drivers charge once a day and one lead-acid driver charges twice. Because charging frequency hardly varies, it cannot be used to explain differences in battery life within this sample.</w:t>
      </w:r>
    </w:p>
    <w:p>
      <w:pPr>
        <w:pStyle w:val="Heading2"/>
        <w:spacing w:after="100" w:before="200"/>
      </w:pPr>
      <w:r>
        <w:rPr>
          <w:rFonts w:ascii="Times New Roman" w:cs="Times New Roman" w:eastAsia="Times New Roman" w:hAnsi="Times New Roman"/>
          <w:b/>
          <w:bCs/>
          <w:sz w:val="24"/>
          <w:szCs w:val="24"/>
        </w:rPr>
        <w:t xml:space="preserve">4.2 Cost, service life and resale value</w:t>
      </w:r>
    </w:p>
    <w:p>
      <w:pPr>
        <w:keepNext/>
        <w:spacing w:after="80" w:before="160"/>
      </w:pPr>
      <w:r>
        <w:rPr>
          <w:rFonts w:ascii="Times New Roman" w:cs="Times New Roman" w:eastAsia="Times New Roman" w:hAnsi="Times New Roman"/>
          <w:b/>
          <w:bCs/>
          <w:sz w:val="21"/>
          <w:szCs w:val="21"/>
        </w:rPr>
        <w:t xml:space="preserve">Table 3. Cost, service life and resale value by battery type</w:t>
      </w:r>
    </w:p>
    <w:tbl>
      <w:tblPr>
        <w:tblW w:type="dxa" w:w="8746"/>
        <w:tblBorders>
          <w:top w:val="single" w:color="auto" w:sz="4"/>
          <w:left w:val="single" w:color="auto" w:sz="4"/>
          <w:bottom w:val="single" w:color="auto" w:sz="4"/>
          <w:right w:val="single" w:color="auto" w:sz="4"/>
          <w:insideH w:val="single" w:color="auto" w:sz="4"/>
          <w:insideV w:val="single" w:color="auto" w:sz="4"/>
        </w:tblBorders>
      </w:tblPr>
      <w:tblGrid>
        <w:gridCol w:w="1150"/>
        <w:gridCol w:w="420"/>
        <w:gridCol w:w="900"/>
        <w:gridCol w:w="900"/>
        <w:gridCol w:w="1050"/>
        <w:gridCol w:w="800"/>
        <w:gridCol w:w="900"/>
        <w:gridCol w:w="900"/>
        <w:gridCol w:w="900"/>
        <w:gridCol w:w="826"/>
      </w:tblGrid>
      <w:tr>
        <w:trPr>
          <w:cantSplit/>
          <w:tblHeader/>
        </w:trPr>
        <w:tc>
          <w:tcPr>
            <w:tcW w:type="dxa" w:w="11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Battery type</w:t>
            </w:r>
          </w:p>
        </w:tc>
        <w:tc>
          <w:tcPr>
            <w:tcW w:type="dxa" w:w="42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n</w:t>
            </w:r>
          </w:p>
        </w:tc>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Mean cost (BDT)</w:t>
            </w:r>
          </w:p>
        </w:tc>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Median cost (BDT)</w:t>
            </w:r>
          </w:p>
        </w:tc>
        <w:tc>
          <w:tcPr>
            <w:tcW w:type="dxa" w:w="10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Mean cost excl. flagged* (BDT)</w:t>
            </w:r>
          </w:p>
        </w:tc>
        <w:tc>
          <w:tcPr>
            <w:tcW w:type="dxa" w:w="8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Mean months in use</w:t>
            </w:r>
          </w:p>
        </w:tc>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Mean replace-ment interval (months)</w:t>
            </w:r>
          </w:p>
        </w:tc>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Median replace-ment interval (months)</w:t>
            </w:r>
          </w:p>
        </w:tc>
        <w:tc>
          <w:tcPr>
            <w:tcW w:type="dxa" w:w="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Mean resale (BDT)</w:t>
            </w:r>
          </w:p>
        </w:tc>
        <w:tc>
          <w:tcPr>
            <w:tcW w:type="dxa" w:w="82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6"/>
                <w:szCs w:val="16"/>
              </w:rPr>
              <w:t xml:space="preserve">Resale / cost (%)</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Lead-acid</w:t>
            </w:r>
          </w:p>
        </w:tc>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46,318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29,000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29,867 (n=15)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14.1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18,623</w:t>
            </w:r>
          </w:p>
        </w:tc>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43.2</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Lithium (LFP)</w:t>
            </w:r>
          </w:p>
        </w:tc>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105,400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100,000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105,400 (n=5)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18.4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43.5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14,300</w:t>
            </w:r>
          </w:p>
        </w:tc>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13</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Powder</w:t>
            </w:r>
          </w:p>
        </w:tc>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32,906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28,000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29,100 (n=15)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29.2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11,062</w:t>
            </w:r>
          </w:p>
        </w:tc>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36.4</w:t>
            </w:r>
          </w:p>
        </w:tc>
      </w:tr>
      <w:tr>
        <w:trPr>
          <w:cantSplit/>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6"/>
                <w:szCs w:val="16"/>
              </w:rPr>
              <w:t xml:space="preserve">All</w:t>
            </w:r>
          </w:p>
        </w:tc>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48,198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28,500</w:t>
            </w:r>
          </w:p>
        </w:tc>
        <w:tc>
          <w:tcPr>
            <w:tcW w:type="dxa" w:w="10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40,329 (n=35)</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17.2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26.8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15,307</w:t>
            </w:r>
          </w:p>
        </w:tc>
        <w:tc>
          <w:tcPr>
            <w:tcW w:type="dxa" w:w="82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6"/>
                <w:szCs w:val="16"/>
              </w:rPr>
              <w:t xml:space="preserve">37.1</w:t>
            </w:r>
          </w:p>
        </w:tc>
      </w:tr>
    </w:tbl>
    <w:p>
      <w:pPr>
        <w:spacing w:after="160" w:before="60"/>
      </w:pPr>
      <w:r>
        <w:rPr>
          <w:rFonts w:ascii="Times New Roman" w:cs="Times New Roman" w:eastAsia="Times New Roman" w:hAnsi="Times New Roman"/>
          <w:i/>
          <w:iCs/>
          <w:sz w:val="18"/>
          <w:szCs w:val="18"/>
        </w:rPr>
        <w:t xml:space="preserve">*Rows with a purchase cost of 60,000 BDT or more for a non-LFP battery (7 Lead-acid, 1 Powder) were flagged for verification, because they are far above the 26,000–30,000 BDT cluster. Replacement interval is the mid-point of the reported range; two respondents who had not yet replaced a set are excluded. Resale / cost is the mean of individual ratios.</w:t>
      </w:r>
    </w:p>
    <w:p>
      <w:pPr>
        <w:spacing w:after="120" w:line="276"/>
        <w:jc w:val="both"/>
      </w:pPr>
      <w:r>
        <w:rPr>
          <w:rFonts w:ascii="Times New Roman" w:cs="Times New Roman" w:eastAsia="Times New Roman" w:hAnsi="Times New Roman"/>
          <w:sz w:val="23"/>
          <w:szCs w:val="23"/>
        </w:rPr>
        <w:t xml:space="preserve">Lead-acid and Powder sets cost about 29,000 BDT at the median (28,000 for Powder), while an LFP set costs about 100,000 BDT, roughly 3.5 times more. LFP is expected to last longer: its reported replacement interval has a median of 43.5 months against 18 months for lead-acid and 30 months for Powder. The resale value of an old lead-acid set is, on average, 43% of its purchase cost, for Powder 36%, and for LFP 13%; the LFP resale figure rests on five responses and should be read with care.</w:t>
      </w:r>
    </w:p>
    <w:p>
      <w:pPr>
        <w:pStyle w:val="Heading2"/>
        <w:spacing w:after="100" w:before="200"/>
      </w:pPr>
      <w:r>
        <w:rPr>
          <w:rFonts w:ascii="Times New Roman" w:cs="Times New Roman" w:eastAsia="Times New Roman" w:hAnsi="Times New Roman"/>
          <w:b/>
          <w:bCs/>
          <w:sz w:val="24"/>
          <w:szCs w:val="24"/>
        </w:rPr>
        <w:t xml:space="preserve">4.3 Main problems reported</w:t>
      </w:r>
    </w:p>
    <w:p>
      <w:pPr>
        <w:keepNext/>
        <w:spacing w:after="80" w:before="160"/>
      </w:pPr>
      <w:r>
        <w:rPr>
          <w:rFonts w:ascii="Times New Roman" w:cs="Times New Roman" w:eastAsia="Times New Roman" w:hAnsi="Times New Roman"/>
          <w:b/>
          <w:bCs/>
          <w:sz w:val="21"/>
          <w:szCs w:val="21"/>
        </w:rPr>
        <w:t xml:space="preserve">Table 4. Main problem reported with the current battery (number of respondents)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400"/>
        <w:gridCol w:w="1100"/>
        <w:gridCol w:w="1000"/>
        <w:gridCol w:w="2046"/>
      </w:tblGrid>
      <w:tr>
        <w:trPr>
          <w:cantSplit/>
          <w:tblHeader/>
        </w:trPr>
        <w:tc>
          <w:tcPr>
            <w:tcW w:type="dxa" w:w="29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Problem</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Lead-acid</w:t>
            </w:r>
          </w:p>
        </w:tc>
        <w:tc>
          <w:tcPr>
            <w:tcW w:type="dxa" w:w="14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LFP</w:t>
            </w:r>
          </w:p>
        </w:tc>
        <w:tc>
          <w:tcPr>
            <w:tcW w:type="dxa" w:w="11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Powder</w:t>
            </w:r>
          </w:p>
        </w:tc>
        <w:tc>
          <w:tcPr>
            <w:tcW w:type="dxa" w:w="10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All</w:t>
            </w:r>
          </w:p>
        </w:tc>
        <w:tc>
          <w:tcPr>
            <w:tcW w:type="dxa" w:w="20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Share of all (%)</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Reduced range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31</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72.1</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Slow charging</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7</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16.3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Low charge / capacity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4.7</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Charger overheating</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Fast discharge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2.3</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 problem yet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20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2.3</w:t>
            </w:r>
          </w:p>
        </w:tc>
      </w:tr>
    </w:tbl>
    <w:p>
      <w:pPr>
        <w:spacing w:after="160" w:before="60"/>
      </w:pPr>
      <w:r>
        <w:rPr>
          <w:rFonts w:ascii="Times New Roman" w:cs="Times New Roman" w:eastAsia="Times New Roman" w:hAnsi="Times New Roman"/>
          <w:i/>
          <w:iCs/>
          <w:sz w:val="18"/>
          <w:szCs w:val="18"/>
        </w:rPr>
        <w:t xml:space="preserve">The question asked for the single most important problem, so each respondent appears once. Secondary problems were not recorded.</w:t>
      </w:r>
    </w:p>
    <w:p>
      <w:pPr>
        <w:spacing w:after="120" w:line="276"/>
        <w:jc w:val="both"/>
      </w:pPr>
      <w:r>
        <w:rPr>
          <w:rFonts w:ascii="Times New Roman" w:cs="Times New Roman" w:eastAsia="Times New Roman" w:hAnsi="Times New Roman"/>
          <w:sz w:val="23"/>
          <w:szCs w:val="23"/>
        </w:rPr>
        <w:t xml:space="preserve">Reduced driving distance compared with earlier is by far the most frequent complaint (31 of 43, 72.1%), reported by 15 of 22 lead-acid users, 12 of 16 Powder users and 4 of 5 LFP users. Slow charging was the main problem for 7 respondents (3 lead-acid, 4 Powder). Low charge or capacity (2), charger overheating (1) and fast discharge (1) were each named by very few people, and one LFP user reported no problem yet.</w:t>
      </w:r>
    </w:p>
    <w:p>
      <w:pPr>
        <w:pStyle w:val="Heading2"/>
        <w:spacing w:after="100" w:before="200"/>
      </w:pPr>
      <w:r>
        <w:rPr>
          <w:rFonts w:ascii="Times New Roman" w:cs="Times New Roman" w:eastAsia="Times New Roman" w:hAnsi="Times New Roman"/>
          <w:b/>
          <w:bCs/>
          <w:sz w:val="24"/>
          <w:szCs w:val="24"/>
        </w:rPr>
        <w:t xml:space="preserve">4.4 Battery age and reported problems</w:t>
      </w:r>
    </w:p>
    <w:p>
      <w:pPr>
        <w:keepNext/>
        <w:spacing w:after="80" w:before="160"/>
      </w:pPr>
      <w:r>
        <w:rPr>
          <w:rFonts w:ascii="Times New Roman" w:cs="Times New Roman" w:eastAsia="Times New Roman" w:hAnsi="Times New Roman"/>
          <w:b/>
          <w:bCs/>
          <w:sz w:val="21"/>
          <w:szCs w:val="21"/>
        </w:rPr>
        <w:t xml:space="preserve">Table 5. Main problem by age of the current battery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300"/>
        <w:gridCol w:w="1100"/>
        <w:gridCol w:w="1300"/>
        <w:gridCol w:w="1100"/>
        <w:gridCol w:w="1646"/>
      </w:tblGrid>
      <w:tr>
        <w:trPr>
          <w:cantSplit/>
          <w:tblHeader/>
        </w:trPr>
        <w:tc>
          <w:tcPr>
            <w:tcW w:type="dxa" w:w="2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Months in use</w:t>
            </w:r>
          </w:p>
        </w:tc>
        <w:tc>
          <w:tcPr>
            <w:tcW w:type="dxa" w:w="10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Reduced range (n)</w:t>
            </w:r>
          </w:p>
        </w:tc>
        <w:tc>
          <w:tcPr>
            <w:tcW w:type="dxa" w:w="11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Reduced range (%)</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Slow charging (n)</w:t>
            </w:r>
          </w:p>
        </w:tc>
        <w:tc>
          <w:tcPr>
            <w:tcW w:type="dxa" w:w="11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Slow charging (%)</w:t>
            </w:r>
          </w:p>
        </w:tc>
        <w:tc>
          <w:tcPr>
            <w:tcW w:type="dxa" w:w="16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Other problem (n)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Up to 12 months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23</w:t>
            </w:r>
          </w:p>
        </w:tc>
        <w:tc>
          <w:tcPr>
            <w:tcW w:type="dxa" w:w="16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4</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13–18 months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20</w:t>
            </w:r>
          </w:p>
        </w:tc>
        <w:tc>
          <w:tcPr>
            <w:tcW w:type="dxa" w:w="16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0</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Over 18 months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85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6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r>
    </w:tbl>
    <w:p>
      <w:pPr>
        <w:spacing w:after="160" w:before="60"/>
      </w:pPr>
      <w:r>
        <w:rPr>
          <w:rFonts w:ascii="Times New Roman" w:cs="Times New Roman" w:eastAsia="Times New Roman" w:hAnsi="Times New Roman"/>
          <w:i/>
          <w:iCs/>
          <w:sz w:val="18"/>
          <w:szCs w:val="18"/>
        </w:rPr>
        <w:t xml:space="preserve">Other problem = low charge/capacity, charger overheating, fast discharge, or no problem yet.</w:t>
      </w:r>
    </w:p>
    <w:p>
      <w:pPr>
        <w:spacing w:after="120" w:line="276"/>
        <w:jc w:val="both"/>
      </w:pPr>
      <w:r>
        <w:rPr>
          <w:rFonts w:ascii="Times New Roman" w:cs="Times New Roman" w:eastAsia="Times New Roman" w:hAnsi="Times New Roman"/>
          <w:sz w:val="23"/>
          <w:szCs w:val="23"/>
        </w:rPr>
        <w:t xml:space="preserve">Respondents who named reduced range had used their current set for 19.1 months on average. The share naming reduced range rises from 46% for sets up to 12 months old to 80% at 13–18 months and 85% beyond 18 months. This is consistent with progressive loss of usable capacity as the set ages. Slow charging, in contrast, shows no clear age trend in these data (3, 2 and 2 respondents in the three groups). This does not disprove the field observation in Section 5, because the question allowed only one answer and range loss may have been selected as the more important problem.</w:t>
      </w:r>
    </w:p>
    <w:p>
      <w:pPr>
        <w:pStyle w:val="Heading2"/>
        <w:spacing w:after="100" w:before="200"/>
      </w:pPr>
      <w:r>
        <w:rPr>
          <w:rFonts w:ascii="Times New Roman" w:cs="Times New Roman" w:eastAsia="Times New Roman" w:hAnsi="Times New Roman"/>
          <w:b/>
          <w:bCs/>
          <w:sz w:val="24"/>
          <w:szCs w:val="24"/>
        </w:rPr>
        <w:t xml:space="preserve">4.5 Charging cost</w:t>
      </w:r>
    </w:p>
    <w:p>
      <w:pPr>
        <w:keepNext/>
        <w:spacing w:after="80" w:before="160"/>
      </w:pPr>
      <w:r>
        <w:rPr>
          <w:rFonts w:ascii="Times New Roman" w:cs="Times New Roman" w:eastAsia="Times New Roman" w:hAnsi="Times New Roman"/>
          <w:b/>
          <w:bCs/>
          <w:sz w:val="21"/>
          <w:szCs w:val="21"/>
        </w:rPr>
        <w:t xml:space="preserve">Table 6. Reported charging cost by basis of the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800"/>
        <w:gridCol w:w="1700"/>
        <w:gridCol w:w="1746"/>
      </w:tblGrid>
      <w:tr>
        <w:trPr>
          <w:cantSplit/>
          <w:tblHeader/>
        </w:trPr>
        <w:tc>
          <w:tcPr>
            <w:tcW w:type="dxa" w:w="32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Basis of the answer</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n</w:t>
            </w:r>
          </w:p>
        </w:tc>
        <w:tc>
          <w:tcPr>
            <w:tcW w:type="dxa" w:w="18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Mean (BDT)</w:t>
            </w:r>
          </w:p>
        </w:tc>
        <w:tc>
          <w:tcPr>
            <w:tcW w:type="dxa" w:w="1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Min (BDT)</w:t>
            </w:r>
          </w:p>
        </w:tc>
        <w:tc>
          <w:tcPr>
            <w:tcW w:type="dxa" w:w="17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9"/>
                <w:szCs w:val="19"/>
              </w:rPr>
              <w:t xml:space="preserve">Max (BDT)</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Per month (stated)</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274.7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250</w:t>
            </w:r>
          </w:p>
        </w:tc>
        <w:tc>
          <w:tcPr>
            <w:tcW w:type="dxa" w:w="17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300</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Unspecified</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178.4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7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310</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kWh units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17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10</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Not known</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w:t>
            </w:r>
          </w:p>
        </w:tc>
        <w:tc>
          <w:tcPr>
            <w:tcW w:type="dxa" w:w="17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9"/>
                <w:szCs w:val="19"/>
              </w:rPr>
              <w:t xml:space="preserve">–</w:t>
            </w:r>
          </w:p>
        </w:tc>
      </w:tr>
    </w:tbl>
    <w:p>
      <w:pPr>
        <w:spacing w:after="160" w:before="60"/>
      </w:pPr>
      <w:r>
        <w:rPr>
          <w:rFonts w:ascii="Times New Roman" w:cs="Times New Roman" w:eastAsia="Times New Roman" w:hAnsi="Times New Roman"/>
          <w:i/>
          <w:iCs/>
          <w:sz w:val="18"/>
          <w:szCs w:val="18"/>
        </w:rPr>
        <w:t xml:space="preserve">Per month (stated): the respondent wrote “per month”. Unspecified: a taka figure with no basis. kWh units: one respondent answered in electricity units. Not known: “don’t know”.</w:t>
      </w:r>
    </w:p>
    <w:p>
      <w:pPr>
        <w:spacing w:after="120" w:line="276"/>
        <w:jc w:val="both"/>
      </w:pPr>
      <w:r>
        <w:rPr>
          <w:rFonts w:ascii="Times New Roman" w:cs="Times New Roman" w:eastAsia="Times New Roman" w:hAnsi="Times New Roman"/>
          <w:sz w:val="23"/>
          <w:szCs w:val="23"/>
        </w:rPr>
        <w:t xml:space="preserve">The question asked for the cost of one full charge, but 17 respondents answered with a monthly amount (250–300 BDT, mean about 275 BDT), 22 gave a figure without a basis (10–310 BDT) and 3 did not know. The groups therefore cannot be pooled into a single average cost per charge. The monthly figures come almost entirely from Powder users (15 of the 17). The survey does not record charging time together with cost, so it cannot show directly how cost changes as charging gets slower.</w:t>
      </w:r>
    </w:p>
    <w:p>
      <w:pPr>
        <w:pStyle w:val="Heading1"/>
        <w:spacing w:after="140" w:before="300"/>
      </w:pPr>
      <w:r>
        <w:rPr>
          <w:rFonts w:ascii="Times New Roman" w:cs="Times New Roman" w:eastAsia="Times New Roman" w:hAnsi="Times New Roman"/>
          <w:b/>
          <w:bCs/>
          <w:sz w:val="28"/>
          <w:szCs w:val="28"/>
        </w:rPr>
        <w:t xml:space="preserve">5. Field Observations of the Author and Survey Support</w:t>
      </w:r>
    </w:p>
    <w:p>
      <w:pPr>
        <w:spacing w:after="120" w:line="276"/>
        <w:jc w:val="both"/>
      </w:pPr>
      <w:r>
        <w:rPr>
          <w:rFonts w:ascii="Times New Roman" w:cs="Times New Roman" w:eastAsia="Times New Roman" w:hAnsi="Times New Roman"/>
          <w:sz w:val="23"/>
          <w:szCs w:val="23"/>
        </w:rPr>
        <w:t xml:space="preserve">The following observations were made by the author during the field survey. They are not all captured by the questionnaire. Table 7 states, for each, what the survey data show, so that the paper can separate measured results from field observation.</w:t>
      </w:r>
    </w:p>
    <w:p>
      <w:pPr>
        <w:keepNext/>
        <w:spacing w:after="80" w:before="160"/>
      </w:pPr>
      <w:r>
        <w:rPr>
          <w:rFonts w:ascii="Times New Roman" w:cs="Times New Roman" w:eastAsia="Times New Roman" w:hAnsi="Times New Roman"/>
          <w:b/>
          <w:bCs/>
          <w:sz w:val="21"/>
          <w:szCs w:val="21"/>
        </w:rPr>
        <w:t xml:space="preserve">Table 7. Field observations and the survey evidence for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4546"/>
        <w:gridCol w:w="2300"/>
      </w:tblGrid>
      <w:tr>
        <w:trPr>
          <w:cantSplit/>
          <w:tblHeader/>
        </w:trPr>
        <w:tc>
          <w:tcPr>
            <w:tcW w:type="dxa" w:w="4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t>
            </w:r>
          </w:p>
        </w:tc>
        <w:tc>
          <w:tcPr>
            <w:tcW w:type="dxa" w:w="25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Field observation</w:t>
            </w:r>
          </w:p>
        </w:tc>
        <w:tc>
          <w:tcPr>
            <w:tcW w:type="dxa" w:w="454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Evidence in the survey data</w:t>
            </w:r>
          </w:p>
        </w:tc>
        <w:tc>
          <w:tcPr>
            <w:tcW w:type="dxa" w:w="23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Status</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Most batteries in use are lead-acid.</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Lead-acid 22 of 43 (51.2%); 38 of 43 (88.4%) if Powder is lead-based. LFP only 5 (11.6%).</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Supported</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Driving distance (and speed) fall as the battery is used more.</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Reduced range is the main problem for 31 of 43 (72.1%); its share rises from 46% to 80% to 85% across age groups. Speed was not asked.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Supported for range; speed not measured</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Charging time increases after about 1.5 years of use or more.</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Slow charging named by 7 of 43 (16.3%), with no age trend. Lead-acid median replacement interval is 18 months (range 12–24), which is consistent with the 1.5-year point. Charging time was not asked.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Consistent, not directly tested</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Some batteries get very hot while charging, but drivers pay little attention to it.</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Charger overheating is the main problem for 1 respondent (lead-acid, 24 months). Temperature was not measured. Low reporting fits the observation of low attention but does not prove it.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Observation only; weak survey support</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Drivers say charging takes about 7–12 hours or more.</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question on charging duration. Slow charging is the main problem for 7 respondents.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in dataset</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Dry-cell / “e-water” type needs water topped up every 1–2 weeks.</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question on maintenance. Whether this type corresponds to the “Powder” category in the survey is not confirmed.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Observation only</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Charging cost rises because charging time rises.</w:t>
            </w:r>
          </w:p>
        </w:tc>
        <w:tc>
          <w:tcPr>
            <w:tcW w:type="dxa" w:w="454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Charging cost was recorded with mixed bases (Table 6) and not paired with charging time.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Not tested</w:t>
            </w:r>
          </w:p>
        </w:tc>
      </w:tr>
    </w:tbl>
    <w:p>
      <w:pPr>
        <w:spacing w:after="160" w:before="60"/>
      </w:pPr>
      <w:r>
        <w:rPr>
          <w:rFonts w:ascii="Times New Roman" w:cs="Times New Roman" w:eastAsia="Times New Roman" w:hAnsi="Times New Roman"/>
          <w:i/>
          <w:iCs/>
          <w:sz w:val="18"/>
          <w:szCs w:val="18"/>
        </w:rPr>
        <w:t xml:space="preserve">Status terms: Supported = the data point the same way; Consistent = compatible but not tested directly; Not in dataset = needs a new question or measurement.</w:t>
      </w:r>
    </w:p>
    <w:p>
      <w:pPr>
        <w:pStyle w:val="Heading1"/>
        <w:spacing w:after="140" w:before="300"/>
      </w:pPr>
      <w:r>
        <w:rPr>
          <w:rFonts w:ascii="Times New Roman" w:cs="Times New Roman" w:eastAsia="Times New Roman" w:hAnsi="Times New Roman"/>
          <w:b/>
          <w:bCs/>
          <w:sz w:val="28"/>
          <w:szCs w:val="28"/>
        </w:rPr>
        <w:t xml:space="preserve">6. Discussion</w:t>
      </w:r>
    </w:p>
    <w:p>
      <w:pPr>
        <w:spacing w:after="120" w:line="276"/>
        <w:jc w:val="both"/>
      </w:pPr>
      <w:r>
        <w:rPr>
          <w:rFonts w:ascii="Times New Roman" w:cs="Times New Roman" w:eastAsia="Times New Roman" w:hAnsi="Times New Roman"/>
          <w:sz w:val="23"/>
          <w:szCs w:val="23"/>
        </w:rPr>
        <w:t xml:space="preserve">The survey and the field observations describe one picture: lead-based batteries dominate, and they lose usable range as they age, with problems becoming widespread after roughly 1.5 years. The survey measures this through range complaints, replacement intervals and resale values; the longer charging time and heating are field observations.</w:t>
      </w:r>
    </w:p>
    <w:p>
      <w:pPr>
        <w:spacing w:after="120" w:line="276"/>
        <w:jc w:val="both"/>
      </w:pPr>
      <w:r>
        <w:rPr>
          <w:rFonts w:ascii="Times New Roman" w:cs="Times New Roman" w:eastAsia="Times New Roman" w:hAnsi="Times New Roman"/>
          <w:sz w:val="23"/>
          <w:szCs w:val="23"/>
        </w:rPr>
        <w:t xml:space="preserve">The following explanations are general engineering expectations for lead-acid batteries and should be supported by literature citations in the paper rather than attributed to this survey:</w:t>
      </w:r>
    </w:p>
    <w:p>
      <w:pPr>
        <w:pStyle w:val="ListParagraph"/>
        <w:numPr>
          <w:ilvl w:val="0"/>
          <w:numId w:val="2"/>
        </w:numPr>
        <w:spacing w:after="80" w:line="276"/>
        <w:jc w:val="both"/>
      </w:pPr>
      <w:r>
        <w:rPr>
          <w:rFonts w:ascii="Times New Roman" w:cs="Times New Roman" w:eastAsia="Times New Roman" w:hAnsi="Times New Roman"/>
          <w:b/>
          <w:bCs/>
          <w:sz w:val="23"/>
          <w:szCs w:val="23"/>
        </w:rPr>
        <w:t xml:space="preserve">Range loss. </w:t>
      </w:r>
      <w:r>
        <w:rPr>
          <w:rFonts w:ascii="Times New Roman" w:cs="Times New Roman" w:eastAsia="Times New Roman" w:hAnsi="Times New Roman"/>
          <w:sz w:val="23"/>
          <w:szCs w:val="23"/>
        </w:rPr>
        <w:t xml:space="preserve">Repeated cycling reduces the usable capacity of a lead-acid battery through sulfation and grid corrosion, so a fully charged old set drives a shorter distance.</w:t>
      </w:r>
    </w:p>
    <w:p>
      <w:pPr>
        <w:pStyle w:val="ListParagraph"/>
        <w:numPr>
          <w:ilvl w:val="0"/>
          <w:numId w:val="2"/>
        </w:numPr>
        <w:spacing w:after="80" w:line="276"/>
        <w:jc w:val="both"/>
      </w:pPr>
      <w:r>
        <w:rPr>
          <w:rFonts w:ascii="Times New Roman" w:cs="Times New Roman" w:eastAsia="Times New Roman" w:hAnsi="Times New Roman"/>
          <w:b/>
          <w:bCs/>
          <w:sz w:val="23"/>
          <w:szCs w:val="23"/>
        </w:rPr>
        <w:t xml:space="preserve">Longer charging and heating. </w:t>
      </w:r>
      <w:r>
        <w:rPr>
          <w:rFonts w:ascii="Times New Roman" w:cs="Times New Roman" w:eastAsia="Times New Roman" w:hAnsi="Times New Roman"/>
          <w:sz w:val="23"/>
          <w:szCs w:val="23"/>
        </w:rPr>
        <w:t xml:space="preserve">As internal resistance rises with age, more of the charging energy is lost as heat, and the set can take longer to reach full charge. Warm ambient temperatures in Bangladesh and chargers without temperature compensation can add to the heating. This links directly to the temperature-dependent battery model in the research work.</w:t>
      </w:r>
    </w:p>
    <w:p>
      <w:pPr>
        <w:pStyle w:val="ListParagraph"/>
        <w:numPr>
          <w:ilvl w:val="0"/>
          <w:numId w:val="2"/>
        </w:numPr>
        <w:spacing w:after="80" w:line="276"/>
        <w:jc w:val="both"/>
      </w:pPr>
      <w:r>
        <w:rPr>
          <w:rFonts w:ascii="Times New Roman" w:cs="Times New Roman" w:eastAsia="Times New Roman" w:hAnsi="Times New Roman"/>
          <w:b/>
          <w:bCs/>
          <w:sz w:val="23"/>
          <w:szCs w:val="23"/>
        </w:rPr>
        <w:t xml:space="preserve">Water loss. </w:t>
      </w:r>
      <w:r>
        <w:rPr>
          <w:rFonts w:ascii="Times New Roman" w:cs="Times New Roman" w:eastAsia="Times New Roman" w:hAnsi="Times New Roman"/>
          <w:sz w:val="23"/>
          <w:szCs w:val="23"/>
        </w:rPr>
        <w:t xml:space="preserve">Vented (flooded) lead-acid cells lose water through gassing during charging, especially with overcharge or high temperature, which explains why such batteries need water added every one to two weeks.</w:t>
      </w:r>
    </w:p>
    <w:p>
      <w:pPr>
        <w:pStyle w:val="ListParagraph"/>
        <w:numPr>
          <w:ilvl w:val="0"/>
          <w:numId w:val="2"/>
        </w:numPr>
        <w:spacing w:after="80" w:line="276"/>
        <w:jc w:val="both"/>
      </w:pPr>
      <w:r>
        <w:rPr>
          <w:rFonts w:ascii="Times New Roman" w:cs="Times New Roman" w:eastAsia="Times New Roman" w:hAnsi="Times New Roman"/>
          <w:b/>
          <w:bCs/>
          <w:sz w:val="23"/>
          <w:szCs w:val="23"/>
        </w:rPr>
        <w:t xml:space="preserve">Charging cost. </w:t>
      </w:r>
      <w:r>
        <w:rPr>
          <w:rFonts w:ascii="Times New Roman" w:cs="Times New Roman" w:eastAsia="Times New Roman" w:hAnsi="Times New Roman"/>
          <w:sz w:val="23"/>
          <w:szCs w:val="23"/>
        </w:rPr>
        <w:t xml:space="preserve">A longer or less efficient charge draws more electricity per day, so the electricity cost rises as the battery ages. The survey did not record charging time, so this needs measured data to quantify.</w:t>
      </w:r>
    </w:p>
    <w:p>
      <w:pPr>
        <w:spacing w:after="120" w:line="276"/>
        <w:jc w:val="both"/>
      </w:pPr>
      <w:r>
        <w:rPr>
          <w:rFonts w:ascii="Times New Roman" w:cs="Times New Roman" w:eastAsia="Times New Roman" w:hAnsi="Times New Roman"/>
          <w:sz w:val="23"/>
          <w:szCs w:val="23"/>
        </w:rPr>
        <w:t xml:space="preserve">For the simulation, the survey gives usable inputs: a typical pack of four batteries, a daily distance of about 50–80 km for lead-acid and Powder users, one charge per day, and replacement intervals of about 18 months (lead-acid), 30 months (Powder) and 43.5 months (LFP).</w:t>
      </w:r>
    </w:p>
    <w:p>
      <w:pPr>
        <w:pStyle w:val="Heading1"/>
        <w:spacing w:after="140" w:before="300"/>
      </w:pPr>
      <w:r>
        <w:rPr>
          <w:rFonts w:ascii="Times New Roman" w:cs="Times New Roman" w:eastAsia="Times New Roman" w:hAnsi="Times New Roman"/>
          <w:b/>
          <w:bCs/>
          <w:sz w:val="28"/>
          <w:szCs w:val="28"/>
        </w:rPr>
        <w:t xml:space="preserve">7. Limitations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The sample is small (n = 43) and not random; results describe these respondents and are not national estimates. The LFP group has only 5 respondents.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All answers are self-reported by drivers. Several late-October entries share near-identical wording and values, which suggests they may have been collected in batches by the same enumerator.</w:t>
      </w:r>
    </w:p>
    <w:p>
      <w:pPr>
        <w:pStyle w:val="ListParagraph"/>
        <w:numPr>
          <w:ilvl w:val="0"/>
          <w:numId w:val="2"/>
        </w:numPr>
        <w:spacing w:after="80" w:line="276"/>
        <w:jc w:val="both"/>
      </w:pPr>
      <w:r>
        <w:rPr>
          <w:rFonts w:ascii="Times New Roman" w:cs="Times New Roman" w:eastAsia="Times New Roman" w:hAnsi="Times New Roman"/>
          <w:sz w:val="23"/>
          <w:szCs w:val="23"/>
        </w:rPr>
        <w:t xml:space="preserve">“Powder” is a category entered by the survey team and its exact meaning (battery chemistry, whether dry or water-topped) must be confirmed before it is reported.</w:t>
      </w:r>
    </w:p>
    <w:p>
      <w:pPr>
        <w:pStyle w:val="ListParagraph"/>
        <w:numPr>
          <w:ilvl w:val="0"/>
          <w:numId w:val="2"/>
        </w:numPr>
        <w:spacing w:after="80" w:line="276"/>
        <w:jc w:val="both"/>
      </w:pPr>
      <w:r>
        <w:rPr>
          <w:rFonts w:ascii="Times New Roman" w:cs="Times New Roman" w:eastAsia="Times New Roman" w:hAnsi="Times New Roman"/>
          <w:sz w:val="23"/>
          <w:szCs w:val="23"/>
        </w:rPr>
        <w:t xml:space="preserve">The charging-cost question was answered on different bases (per charge, per month, kWh units), so cost per charge cannot be averaged across respondents.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Eight lead-acid or Powder respondents gave purchase costs of 60,000 BDT or more. These were kept in the data and flagged; they may reflect larger packs or a type-entry error and should be verified.</w:t>
      </w:r>
    </w:p>
    <w:p>
      <w:pPr>
        <w:pStyle w:val="ListParagraph"/>
        <w:numPr>
          <w:ilvl w:val="0"/>
          <w:numId w:val="2"/>
        </w:numPr>
        <w:spacing w:after="80" w:line="276"/>
        <w:jc w:val="both"/>
      </w:pPr>
      <w:r>
        <w:rPr>
          <w:rFonts w:ascii="Times New Roman" w:cs="Times New Roman" w:eastAsia="Times New Roman" w:hAnsi="Times New Roman"/>
          <w:sz w:val="23"/>
          <w:szCs w:val="23"/>
        </w:rPr>
        <w:t xml:space="preserve">One resale answer (“about half”) was converted to 50% of the purchase cost. Voltage and capacity (Ah) were reported by only five respondents, so electrical pack specifications cannot be derived from this survey.</w:t>
      </w:r>
    </w:p>
    <w:p>
      <w:pPr>
        <w:pStyle w:val="ListParagraph"/>
        <w:numPr>
          <w:ilvl w:val="0"/>
          <w:numId w:val="2"/>
        </w:numPr>
        <w:spacing w:after="80" w:line="276"/>
        <w:jc w:val="both"/>
      </w:pPr>
      <w:r>
        <w:rPr>
          <w:rFonts w:ascii="Times New Roman" w:cs="Times New Roman" w:eastAsia="Times New Roman" w:hAnsi="Times New Roman"/>
          <w:sz w:val="23"/>
          <w:szCs w:val="23"/>
        </w:rPr>
        <w:t xml:space="preserve">The problem question allowed one answer only, which understates problems such as slow charging or heating that may coexist with range loss.</w:t>
      </w:r>
    </w:p>
    <w:p>
      <w:pPr>
        <w:pStyle w:val="Heading1"/>
        <w:spacing w:after="140" w:before="300"/>
      </w:pPr>
      <w:r>
        <w:rPr>
          <w:rFonts w:ascii="Times New Roman" w:cs="Times New Roman" w:eastAsia="Times New Roman" w:hAnsi="Times New Roman"/>
          <w:b/>
          <w:bCs/>
          <w:sz w:val="28"/>
          <w:szCs w:val="28"/>
        </w:rPr>
        <w:t xml:space="preserve">8. Text for Use in the Paper</w:t>
      </w:r>
    </w:p>
    <w:p>
      <w:pPr>
        <w:spacing w:after="120" w:line="276"/>
        <w:jc w:val="both"/>
      </w:pPr>
      <w:r>
        <w:rPr>
          <w:rFonts w:ascii="Times New Roman" w:cs="Times New Roman" w:eastAsia="Times New Roman" w:hAnsi="Times New Roman"/>
          <w:i/>
          <w:iCs/>
          <w:sz w:val="23"/>
          <w:szCs w:val="23"/>
        </w:rPr>
        <w:t xml:space="preserve">The paragraphs below are written to be pasted into the manuscript and edited. Fill in the survey locations.</w:t>
      </w:r>
    </w:p>
    <w:p>
      <w:pPr>
        <w:pStyle w:val="Heading2"/>
        <w:spacing w:after="100" w:before="200"/>
      </w:pPr>
      <w:r>
        <w:rPr>
          <w:rFonts w:ascii="Times New Roman" w:cs="Times New Roman" w:eastAsia="Times New Roman" w:hAnsi="Times New Roman"/>
          <w:b/>
          <w:bCs/>
          <w:sz w:val="24"/>
          <w:szCs w:val="24"/>
        </w:rPr>
        <w:t xml:space="preserve">8.1 Methods paragraph</w:t>
      </w:r>
    </w:p>
    <w:p>
      <w:pPr>
        <w:spacing w:after="120" w:line="276"/>
        <w:jc w:val="both"/>
      </w:pPr>
      <w:r>
        <w:rPr>
          <w:rFonts w:ascii="Times New Roman" w:cs="Times New Roman" w:eastAsia="Times New Roman" w:hAnsi="Times New Roman"/>
          <w:sz w:val="23"/>
          <w:szCs w:val="23"/>
        </w:rPr>
        <w:t xml:space="preserve">A field survey of easy-bike / e-rickshaw drivers was conducted in [locations] between 8 and 28 October 2026 using a Bengali-language questionnaire. In total, 43 responses were obtained, covering battery type, purchase cost, battery configuration, daily distance, charging frequency and cost, months in use, replacement interval, main problem and resale value. Free-text responses were standardised to a single unit per variable; ranges were represented by their mid-points. Because the sample is a convenience sample, the results are treated as descriptive.</w:t>
      </w:r>
    </w:p>
    <w:p>
      <w:pPr>
        <w:pStyle w:val="Heading2"/>
        <w:spacing w:after="100" w:before="200"/>
      </w:pPr>
      <w:r>
        <w:rPr>
          <w:rFonts w:ascii="Times New Roman" w:cs="Times New Roman" w:eastAsia="Times New Roman" w:hAnsi="Times New Roman"/>
          <w:b/>
          <w:bCs/>
          <w:sz w:val="24"/>
          <w:szCs w:val="24"/>
        </w:rPr>
        <w:t xml:space="preserve">8.2 Results paragraph</w:t>
      </w:r>
    </w:p>
    <w:p>
      <w:pPr>
        <w:spacing w:after="120" w:line="276"/>
        <w:jc w:val="both"/>
      </w:pPr>
      <w:r>
        <w:rPr>
          <w:rFonts w:ascii="Times New Roman" w:cs="Times New Roman" w:eastAsia="Times New Roman" w:hAnsi="Times New Roman"/>
          <w:sz w:val="23"/>
          <w:szCs w:val="23"/>
        </w:rPr>
        <w:t xml:space="preserve">Of the 43 respondents, 22 (51.2%) used lead-acid batteries, 16 (37.2%) used “Powder” batteries and 5 (11.6%) used LFP batteries. The median purchase cost was about 29,000 BDT for lead-acid, 28,000 BDT for Powder and 100,000 BDT for LFP. The median replacement interval was 18 months for lead-acid, 30 months for Powder and 43.5 months for LFP. Reduced driving range was the most common problem (72.1%), and its share increased with battery age from 46% (up to 12 months) to 80% (13–18 months) and 85% (over 18 months). Almost all drivers (42 of 43) charged once a day.</w:t>
      </w:r>
    </w:p>
    <w:p>
      <w:pPr>
        <w:pStyle w:val="Heading2"/>
        <w:spacing w:after="100" w:before="200"/>
      </w:pPr>
      <w:r>
        <w:rPr>
          <w:rFonts w:ascii="Times New Roman" w:cs="Times New Roman" w:eastAsia="Times New Roman" w:hAnsi="Times New Roman"/>
          <w:b/>
          <w:bCs/>
          <w:sz w:val="24"/>
          <w:szCs w:val="24"/>
        </w:rPr>
        <w:t xml:space="preserve">8.3 Field observations paragraph</w:t>
      </w:r>
    </w:p>
    <w:p>
      <w:pPr>
        <w:spacing w:after="120" w:line="276"/>
        <w:jc w:val="both"/>
      </w:pPr>
      <w:r>
        <w:rPr>
          <w:rFonts w:ascii="Times New Roman" w:cs="Times New Roman" w:eastAsia="Times New Roman" w:hAnsi="Times New Roman"/>
          <w:sz w:val="23"/>
          <w:szCs w:val="23"/>
        </w:rPr>
        <w:t xml:space="preserve">Field observations during the survey indicated that lead-acid batteries lose driving distance and speed with use, and that charging time increases after about 1.5 years of service. Some drivers reported charging times of about 7–12 hours or more. In some cases the batteries became very hot during charging, a condition drivers generally did not monitor. Drivers of dry-cell / e-water type batteries reported adding water every one to two weeks, and longer charging was associated with higher charging cost. These charging-time, temperature, maintenance and cost observations were not measured by the questionnaire and are reported as qualitative field observations.</w:t>
      </w:r>
    </w:p>
    <w:p>
      <w:pPr>
        <w:pStyle w:val="Heading2"/>
        <w:spacing w:after="100" w:before="200"/>
      </w:pPr>
      <w:r>
        <w:rPr>
          <w:rFonts w:ascii="Times New Roman" w:cs="Times New Roman" w:eastAsia="Times New Roman" w:hAnsi="Times New Roman"/>
          <w:b/>
          <w:bCs/>
          <w:sz w:val="24"/>
          <w:szCs w:val="24"/>
        </w:rPr>
        <w:t xml:space="preserve">8.4 Suggested data citation</w:t>
      </w:r>
    </w:p>
    <w:p>
      <w:pPr>
        <w:spacing w:after="120" w:line="276"/>
        <w:jc w:val="left"/>
      </w:pPr>
      <w:r>
        <w:rPr>
          <w:rFonts w:ascii="Times New Roman" w:cs="Times New Roman" w:eastAsia="Times New Roman" w:hAnsi="Times New Roman"/>
          <w:sz w:val="23"/>
          <w:szCs w:val="23"/>
        </w:rPr>
        <w:t xml:space="preserve">Kabir, R. (2026). Field Survey on Easy-Bike/E-Rickshaw Battery Use in Bangladesh [Unpublished survey data, n = 43]. Department of Electrical and Electronic Engineering, Khulna University of Engineering &amp; Technology, Khulna, Bangladesh.</w:t>
      </w:r>
    </w:p>
    <w:p>
      <w:pPr>
        <w:pStyle w:val="Heading1"/>
        <w:spacing w:after="140" w:before="300"/>
      </w:pPr>
      <w:r>
        <w:rPr>
          <w:rFonts w:ascii="Times New Roman" w:cs="Times New Roman" w:eastAsia="Times New Roman" w:hAnsi="Times New Roman"/>
          <w:b/>
          <w:bCs/>
          <w:sz w:val="28"/>
          <w:szCs w:val="28"/>
        </w:rPr>
        <w:t xml:space="preserve">9. Data to Collect Next</w:t>
      </w:r>
    </w:p>
    <w:p>
      <w:pPr>
        <w:pStyle w:val="ListParagraph"/>
        <w:numPr>
          <w:ilvl w:val="0"/>
          <w:numId w:val="2"/>
        </w:numPr>
        <w:spacing w:after="80" w:line="276"/>
        <w:jc w:val="both"/>
      </w:pPr>
      <w:r>
        <w:rPr>
          <w:rFonts w:ascii="Times New Roman" w:cs="Times New Roman" w:eastAsia="Times New Roman" w:hAnsi="Times New Roman"/>
          <w:sz w:val="23"/>
          <w:szCs w:val="23"/>
        </w:rPr>
        <w:t xml:space="preserve">Measured charging time (start and end) for several sets of different ages, with the charger and the battery temperature logged during charging.</w:t>
      </w:r>
    </w:p>
    <w:p>
      <w:pPr>
        <w:pStyle w:val="ListParagraph"/>
        <w:numPr>
          <w:ilvl w:val="0"/>
          <w:numId w:val="2"/>
        </w:numPr>
        <w:spacing w:after="80" w:line="276"/>
        <w:jc w:val="both"/>
      </w:pPr>
      <w:r>
        <w:rPr>
          <w:rFonts w:ascii="Times New Roman" w:cs="Times New Roman" w:eastAsia="Times New Roman" w:hAnsi="Times New Roman"/>
          <w:sz w:val="23"/>
          <w:szCs w:val="23"/>
        </w:rPr>
        <w:t xml:space="preserve">Electricity used per charge (kWh) or the cost per charge with a stated unit, so charging cost can be linked to charging time.</w:t>
      </w:r>
    </w:p>
    <w:p>
      <w:pPr>
        <w:pStyle w:val="ListParagraph"/>
        <w:numPr>
          <w:ilvl w:val="0"/>
          <w:numId w:val="2"/>
        </w:numPr>
        <w:spacing w:after="80" w:line="276"/>
        <w:jc w:val="both"/>
      </w:pPr>
      <w:r>
        <w:rPr>
          <w:rFonts w:ascii="Times New Roman" w:cs="Times New Roman" w:eastAsia="Times New Roman" w:hAnsi="Times New Roman"/>
          <w:sz w:val="23"/>
          <w:szCs w:val="23"/>
        </w:rPr>
        <w:t xml:space="preserve">Water top-up interval and battery construction (vented, valve-regulated, “Powder”), with a written definition of each battery type.</w:t>
      </w:r>
    </w:p>
    <w:p>
      <w:pPr>
        <w:pStyle w:val="ListParagraph"/>
        <w:numPr>
          <w:ilvl w:val="0"/>
          <w:numId w:val="2"/>
        </w:numPr>
        <w:spacing w:after="80" w:line="276"/>
        <w:jc w:val="both"/>
      </w:pPr>
      <w:r>
        <w:rPr>
          <w:rFonts w:ascii="Times New Roman" w:cs="Times New Roman" w:eastAsia="Times New Roman" w:hAnsi="Times New Roman"/>
          <w:sz w:val="23"/>
          <w:szCs w:val="23"/>
        </w:rPr>
        <w:t xml:space="preserve">Battery voltage and capacity (Ah) for every set, plus the number of cycles or age at the time of capacity loss.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More LFP respondents, so that the lithium results can be compared with lead-acid with confidence.</w:t>
      </w:r>
    </w:p>
    <w:p>
      <w:r>
        <w:br w:type="page"/>
      </w:r>
    </w:p>
    <w:p>
      <w:pPr>
        <w:pStyle w:val="Heading1"/>
        <w:spacing w:after="140" w:before="300"/>
      </w:pPr>
      <w:r>
        <w:rPr>
          <w:rFonts w:ascii="Times New Roman" w:cs="Times New Roman" w:eastAsia="Times New Roman" w:hAnsi="Times New Roman"/>
          <w:b/>
          <w:bCs/>
          <w:sz w:val="28"/>
          <w:szCs w:val="28"/>
        </w:rPr>
        <w:t xml:space="preserve">Appendix A. Standardised Survey Data Used (n = 43)</w:t>
      </w:r>
    </w:p>
    <w:p>
      <w:pPr>
        <w:spacing w:after="120" w:line="276"/>
        <w:jc w:val="both"/>
      </w:pPr>
      <w:r>
        <w:rPr>
          <w:rFonts w:ascii="Times New Roman" w:cs="Times New Roman" w:eastAsia="Times New Roman" w:hAnsi="Times New Roman"/>
          <w:sz w:val="20"/>
          <w:szCs w:val="20"/>
        </w:rPr>
        <w:t xml:space="preserve">Responses are shown in the order of the original sheet. Daily km and replacement interval are mid-points; resale value is the mid-point of the answer. Charging cost basis: M = stated per month, U = basis not stated, K = kWh units, – = not known. Months in use and replacement interval are in months; costs are in BDT.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700"/>
        <w:gridCol w:w="1000"/>
        <w:gridCol w:w="850"/>
        <w:gridCol w:w="520"/>
        <w:gridCol w:w="650"/>
        <w:gridCol w:w="850"/>
        <w:gridCol w:w="700"/>
        <w:gridCol w:w="700"/>
        <w:gridCol w:w="2606"/>
        <w:gridCol w:w="750"/>
      </w:tblGrid>
      <w:tr>
        <w:trPr>
          <w:cantSplit/>
          <w:tblHeader/>
        </w:trPr>
        <w:tc>
          <w:tcPr>
            <w:tcW w:type="dxa" w:w="42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w:t>
            </w:r>
          </w:p>
        </w:tc>
        <w:tc>
          <w:tcPr>
            <w:tcW w:type="dxa" w:w="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Date</w:t>
            </w:r>
          </w:p>
        </w:tc>
        <w:tc>
          <w:tcPr>
            <w:tcW w:type="dxa" w:w="10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Type</w:t>
            </w:r>
          </w:p>
        </w:tc>
        <w:tc>
          <w:tcPr>
            <w:tcW w:type="dxa" w:w="8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Cost (BDT)</w:t>
            </w:r>
          </w:p>
        </w:tc>
        <w:tc>
          <w:tcPr>
            <w:tcW w:type="dxa" w:w="52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Batt.</w:t>
            </w:r>
          </w:p>
        </w:tc>
        <w:tc>
          <w:tcPr>
            <w:tcW w:type="dxa" w:w="6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Daily km</w:t>
            </w:r>
          </w:p>
        </w:tc>
        <w:tc>
          <w:tcPr>
            <w:tcW w:type="dxa" w:w="8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Charge cost</w:t>
            </w:r>
          </w:p>
        </w:tc>
        <w:tc>
          <w:tcPr>
            <w:tcW w:type="dxa" w:w="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Months in use</w:t>
            </w:r>
          </w:p>
        </w:tc>
        <w:tc>
          <w:tcPr>
            <w:tcW w:type="dxa" w:w="70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Repl. (mid)</w:t>
            </w:r>
          </w:p>
        </w:tc>
        <w:tc>
          <w:tcPr>
            <w:tcW w:type="dxa" w:w="2606"/>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Main problem</w:t>
            </w:r>
          </w:p>
        </w:tc>
        <w:tc>
          <w:tcPr>
            <w:tcW w:type="dxa" w:w="750"/>
            <w:tcBorders>
              <w:top w:val="single" w:color="999999" w:sz="4"/>
              <w:left w:val="single" w:color="999999" w:sz="4"/>
              <w:bottom w:val="single" w:color="999999" w:sz="4"/>
              <w:right w:val="single" w:color="999999" w:sz="4"/>
            </w:tcBorders>
            <w:shd w:fill="E7E6E6" w:color="auto" w:val="clear"/>
            <w:tcMar>
              <w:top w:type="dxa" w:w="50"/>
              <w:left w:type="dxa" w:w="80"/>
              <w:bottom w:type="dxa" w:w="50"/>
              <w:right w:type="dxa" w:w="80"/>
            </w:tcMar>
          </w:tcPr>
          <w:p>
            <w:pPr>
              <w:jc w:val="center"/>
            </w:pPr>
            <w:r>
              <w:rPr>
                <w:rFonts w:ascii="Times New Roman" w:cs="Times New Roman" w:eastAsia="Times New Roman" w:hAnsi="Times New Roman"/>
                <w:b/>
                <w:bCs/>
                <w:sz w:val="15"/>
                <w:szCs w:val="15"/>
              </w:rPr>
              <w:t xml:space="preserve">Resale (BDT)</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08-Oct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29,500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Charger overheating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Fast discharge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13,700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19-Oct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LFP</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65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LFP</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8,500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265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310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70.5</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19-Oct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Low charge / capacity</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20-Oct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LFP</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112,000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 (K)</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54</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21-Oct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Low charge / capacity</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20-Oct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17.5</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22-Oct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LFP</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54</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No problem yet</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22-Oct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17,500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23-Oct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13.5</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23-Oct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Lead-acid</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14</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48,000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23-Oct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40 (U)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11,000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Slow charging</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15,000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LFP</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95,000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33</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16,500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35</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36</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90,000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70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33</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37</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39</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36,000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6</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12,000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40</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41</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42</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26,500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24</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r>
        <w:trPr>
          <w:cantSplit/>
        </w:trPr>
        <w:tc>
          <w:tcPr>
            <w:tcW w:type="dxa" w:w="4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43</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28-Oct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Powder</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27,000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4</w:t>
            </w:r>
          </w:p>
        </w:tc>
        <w:tc>
          <w:tcPr>
            <w:tcW w:type="dxa" w:w="6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50</w:t>
            </w:r>
          </w:p>
        </w:tc>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250 (M)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18</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30</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5"/>
                <w:szCs w:val="15"/>
              </w:rPr>
              <w:t xml:space="preserve">Reduced range</w:t>
            </w:r>
          </w:p>
        </w:tc>
        <w:tc>
          <w:tcPr>
            <w:tcW w:type="dxa" w:w="75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5"/>
                <w:szCs w:val="15"/>
              </w:rPr>
              <w:t xml:space="preserve">10,000</w:t>
            </w:r>
          </w:p>
        </w:tc>
      </w:tr>
    </w:tbl>
    <w:p>
      <w:pPr>
        <w:spacing w:after="160" w:before="60"/>
      </w:pPr>
      <w:r>
        <w:rPr>
          <w:rFonts w:ascii="Times New Roman" w:cs="Times New Roman" w:eastAsia="Times New Roman" w:hAnsi="Times New Roman"/>
          <w:i/>
          <w:iCs/>
          <w:sz w:val="18"/>
          <w:szCs w:val="18"/>
        </w:rPr>
        <w:t xml:space="preserve">Source: author’s field survey, October 2026 (cleaned dataset).</w:t>
      </w:r>
    </w:p>
    <w:p>
      <w:pPr>
        <w:pStyle w:val="Heading1"/>
        <w:spacing w:after="140" w:before="300"/>
      </w:pPr>
      <w:r>
        <w:rPr>
          <w:rFonts w:ascii="Times New Roman" w:cs="Times New Roman" w:eastAsia="Times New Roman" w:hAnsi="Times New Roman"/>
          <w:b/>
          <w:bCs/>
          <w:sz w:val="28"/>
          <w:szCs w:val="28"/>
        </w:rPr>
        <w:t xml:space="preserve">Appendix B. Data Cleaning Rules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The original sheet was left unchanged; all conversions were made on a separate cleaned sheet.</w:t>
      </w:r>
    </w:p>
    <w:p>
      <w:pPr>
        <w:pStyle w:val="ListParagraph"/>
        <w:numPr>
          <w:ilvl w:val="0"/>
          <w:numId w:val="2"/>
        </w:numPr>
        <w:spacing w:after="80" w:line="276"/>
        <w:jc w:val="both"/>
      </w:pPr>
      <w:r>
        <w:rPr>
          <w:rFonts w:ascii="Times New Roman" w:cs="Times New Roman" w:eastAsia="Times New Roman" w:hAnsi="Times New Roman"/>
          <w:sz w:val="23"/>
          <w:szCs w:val="23"/>
        </w:rPr>
        <w:t xml:space="preserve">Bengali digits were converted to Western digits. A “k” suffix was read as thousands of taka (90k = 90,000 BDT).</w:t>
      </w:r>
    </w:p>
    <w:p>
      <w:pPr>
        <w:pStyle w:val="ListParagraph"/>
        <w:numPr>
          <w:ilvl w:val="0"/>
          <w:numId w:val="2"/>
        </w:numPr>
        <w:spacing w:after="80" w:line="276"/>
        <w:jc w:val="both"/>
      </w:pPr>
      <w:r>
        <w:rPr>
          <w:rFonts w:ascii="Times New Roman" w:cs="Times New Roman" w:eastAsia="Times New Roman" w:hAnsi="Times New Roman"/>
          <w:sz w:val="23"/>
          <w:szCs w:val="23"/>
        </w:rPr>
        <w:t xml:space="preserve">Ranges were stored as minimum and maximum; the mid-value is their average. Single values have minimum equal to maximum.</w:t>
      </w:r>
    </w:p>
    <w:p>
      <w:pPr>
        <w:pStyle w:val="ListParagraph"/>
        <w:numPr>
          <w:ilvl w:val="0"/>
          <w:numId w:val="2"/>
        </w:numPr>
        <w:spacing w:after="80" w:line="276"/>
        <w:jc w:val="both"/>
      </w:pPr>
      <w:r>
        <w:rPr>
          <w:rFonts w:ascii="Times New Roman" w:cs="Times New Roman" w:eastAsia="Times New Roman" w:hAnsi="Times New Roman"/>
          <w:sz w:val="23"/>
          <w:szCs w:val="23"/>
        </w:rPr>
        <w:t xml:space="preserve">Years were converted to months (× 12) for months in use and replacement interval.</w:t>
      </w:r>
    </w:p>
    <w:p>
      <w:pPr>
        <w:pStyle w:val="ListParagraph"/>
        <w:numPr>
          <w:ilvl w:val="0"/>
          <w:numId w:val="2"/>
        </w:numPr>
        <w:spacing w:after="80" w:line="276"/>
        <w:jc w:val="both"/>
      </w:pPr>
      <w:r>
        <w:rPr>
          <w:rFonts w:ascii="Times New Roman" w:cs="Times New Roman" w:eastAsia="Times New Roman" w:hAnsi="Times New Roman"/>
          <w:sz w:val="23"/>
          <w:szCs w:val="23"/>
        </w:rPr>
        <w:t xml:space="preserve">Battery count, voltage and Ah were read from free text. Where a pack voltage was given (72 V, 48 V), voltage per battery = pack voltage ÷ number of batteries.</w:t>
      </w:r>
    </w:p>
    <w:p>
      <w:pPr>
        <w:pStyle w:val="ListParagraph"/>
        <w:numPr>
          <w:ilvl w:val="0"/>
          <w:numId w:val="2"/>
        </w:numPr>
        <w:spacing w:after="80" w:line="276"/>
        <w:jc w:val="both"/>
      </w:pPr>
      <w:r>
        <w:rPr>
          <w:rFonts w:ascii="Times New Roman" w:cs="Times New Roman" w:eastAsia="Times New Roman" w:hAnsi="Times New Roman"/>
          <w:sz w:val="23"/>
          <w:szCs w:val="23"/>
        </w:rPr>
        <w:t xml:space="preserve">Daily distance “more than 100 km” was entered as 100 km (lower bound).</w:t>
      </w:r>
    </w:p>
    <w:p>
      <w:pPr>
        <w:pStyle w:val="ListParagraph"/>
        <w:numPr>
          <w:ilvl w:val="0"/>
          <w:numId w:val="2"/>
        </w:numPr>
        <w:spacing w:after="80" w:line="276"/>
        <w:jc w:val="both"/>
      </w:pPr>
      <w:r>
        <w:rPr>
          <w:rFonts w:ascii="Times New Roman" w:cs="Times New Roman" w:eastAsia="Times New Roman" w:hAnsi="Times New Roman"/>
          <w:sz w:val="23"/>
          <w:szCs w:val="23"/>
        </w:rPr>
        <w:t xml:space="preserve">Charging cost answers were stored with a basis label (per month, not stated, kWh units, not known); ranges were replaced by their mid-point.</w:t>
      </w:r>
    </w:p>
    <w:p>
      <w:pPr>
        <w:pStyle w:val="ListParagraph"/>
        <w:numPr>
          <w:ilvl w:val="0"/>
          <w:numId w:val="2"/>
        </w:numPr>
        <w:spacing w:after="80" w:line="276"/>
        <w:jc w:val="both"/>
      </w:pPr>
      <w:r>
        <w:rPr>
          <w:rFonts w:ascii="Times New Roman" w:cs="Times New Roman" w:eastAsia="Times New Roman" w:hAnsi="Times New Roman"/>
          <w:sz w:val="23"/>
          <w:szCs w:val="23"/>
        </w:rPr>
        <w:t xml:space="preserve">“Not yet replaced” and “no change” answers for replacement interval were left blank.</w:t>
      </w:r>
    </w:p>
    <w:p>
      <w:pPr>
        <w:pStyle w:val="ListParagraph"/>
        <w:numPr>
          <w:ilvl w:val="0"/>
          <w:numId w:val="2"/>
        </w:numPr>
        <w:spacing w:after="80" w:line="276"/>
        <w:jc w:val="both"/>
      </w:pPr>
      <w:r>
        <w:rPr>
          <w:rFonts w:ascii="Times New Roman" w:cs="Times New Roman" w:eastAsia="Times New Roman" w:hAnsi="Times New Roman"/>
          <w:sz w:val="23"/>
          <w:szCs w:val="23"/>
        </w:rPr>
        <w:t xml:space="preserve">The resale answer meaning “approximately half” was converted to 50% of the purchase cost.</w:t>
      </w:r>
    </w:p>
    <w:p>
      <w:pPr>
        <w:pStyle w:val="ListParagraph"/>
        <w:numPr>
          <w:ilvl w:val="0"/>
          <w:numId w:val="2"/>
        </w:numPr>
        <w:spacing w:after="80" w:line="276"/>
        <w:jc w:val="both"/>
      </w:pPr>
      <w:r>
        <w:rPr>
          <w:rFonts w:ascii="Times New Roman" w:cs="Times New Roman" w:eastAsia="Times New Roman" w:hAnsi="Times New Roman"/>
          <w:sz w:val="23"/>
          <w:szCs w:val="23"/>
        </w:rPr>
        <w:t xml:space="preserve">Problem answers were translated into six categories; the two Bengali phrasings for low charge were merged.</w:t>
      </w:r>
    </w:p>
    <w:p>
      <w:pPr>
        <w:pStyle w:val="ListParagraph"/>
        <w:numPr>
          <w:ilvl w:val="0"/>
          <w:numId w:val="2"/>
        </w:numPr>
        <w:spacing w:after="80" w:line="276"/>
        <w:jc w:val="both"/>
      </w:pPr>
      <w:r>
        <w:rPr>
          <w:rFonts w:ascii="Times New Roman" w:cs="Times New Roman" w:eastAsia="Times New Roman" w:hAnsi="Times New Roman"/>
          <w:sz w:val="23"/>
          <w:szCs w:val="23"/>
        </w:rPr>
        <w:t xml:space="preserve">Non-LFP rows with purchase cost of 60,000 BDT or more were flagged for verification but not altered.</w:t>
      </w:r>
    </w:p>
    <w:sectPr>
      <w:headerReference w:type="default" r:id="rId7"/>
      <w:footerReference w:type="default" r:id="rId8"/>
      <w:pgSz w:w="11906" w:h="16838"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Easy-Bike Battery Field Survey Note,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2026-10-28T09:39:00.477Z</dcterms:created>
  <dcterms:modified xsi:type="dcterms:W3CDTF">2026-10-28T09:39:00.480Z</dcterms:modified>
</cp:coreProperties>
</file>

<file path=docProps/custom.xml><?xml version="1.0" encoding="utf-8"?>
<Properties xmlns="http://schemas.openxmlformats.org/officeDocument/2006/custom-properties" xmlns:vt="http://schemas.openxmlformats.org/officeDocument/2006/docPropsVTypes"/>
</file>