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56" w:rsidRPr="00185E56" w:rsidRDefault="00185E56" w:rsidP="00185E56">
      <w:pPr>
        <w:spacing w:after="0" w:line="240" w:lineRule="auto"/>
        <w:rPr>
          <w:rFonts w:ascii="Calibri" w:eastAsia="Times New Roman" w:hAnsi="Calibri" w:cs="Tahoma"/>
          <w:lang w:eastAsia="en-IN"/>
        </w:rPr>
      </w:pPr>
      <w:r w:rsidRPr="00185E56">
        <w:rPr>
          <w:rFonts w:ascii="Calibri" w:eastAsia="Times New Roman" w:hAnsi="Calibri" w:cs="Tahoma"/>
          <w:color w:val="1F497D"/>
          <w:lang w:eastAsia="en-IN"/>
        </w:rPr>
        <w:t>Hi All,</w:t>
      </w:r>
    </w:p>
    <w:p w:rsidR="00185E56" w:rsidRPr="00185E56" w:rsidRDefault="00185E56" w:rsidP="00185E56">
      <w:pPr>
        <w:spacing w:after="0" w:line="240" w:lineRule="auto"/>
        <w:rPr>
          <w:rFonts w:ascii="Calibri" w:eastAsia="Times New Roman" w:hAnsi="Calibri" w:cs="Tahoma"/>
          <w:lang w:eastAsia="en-IN"/>
        </w:rPr>
      </w:pPr>
      <w:r w:rsidRPr="00185E56">
        <w:rPr>
          <w:rFonts w:ascii="Calibri" w:eastAsia="Times New Roman" w:hAnsi="Calibri" w:cs="Tahoma"/>
          <w:color w:val="1F497D"/>
          <w:lang w:eastAsia="en-IN"/>
        </w:rPr>
        <w:t> </w:t>
      </w:r>
    </w:p>
    <w:p w:rsidR="00185E56" w:rsidRPr="00185E56" w:rsidRDefault="00185E56" w:rsidP="00185E56">
      <w:pPr>
        <w:spacing w:after="0" w:line="240" w:lineRule="auto"/>
        <w:rPr>
          <w:rFonts w:ascii="Calibri" w:eastAsia="Times New Roman" w:hAnsi="Calibri" w:cs="Tahoma"/>
          <w:lang w:eastAsia="en-IN"/>
        </w:rPr>
      </w:pPr>
      <w:r w:rsidRPr="00185E56">
        <w:rPr>
          <w:rFonts w:ascii="Calibri" w:eastAsia="Times New Roman" w:hAnsi="Calibri" w:cs="Tahoma"/>
          <w:color w:val="1F497D"/>
          <w:lang w:eastAsia="en-IN"/>
        </w:rPr>
        <w:t>+ BI SQUAD</w:t>
      </w:r>
    </w:p>
    <w:p w:rsidR="00185E56" w:rsidRPr="00185E56" w:rsidRDefault="00185E56" w:rsidP="00185E56">
      <w:pPr>
        <w:spacing w:after="0" w:line="240" w:lineRule="auto"/>
        <w:rPr>
          <w:rFonts w:ascii="Calibri" w:eastAsia="Times New Roman" w:hAnsi="Calibri" w:cs="Tahoma"/>
          <w:lang w:eastAsia="en-IN"/>
        </w:rPr>
      </w:pPr>
      <w:r w:rsidRPr="00185E56">
        <w:rPr>
          <w:rFonts w:ascii="Calibri" w:eastAsia="Times New Roman" w:hAnsi="Calibri" w:cs="Tahoma"/>
          <w:color w:val="1F497D"/>
          <w:lang w:eastAsia="en-IN"/>
        </w:rPr>
        <w:t> </w:t>
      </w:r>
    </w:p>
    <w:p w:rsidR="00185E56" w:rsidRPr="00185E56" w:rsidRDefault="00185E56" w:rsidP="00185E56">
      <w:pPr>
        <w:spacing w:after="0" w:line="240" w:lineRule="auto"/>
        <w:rPr>
          <w:rFonts w:ascii="Calibri" w:eastAsia="Times New Roman" w:hAnsi="Calibri" w:cs="Tahoma"/>
          <w:lang w:eastAsia="en-IN"/>
        </w:rPr>
      </w:pPr>
      <w:r w:rsidRPr="00185E56">
        <w:rPr>
          <w:rFonts w:ascii="Calibri" w:eastAsia="Times New Roman" w:hAnsi="Calibri" w:cs="Tahoma"/>
          <w:color w:val="1F497D"/>
          <w:lang w:eastAsia="en-IN"/>
        </w:rPr>
        <w:t>Please find below the criteria and assumption that are considered to proceed with estimation.</w:t>
      </w:r>
    </w:p>
    <w:p w:rsidR="00185E56" w:rsidRPr="00185E56" w:rsidRDefault="00185E56" w:rsidP="00185E56">
      <w:pPr>
        <w:spacing w:after="0" w:line="240" w:lineRule="auto"/>
        <w:rPr>
          <w:rFonts w:ascii="Calibri" w:eastAsia="Times New Roman" w:hAnsi="Calibri" w:cs="Tahoma"/>
          <w:lang w:eastAsia="en-IN"/>
        </w:rPr>
      </w:pPr>
      <w:r w:rsidRPr="00185E56">
        <w:rPr>
          <w:rFonts w:ascii="Calibri" w:eastAsia="Times New Roman" w:hAnsi="Calibri" w:cs="Tahoma"/>
          <w:color w:val="1F497D"/>
          <w:lang w:eastAsia="en-IN"/>
        </w:rPr>
        <w:t>Please confirm the same so that we can proceed with the estimates:</w:t>
      </w:r>
    </w:p>
    <w:p w:rsidR="00185E56" w:rsidRPr="00185E56" w:rsidRDefault="00185E56" w:rsidP="00185E56">
      <w:pPr>
        <w:spacing w:after="0" w:line="240" w:lineRule="auto"/>
        <w:rPr>
          <w:rFonts w:ascii="Calibri" w:eastAsia="Times New Roman" w:hAnsi="Calibri" w:cs="Tahoma"/>
          <w:lang w:eastAsia="en-IN"/>
        </w:rPr>
      </w:pPr>
      <w:r w:rsidRPr="00185E56">
        <w:rPr>
          <w:rFonts w:ascii="Calibri" w:eastAsia="Times New Roman" w:hAnsi="Calibri" w:cs="Tahoma"/>
          <w:color w:val="1F497D"/>
          <w:lang w:eastAsia="en-IN"/>
        </w:rPr>
        <w:t> </w:t>
      </w:r>
    </w:p>
    <w:p w:rsidR="00185E56" w:rsidRPr="00185E56" w:rsidRDefault="00185E56" w:rsidP="00185E56">
      <w:pPr>
        <w:numPr>
          <w:ilvl w:val="0"/>
          <w:numId w:val="1"/>
        </w:numPr>
        <w:spacing w:before="100" w:beforeAutospacing="1" w:after="100" w:afterAutospacing="1" w:line="240" w:lineRule="auto"/>
        <w:ind w:left="120"/>
        <w:rPr>
          <w:rFonts w:ascii="Calibri" w:eastAsia="Times New Roman" w:hAnsi="Calibri" w:cs="Tahoma"/>
          <w:lang w:eastAsia="en-IN"/>
        </w:rPr>
      </w:pPr>
      <w:r w:rsidRPr="00185E56">
        <w:rPr>
          <w:rFonts w:ascii="Calibri" w:eastAsia="Times New Roman" w:hAnsi="Calibri" w:cs="Tahoma"/>
          <w:color w:val="1F497D"/>
          <w:lang w:eastAsia="en-IN"/>
        </w:rPr>
        <w:t xml:space="preserve">General Assumptions </w:t>
      </w:r>
    </w:p>
    <w:p w:rsidR="00185E56" w:rsidRPr="00185E56" w:rsidRDefault="00185E56" w:rsidP="00185E56">
      <w:pPr>
        <w:numPr>
          <w:ilvl w:val="0"/>
          <w:numId w:val="2"/>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Total number of databases for performing migration is one per application </w:t>
      </w:r>
    </w:p>
    <w:p w:rsidR="00185E56" w:rsidRPr="00185E56" w:rsidRDefault="00185E56" w:rsidP="00185E56">
      <w:pPr>
        <w:numPr>
          <w:ilvl w:val="0"/>
          <w:numId w:val="2"/>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Maximum record per table is 200 thousand for any application in any database </w:t>
      </w:r>
    </w:p>
    <w:p w:rsidR="00185E56" w:rsidRPr="00185E56" w:rsidRDefault="00185E56" w:rsidP="00185E56">
      <w:pPr>
        <w:numPr>
          <w:ilvl w:val="0"/>
          <w:numId w:val="2"/>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There are no BLOB or CLOB data available for any application </w:t>
      </w:r>
    </w:p>
    <w:p w:rsidR="00185E56" w:rsidRPr="00185E56" w:rsidRDefault="00185E56" w:rsidP="00185E56">
      <w:pPr>
        <w:numPr>
          <w:ilvl w:val="0"/>
          <w:numId w:val="2"/>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There are no multilingual data </w:t>
      </w:r>
    </w:p>
    <w:p w:rsidR="00185E56" w:rsidRPr="00185E56" w:rsidRDefault="00185E56" w:rsidP="00185E56">
      <w:pPr>
        <w:numPr>
          <w:ilvl w:val="0"/>
          <w:numId w:val="2"/>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Source and Target DB details are not available and we can go ahead and assume as SQL Server where Platform is mentioned as Wintel and DB2 where platform is Mainframe or AIX. </w:t>
      </w:r>
    </w:p>
    <w:p w:rsidR="00185E56" w:rsidRPr="00185E56" w:rsidRDefault="00185E56" w:rsidP="00185E56">
      <w:pPr>
        <w:numPr>
          <w:ilvl w:val="0"/>
          <w:numId w:val="2"/>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There is no Archival in Scope. Existing backup/archival will cover this. </w:t>
      </w:r>
    </w:p>
    <w:p w:rsidR="00185E56" w:rsidRPr="00185E56" w:rsidRDefault="00185E56" w:rsidP="00185E56">
      <w:pPr>
        <w:numPr>
          <w:ilvl w:val="0"/>
          <w:numId w:val="2"/>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Performance tuning is not considered as part of scope </w:t>
      </w:r>
    </w:p>
    <w:p w:rsidR="00185E56" w:rsidRPr="00185E56" w:rsidRDefault="00185E56" w:rsidP="00185E56">
      <w:pPr>
        <w:numPr>
          <w:ilvl w:val="0"/>
          <w:numId w:val="2"/>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There are no ISAM files and VSAM files for migration </w:t>
      </w:r>
    </w:p>
    <w:p w:rsidR="00185E56" w:rsidRPr="00185E56" w:rsidRDefault="00185E56" w:rsidP="00185E56">
      <w:pPr>
        <w:numPr>
          <w:ilvl w:val="0"/>
          <w:numId w:val="2"/>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Data Cleaning is not considered as part of the scope </w:t>
      </w:r>
    </w:p>
    <w:p w:rsidR="00185E56" w:rsidRPr="00185E56" w:rsidRDefault="00185E56" w:rsidP="00185E56">
      <w:pPr>
        <w:numPr>
          <w:ilvl w:val="0"/>
          <w:numId w:val="2"/>
        </w:numPr>
        <w:spacing w:before="100" w:beforeAutospacing="1" w:after="100" w:afterAutospacing="1" w:line="240" w:lineRule="auto"/>
        <w:ind w:left="120"/>
        <w:rPr>
          <w:rFonts w:ascii="Calibri" w:eastAsia="Times New Roman" w:hAnsi="Calibri" w:cs="Tahoma"/>
          <w:lang w:eastAsia="en-IN"/>
        </w:rPr>
      </w:pPr>
      <w:r w:rsidRPr="00185E56">
        <w:rPr>
          <w:rFonts w:ascii="Calibri" w:eastAsia="Times New Roman" w:hAnsi="Calibri" w:cs="Tahoma"/>
          <w:color w:val="1F497D"/>
          <w:lang w:eastAsia="en-IN"/>
        </w:rPr>
        <w:t>Connectivity to all source and target databases with all required privileges shall be made available to perform data extraction from source and load to target databases.</w:t>
      </w:r>
      <w:r w:rsidRPr="00185E56">
        <w:rPr>
          <w:rFonts w:ascii="Calibri" w:eastAsia="Times New Roman" w:hAnsi="Calibri" w:cs="Tahoma"/>
          <w:lang w:eastAsia="en-IN"/>
        </w:rPr>
        <w:t xml:space="preserve"> </w:t>
      </w:r>
    </w:p>
    <w:p w:rsidR="00185E56" w:rsidRPr="00185E56" w:rsidRDefault="00185E56" w:rsidP="00185E56">
      <w:pPr>
        <w:numPr>
          <w:ilvl w:val="0"/>
          <w:numId w:val="3"/>
        </w:numPr>
        <w:spacing w:before="100" w:beforeAutospacing="1" w:after="100" w:afterAutospacing="1" w:line="240" w:lineRule="auto"/>
        <w:ind w:left="120"/>
        <w:rPr>
          <w:rFonts w:ascii="Calibri" w:eastAsia="Times New Roman" w:hAnsi="Calibri" w:cs="Tahoma"/>
          <w:lang w:eastAsia="en-IN"/>
        </w:rPr>
      </w:pPr>
      <w:r w:rsidRPr="00185E56">
        <w:rPr>
          <w:rFonts w:ascii="Calibri" w:eastAsia="Times New Roman" w:hAnsi="Calibri" w:cs="Tahoma"/>
          <w:color w:val="1F497D"/>
          <w:lang w:eastAsia="en-IN"/>
        </w:rPr>
        <w:t xml:space="preserve">Assumption for </w:t>
      </w:r>
      <w:proofErr w:type="spellStart"/>
      <w:r w:rsidRPr="00185E56">
        <w:rPr>
          <w:rFonts w:ascii="Calibri" w:eastAsia="Times New Roman" w:hAnsi="Calibri" w:cs="Tahoma"/>
          <w:color w:val="1F497D"/>
          <w:lang w:eastAsia="en-IN"/>
        </w:rPr>
        <w:t>Relplatform</w:t>
      </w:r>
      <w:proofErr w:type="spellEnd"/>
      <w:r w:rsidRPr="00185E56">
        <w:rPr>
          <w:rFonts w:ascii="Calibri" w:eastAsia="Times New Roman" w:hAnsi="Calibri" w:cs="Tahoma"/>
          <w:color w:val="1F497D"/>
          <w:lang w:eastAsia="en-IN"/>
        </w:rPr>
        <w:t xml:space="preserve"> Category</w:t>
      </w:r>
      <w:r w:rsidRPr="00185E56">
        <w:rPr>
          <w:rFonts w:ascii="Calibri" w:eastAsia="Times New Roman" w:hAnsi="Calibri" w:cs="Tahoma"/>
          <w:lang w:eastAsia="en-IN"/>
        </w:rPr>
        <w:t xml:space="preserve"> </w:t>
      </w:r>
    </w:p>
    <w:p w:rsidR="00185E56" w:rsidRPr="00185E56" w:rsidRDefault="00185E56" w:rsidP="00185E56">
      <w:pPr>
        <w:numPr>
          <w:ilvl w:val="0"/>
          <w:numId w:val="4"/>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As per the data in </w:t>
      </w:r>
      <w:proofErr w:type="spellStart"/>
      <w:r w:rsidRPr="00185E56">
        <w:rPr>
          <w:rFonts w:ascii="Calibri" w:eastAsia="Times New Roman" w:hAnsi="Calibri" w:cs="Tahoma"/>
          <w:color w:val="1F497D"/>
          <w:lang w:eastAsia="en-IN"/>
        </w:rPr>
        <w:t>Janus_App_Transition_Plan</w:t>
      </w:r>
      <w:proofErr w:type="spellEnd"/>
      <w:r w:rsidRPr="00185E56">
        <w:rPr>
          <w:rFonts w:ascii="Calibri" w:eastAsia="Times New Roman" w:hAnsi="Calibri" w:cs="Tahoma"/>
          <w:color w:val="1F497D"/>
          <w:lang w:eastAsia="en-IN"/>
        </w:rPr>
        <w:t xml:space="preserve"> V5 excel, the applications in scope for migration are with Status mentioned as “</w:t>
      </w:r>
      <w:proofErr w:type="spellStart"/>
      <w:r w:rsidRPr="00185E56">
        <w:rPr>
          <w:rFonts w:ascii="Calibri" w:eastAsia="Times New Roman" w:hAnsi="Calibri" w:cs="Tahoma"/>
          <w:color w:val="1F497D"/>
          <w:lang w:eastAsia="en-IN"/>
        </w:rPr>
        <w:t>Replatform</w:t>
      </w:r>
      <w:proofErr w:type="spellEnd"/>
      <w:r w:rsidRPr="00185E56">
        <w:rPr>
          <w:rFonts w:ascii="Calibri" w:eastAsia="Times New Roman" w:hAnsi="Calibri" w:cs="Tahoma"/>
          <w:color w:val="1F497D"/>
          <w:lang w:eastAsia="en-IN"/>
        </w:rPr>
        <w:t>”, Owner mentioned as “AVM” and Application Layer mentioned as “Clinical Management”, “Clinical Back Office” or “</w:t>
      </w:r>
      <w:proofErr w:type="spellStart"/>
      <w:r w:rsidRPr="00185E56">
        <w:rPr>
          <w:rFonts w:ascii="Calibri" w:eastAsia="Times New Roman" w:hAnsi="Calibri" w:cs="Tahoma"/>
          <w:color w:val="1F497D"/>
          <w:lang w:eastAsia="en-IN"/>
        </w:rPr>
        <w:t>Payor</w:t>
      </w:r>
      <w:proofErr w:type="spellEnd"/>
      <w:r w:rsidRPr="00185E56">
        <w:rPr>
          <w:rFonts w:ascii="Calibri" w:eastAsia="Times New Roman" w:hAnsi="Calibri" w:cs="Tahoma"/>
          <w:color w:val="1F497D"/>
          <w:lang w:eastAsia="en-IN"/>
        </w:rPr>
        <w:t xml:space="preserve"> back Office”. For this condition total number of In-scope application are 14 and source platform is AIX and target is Linux. </w:t>
      </w:r>
    </w:p>
    <w:p w:rsidR="00185E56" w:rsidRPr="00185E56" w:rsidRDefault="00185E56" w:rsidP="00185E56">
      <w:pPr>
        <w:numPr>
          <w:ilvl w:val="0"/>
          <w:numId w:val="4"/>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Since Source is AIX and Target is Linux it is considered only as same Database being migrated from AIX to Linux </w:t>
      </w:r>
    </w:p>
    <w:p w:rsidR="00185E56" w:rsidRPr="00185E56" w:rsidRDefault="00185E56" w:rsidP="00185E56">
      <w:pPr>
        <w:numPr>
          <w:ilvl w:val="0"/>
          <w:numId w:val="4"/>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Database Migration alone is in scope </w:t>
      </w:r>
    </w:p>
    <w:p w:rsidR="00185E56" w:rsidRPr="00185E56" w:rsidRDefault="00185E56" w:rsidP="00185E56">
      <w:pPr>
        <w:numPr>
          <w:ilvl w:val="0"/>
          <w:numId w:val="4"/>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There is no transformation effort since it is Database Migration </w:t>
      </w:r>
    </w:p>
    <w:p w:rsidR="00185E56" w:rsidRPr="00185E56" w:rsidRDefault="00185E56" w:rsidP="00185E56">
      <w:pPr>
        <w:numPr>
          <w:ilvl w:val="0"/>
          <w:numId w:val="4"/>
        </w:numPr>
        <w:spacing w:before="100" w:beforeAutospacing="1" w:after="100" w:afterAutospacing="1" w:line="240" w:lineRule="auto"/>
        <w:ind w:left="120"/>
        <w:rPr>
          <w:rFonts w:ascii="Calibri" w:eastAsia="Times New Roman" w:hAnsi="Calibri" w:cs="Tahoma"/>
          <w:lang w:eastAsia="en-IN"/>
        </w:rPr>
      </w:pPr>
      <w:r w:rsidRPr="00185E56">
        <w:rPr>
          <w:rFonts w:ascii="Calibri" w:eastAsia="Times New Roman" w:hAnsi="Calibri" w:cs="Tahoma"/>
          <w:color w:val="1F497D"/>
          <w:lang w:eastAsia="en-IN"/>
        </w:rPr>
        <w:t>Only smoke test is considered for estimation</w:t>
      </w:r>
      <w:r w:rsidRPr="00185E56">
        <w:rPr>
          <w:rFonts w:ascii="Calibri" w:eastAsia="Times New Roman" w:hAnsi="Calibri" w:cs="Tahoma"/>
          <w:lang w:eastAsia="en-IN"/>
        </w:rPr>
        <w:t xml:space="preserve"> </w:t>
      </w:r>
    </w:p>
    <w:p w:rsidR="00185E56" w:rsidRPr="00185E56" w:rsidRDefault="00185E56" w:rsidP="00185E56">
      <w:pPr>
        <w:numPr>
          <w:ilvl w:val="0"/>
          <w:numId w:val="5"/>
        </w:numPr>
        <w:spacing w:before="100" w:beforeAutospacing="1" w:after="100" w:afterAutospacing="1" w:line="240" w:lineRule="auto"/>
        <w:ind w:left="120"/>
        <w:rPr>
          <w:rFonts w:ascii="Calibri" w:eastAsia="Times New Roman" w:hAnsi="Calibri" w:cs="Tahoma"/>
          <w:lang w:eastAsia="en-IN"/>
        </w:rPr>
      </w:pPr>
      <w:r w:rsidRPr="00185E56">
        <w:rPr>
          <w:rFonts w:ascii="Calibri" w:eastAsia="Times New Roman" w:hAnsi="Calibri" w:cs="Tahoma"/>
          <w:color w:val="1F497D"/>
          <w:lang w:eastAsia="en-IN"/>
        </w:rPr>
        <w:t>Assumption for Retire Category</w:t>
      </w:r>
      <w:r w:rsidRPr="00185E56">
        <w:rPr>
          <w:rFonts w:ascii="Calibri" w:eastAsia="Times New Roman" w:hAnsi="Calibri" w:cs="Tahoma"/>
          <w:lang w:eastAsia="en-IN"/>
        </w:rPr>
        <w:t xml:space="preserve"> </w:t>
      </w:r>
    </w:p>
    <w:p w:rsidR="00185E56" w:rsidRPr="00185E56" w:rsidRDefault="00185E56" w:rsidP="00185E56">
      <w:pPr>
        <w:numPr>
          <w:ilvl w:val="0"/>
          <w:numId w:val="6"/>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As per the data in </w:t>
      </w:r>
      <w:proofErr w:type="spellStart"/>
      <w:r w:rsidRPr="00185E56">
        <w:rPr>
          <w:rFonts w:ascii="Calibri" w:eastAsia="Times New Roman" w:hAnsi="Calibri" w:cs="Tahoma"/>
          <w:color w:val="1F497D"/>
          <w:lang w:eastAsia="en-IN"/>
        </w:rPr>
        <w:t>Janus_App_Transition_Plan</w:t>
      </w:r>
      <w:proofErr w:type="spellEnd"/>
      <w:r w:rsidRPr="00185E56">
        <w:rPr>
          <w:rFonts w:ascii="Calibri" w:eastAsia="Times New Roman" w:hAnsi="Calibri" w:cs="Tahoma"/>
          <w:color w:val="1F497D"/>
          <w:lang w:eastAsia="en-IN"/>
        </w:rPr>
        <w:t xml:space="preserve"> V5 excel, the applications in scope for migration are with Status mentioned as “Retire”, Owner mentioned as “AVM” and Application Layer mentioned as “Clinical Management”, “Clinical Back Office” or “</w:t>
      </w:r>
      <w:proofErr w:type="spellStart"/>
      <w:r w:rsidRPr="00185E56">
        <w:rPr>
          <w:rFonts w:ascii="Calibri" w:eastAsia="Times New Roman" w:hAnsi="Calibri" w:cs="Tahoma"/>
          <w:color w:val="1F497D"/>
          <w:lang w:eastAsia="en-IN"/>
        </w:rPr>
        <w:t>Payor</w:t>
      </w:r>
      <w:proofErr w:type="spellEnd"/>
      <w:r w:rsidRPr="00185E56">
        <w:rPr>
          <w:rFonts w:ascii="Calibri" w:eastAsia="Times New Roman" w:hAnsi="Calibri" w:cs="Tahoma"/>
          <w:color w:val="1F497D"/>
          <w:lang w:eastAsia="en-IN"/>
        </w:rPr>
        <w:t xml:space="preserve"> back Office”. For this condition total number of In-scope application are 28. </w:t>
      </w:r>
    </w:p>
    <w:p w:rsidR="00185E56" w:rsidRPr="00185E56" w:rsidRDefault="00185E56" w:rsidP="00185E56">
      <w:pPr>
        <w:numPr>
          <w:ilvl w:val="0"/>
          <w:numId w:val="6"/>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Only one time migration is required for all application and there is no parallel migration, periodic data refresh or incremental migration planned. </w:t>
      </w:r>
    </w:p>
    <w:p w:rsidR="00185E56" w:rsidRPr="00185E56" w:rsidRDefault="00185E56" w:rsidP="00185E56">
      <w:pPr>
        <w:numPr>
          <w:ilvl w:val="0"/>
          <w:numId w:val="6"/>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Data Model and DDL is not in scope and tables will be available in Target DB </w:t>
      </w:r>
    </w:p>
    <w:p w:rsidR="00185E56" w:rsidRPr="00185E56" w:rsidRDefault="00185E56" w:rsidP="00185E56">
      <w:pPr>
        <w:numPr>
          <w:ilvl w:val="0"/>
          <w:numId w:val="6"/>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Data Mapping between source and target tables shall be provided by Customer </w:t>
      </w:r>
    </w:p>
    <w:p w:rsidR="00185E56" w:rsidRPr="00185E56" w:rsidRDefault="00185E56" w:rsidP="00185E56">
      <w:pPr>
        <w:numPr>
          <w:ilvl w:val="0"/>
          <w:numId w:val="6"/>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Total number of tables for performing database migration in each application is 100 and 50% of this will be unique in all databases and 50% may require customization. Hence total unique tables considered is 2100 that includes (1400 (28 Apps * 50 tables) and Customized number of tables is considered as 700(28 Apps*50 Tables*.5)) </w:t>
      </w:r>
    </w:p>
    <w:p w:rsidR="00185E56" w:rsidRPr="00185E56" w:rsidRDefault="00185E56" w:rsidP="00185E56">
      <w:pPr>
        <w:numPr>
          <w:ilvl w:val="0"/>
          <w:numId w:val="6"/>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There may be a maximum of 50% transformation effort </w:t>
      </w:r>
    </w:p>
    <w:p w:rsidR="00185E56" w:rsidRPr="00185E56" w:rsidRDefault="00185E56" w:rsidP="00185E56">
      <w:pPr>
        <w:numPr>
          <w:ilvl w:val="0"/>
          <w:numId w:val="6"/>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lastRenderedPageBreak/>
        <w:t xml:space="preserve">Data Migration alone is in scope and Database object migration is not in scope </w:t>
      </w:r>
    </w:p>
    <w:p w:rsidR="00185E56" w:rsidRPr="00185E56" w:rsidRDefault="00185E56" w:rsidP="00185E56">
      <w:pPr>
        <w:numPr>
          <w:ilvl w:val="0"/>
          <w:numId w:val="6"/>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Interfaces from new Target database to move data from “Target System” to “</w:t>
      </w:r>
      <w:proofErr w:type="spellStart"/>
      <w:r w:rsidRPr="00185E56">
        <w:rPr>
          <w:rFonts w:ascii="Calibri" w:eastAsia="Times New Roman" w:hAnsi="Calibri" w:cs="Tahoma"/>
          <w:color w:val="1F497D"/>
          <w:lang w:eastAsia="en-IN"/>
        </w:rPr>
        <w:t>Datawarehouse</w:t>
      </w:r>
      <w:proofErr w:type="spellEnd"/>
      <w:r w:rsidRPr="00185E56">
        <w:rPr>
          <w:rFonts w:ascii="Calibri" w:eastAsia="Times New Roman" w:hAnsi="Calibri" w:cs="Tahoma"/>
          <w:color w:val="1F497D"/>
          <w:lang w:eastAsia="en-IN"/>
        </w:rPr>
        <w:t xml:space="preserve">” to enable existing functionality is considered as part of scope </w:t>
      </w:r>
    </w:p>
    <w:p w:rsidR="00185E56" w:rsidRPr="00185E56" w:rsidRDefault="00185E56" w:rsidP="00185E56">
      <w:pPr>
        <w:numPr>
          <w:ilvl w:val="0"/>
          <w:numId w:val="6"/>
        </w:numPr>
        <w:spacing w:before="100" w:beforeAutospacing="1" w:after="100" w:afterAutospacing="1" w:line="240" w:lineRule="auto"/>
        <w:ind w:left="120"/>
        <w:rPr>
          <w:rFonts w:ascii="Calibri" w:eastAsia="Times New Roman" w:hAnsi="Calibri" w:cs="Tahoma"/>
          <w:color w:val="1F497D"/>
          <w:lang w:eastAsia="en-IN"/>
        </w:rPr>
      </w:pPr>
      <w:r w:rsidRPr="00185E56">
        <w:rPr>
          <w:rFonts w:ascii="Calibri" w:eastAsia="Times New Roman" w:hAnsi="Calibri" w:cs="Tahoma"/>
          <w:color w:val="1F497D"/>
          <w:lang w:eastAsia="en-IN"/>
        </w:rPr>
        <w:t xml:space="preserve">Data Migration effort will be based on complexity and the total number of tables will be split as 40% simple, 40% medium and 20% complex for proceeding with estimation </w:t>
      </w:r>
    </w:p>
    <w:p w:rsidR="00185E56" w:rsidRPr="00185E56" w:rsidRDefault="00185E56" w:rsidP="00185E56">
      <w:pPr>
        <w:numPr>
          <w:ilvl w:val="0"/>
          <w:numId w:val="6"/>
        </w:numPr>
        <w:spacing w:before="100" w:beforeAutospacing="1" w:after="100" w:afterAutospacing="1" w:line="240" w:lineRule="auto"/>
        <w:ind w:left="120"/>
        <w:rPr>
          <w:rFonts w:ascii="Calibri" w:eastAsia="Times New Roman" w:hAnsi="Calibri" w:cs="Tahoma"/>
          <w:lang w:eastAsia="en-IN"/>
        </w:rPr>
      </w:pPr>
      <w:r w:rsidRPr="00185E56">
        <w:rPr>
          <w:rFonts w:ascii="Calibri" w:eastAsia="Times New Roman" w:hAnsi="Calibri" w:cs="Tahoma"/>
          <w:color w:val="1F497D"/>
          <w:shd w:val="clear" w:color="auto" w:fill="FFFF00"/>
          <w:lang w:eastAsia="en-IN"/>
        </w:rPr>
        <w:t>Interface effort will be based on complexity and the total number of tables will be split as 20% simple, 40% medium and 40% complex for proceeding with estimation</w:t>
      </w:r>
      <w:r w:rsidRPr="00185E56">
        <w:rPr>
          <w:rFonts w:ascii="Calibri" w:eastAsia="Times New Roman" w:hAnsi="Calibri" w:cs="Tahoma"/>
          <w:lang w:eastAsia="en-IN"/>
        </w:rPr>
        <w:t xml:space="preserve"> </w:t>
      </w:r>
    </w:p>
    <w:p w:rsidR="00185E56" w:rsidRPr="00185E56" w:rsidRDefault="00185E56" w:rsidP="00185E56">
      <w:pPr>
        <w:numPr>
          <w:ilvl w:val="0"/>
          <w:numId w:val="7"/>
        </w:numPr>
        <w:spacing w:before="100" w:beforeAutospacing="1" w:after="100" w:afterAutospacing="1" w:line="240" w:lineRule="auto"/>
        <w:ind w:left="120"/>
        <w:rPr>
          <w:rFonts w:ascii="Calibri" w:eastAsia="Times New Roman" w:hAnsi="Calibri" w:cs="Tahoma"/>
          <w:lang w:eastAsia="en-IN"/>
        </w:rPr>
      </w:pPr>
      <w:r w:rsidRPr="00185E56">
        <w:rPr>
          <w:rFonts w:ascii="Calibri" w:eastAsia="Times New Roman" w:hAnsi="Calibri" w:cs="Tahoma"/>
          <w:color w:val="1F497D"/>
          <w:lang w:eastAsia="en-IN"/>
        </w:rPr>
        <w:t>We can suggest accelerators for Data Migration as well as Database Migration</w:t>
      </w:r>
      <w:r w:rsidRPr="00185E56">
        <w:rPr>
          <w:rFonts w:ascii="Calibri" w:eastAsia="Times New Roman" w:hAnsi="Calibri" w:cs="Tahoma"/>
          <w:lang w:eastAsia="en-IN"/>
        </w:rPr>
        <w:t xml:space="preserve"> </w:t>
      </w:r>
    </w:p>
    <w:p w:rsidR="00E8559A" w:rsidRDefault="00E8559A"/>
    <w:sectPr w:rsidR="00E8559A" w:rsidSect="00E855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31157"/>
    <w:multiLevelType w:val="multilevel"/>
    <w:tmpl w:val="DB7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456807"/>
    <w:multiLevelType w:val="multilevel"/>
    <w:tmpl w:val="2D14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C634AD"/>
    <w:multiLevelType w:val="multilevel"/>
    <w:tmpl w:val="FA7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A72580"/>
    <w:multiLevelType w:val="multilevel"/>
    <w:tmpl w:val="9892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EC638D"/>
    <w:multiLevelType w:val="multilevel"/>
    <w:tmpl w:val="67A2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691D64"/>
    <w:multiLevelType w:val="multilevel"/>
    <w:tmpl w:val="6CE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985AE2"/>
    <w:multiLevelType w:val="multilevel"/>
    <w:tmpl w:val="CE14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5E56"/>
    <w:rsid w:val="00185E56"/>
    <w:rsid w:val="00E855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5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44672192">
      <w:bodyDiv w:val="1"/>
      <w:marLeft w:val="120"/>
      <w:marRight w:val="120"/>
      <w:marTop w:val="0"/>
      <w:marBottom w:val="120"/>
      <w:divBdr>
        <w:top w:val="none" w:sz="0" w:space="0" w:color="auto"/>
        <w:left w:val="none" w:sz="0" w:space="0" w:color="auto"/>
        <w:bottom w:val="none" w:sz="0" w:space="0" w:color="auto"/>
        <w:right w:val="none" w:sz="0" w:space="0" w:color="auto"/>
      </w:divBdr>
      <w:divsChild>
        <w:div w:id="2029870038">
          <w:marLeft w:val="0"/>
          <w:marRight w:val="0"/>
          <w:marTop w:val="0"/>
          <w:marBottom w:val="0"/>
          <w:divBdr>
            <w:top w:val="none" w:sz="0" w:space="0" w:color="auto"/>
            <w:left w:val="none" w:sz="0" w:space="0" w:color="auto"/>
            <w:bottom w:val="none" w:sz="0" w:space="0" w:color="auto"/>
            <w:right w:val="none" w:sz="0" w:space="0" w:color="auto"/>
          </w:divBdr>
          <w:divsChild>
            <w:div w:id="1396127941">
              <w:marLeft w:val="0"/>
              <w:marRight w:val="0"/>
              <w:marTop w:val="0"/>
              <w:marBottom w:val="0"/>
              <w:divBdr>
                <w:top w:val="none" w:sz="0" w:space="0" w:color="auto"/>
                <w:left w:val="none" w:sz="0" w:space="0" w:color="auto"/>
                <w:bottom w:val="none" w:sz="0" w:space="0" w:color="auto"/>
                <w:right w:val="none" w:sz="0" w:space="0" w:color="auto"/>
              </w:divBdr>
              <w:divsChild>
                <w:div w:id="525564700">
                  <w:marLeft w:val="0"/>
                  <w:marRight w:val="0"/>
                  <w:marTop w:val="0"/>
                  <w:marBottom w:val="0"/>
                  <w:divBdr>
                    <w:top w:val="none" w:sz="0" w:space="0" w:color="auto"/>
                    <w:left w:val="none" w:sz="0" w:space="0" w:color="auto"/>
                    <w:bottom w:val="none" w:sz="0" w:space="0" w:color="auto"/>
                    <w:right w:val="none" w:sz="0" w:space="0" w:color="auto"/>
                  </w:divBdr>
                </w:div>
                <w:div w:id="419639937">
                  <w:marLeft w:val="0"/>
                  <w:marRight w:val="0"/>
                  <w:marTop w:val="0"/>
                  <w:marBottom w:val="0"/>
                  <w:divBdr>
                    <w:top w:val="none" w:sz="0" w:space="0" w:color="auto"/>
                    <w:left w:val="none" w:sz="0" w:space="0" w:color="auto"/>
                    <w:bottom w:val="none" w:sz="0" w:space="0" w:color="auto"/>
                    <w:right w:val="none" w:sz="0" w:space="0" w:color="auto"/>
                  </w:divBdr>
                </w:div>
                <w:div w:id="168643595">
                  <w:marLeft w:val="0"/>
                  <w:marRight w:val="0"/>
                  <w:marTop w:val="0"/>
                  <w:marBottom w:val="0"/>
                  <w:divBdr>
                    <w:top w:val="none" w:sz="0" w:space="0" w:color="auto"/>
                    <w:left w:val="none" w:sz="0" w:space="0" w:color="auto"/>
                    <w:bottom w:val="none" w:sz="0" w:space="0" w:color="auto"/>
                    <w:right w:val="none" w:sz="0" w:space="0" w:color="auto"/>
                  </w:divBdr>
                </w:div>
                <w:div w:id="1550069279">
                  <w:marLeft w:val="0"/>
                  <w:marRight w:val="0"/>
                  <w:marTop w:val="0"/>
                  <w:marBottom w:val="0"/>
                  <w:divBdr>
                    <w:top w:val="none" w:sz="0" w:space="0" w:color="auto"/>
                    <w:left w:val="none" w:sz="0" w:space="0" w:color="auto"/>
                    <w:bottom w:val="none" w:sz="0" w:space="0" w:color="auto"/>
                    <w:right w:val="none" w:sz="0" w:space="0" w:color="auto"/>
                  </w:divBdr>
                </w:div>
                <w:div w:id="1844663287">
                  <w:marLeft w:val="0"/>
                  <w:marRight w:val="0"/>
                  <w:marTop w:val="0"/>
                  <w:marBottom w:val="0"/>
                  <w:divBdr>
                    <w:top w:val="none" w:sz="0" w:space="0" w:color="auto"/>
                    <w:left w:val="none" w:sz="0" w:space="0" w:color="auto"/>
                    <w:bottom w:val="none" w:sz="0" w:space="0" w:color="auto"/>
                    <w:right w:val="none" w:sz="0" w:space="0" w:color="auto"/>
                  </w:divBdr>
                </w:div>
                <w:div w:id="1447848903">
                  <w:marLeft w:val="0"/>
                  <w:marRight w:val="0"/>
                  <w:marTop w:val="0"/>
                  <w:marBottom w:val="0"/>
                  <w:divBdr>
                    <w:top w:val="none" w:sz="0" w:space="0" w:color="auto"/>
                    <w:left w:val="none" w:sz="0" w:space="0" w:color="auto"/>
                    <w:bottom w:val="none" w:sz="0" w:space="0" w:color="auto"/>
                    <w:right w:val="none" w:sz="0" w:space="0" w:color="auto"/>
                  </w:divBdr>
                </w:div>
                <w:div w:id="15928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2903</Characters>
  <Application>Microsoft Office Word</Application>
  <DocSecurity>0</DocSecurity>
  <Lines>24</Lines>
  <Paragraphs>6</Paragraphs>
  <ScaleCrop>false</ScaleCrop>
  <Company>Hewlett-Packard</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rkrchari</dc:creator>
  <cp:lastModifiedBy>rkrchari</cp:lastModifiedBy>
  <cp:revision>1</cp:revision>
  <dcterms:created xsi:type="dcterms:W3CDTF">2015-03-01T05:02:00Z</dcterms:created>
  <dcterms:modified xsi:type="dcterms:W3CDTF">2015-03-01T05:03:00Z</dcterms:modified>
</cp:coreProperties>
</file>