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100" w:after="80" w:line="276" w:lineRule="auto"/>
        <w:jc w:val="center"/>
      </w:pPr>
      <w:r>
        <w:rPr>
          <w:b/>
          <w:sz w:val="38"/>
          <w:szCs w:val="38"/>
          <w:color w:val="1E3A8A"/>
        </w:rPr>
        <w:t xml:space="preserve">DOKUMEN SINKRONISASI PENELITIAN &amp; PRODUK LUARAN SISTEM</w:t>
      </w:r>
    </w:p>
    <w:p>
      <w:pPr>
        <w:spacing w:before="0" w:after="320" w:line="276" w:lineRule="auto"/>
        <w:jc w:val="center"/>
      </w:pPr>
      <w:r>
        <w:rPr>
          <w:i/>
          <w:sz w:val="24"/>
          <w:szCs w:val="24"/>
          <w:color w:val="64748B"/>
        </w:rPr>
        <w:t xml:space="preserve">Integrasi Protokol Terapi Exercise Berbasis Gerak Fungsional dengan Platform Digital AI-ERGO</w:t>
      </w:r>
    </w:p>
    <w:p>
      <w:pPr>
        <w:spacing w:before="120" w:after="40" w:line="276" w:lineRule="auto"/>
        <w:shd w:val="clear" w:color="auto" w:fill="EFF6FF"/>
      </w:pPr>
      <w:r>
        <w:rPr>
          <w:b/>
          <w:sz w:val="23"/>
          <w:szCs w:val="23"/>
          <w:color w:val="1E40AF"/>
        </w:rPr>
        <w:t xml:space="preserve">IDENTITAS PENELITIAN &amp; PRODUK TEKNOLOGI</w:t>
      </w:r>
    </w:p>
    <w:p>
      <w:pPr>
        <w:spacing w:before="0" w:after="140" w:line="276" w:lineRule="auto"/>
        <w:shd w:val="clear" w:color="auto" w:fill="EFF6FF"/>
      </w:pPr>
      <w:r>
        <w:rPr>
          <w:sz w:val="21"/>
          <w:szCs w:val="21"/>
          <w:color w:val="1E293B"/>
        </w:rPr>
        <w:t xml:space="preserve">• Judul Penelitian: Pengembangan Protokol Terapi Exercise Berbasis Gerak Fungsional terhadap Penurunan Nyeri dan Peningkatan Fungsi pada Gangguan Muskuloskeletal Akibat Aktivitas Postural
• Produk Luaran: AI-ERGO System (AI-Assisted Ergonomic Risk Assessment &amp; Functional Movement Therapy System)
• Kategori Produk: Digital Health / Tele-Therapeutics Platform (Web-Based Application)
• Tech Stack: PHP 8.0+ Native MVC, MySQL Relational DB, Bootstrap 5.3, Chart.js 4.x, Google Gemini / Groq LLM API</w:t>
      </w:r>
    </w:p>
    <w:p>
      <w:pPr>
        <w:spacing w:before="300" w:after="140" w:line="276" w:lineRule="auto"/>
      </w:pPr>
      <w:r>
        <w:rPr>
          <w:b/>
          <w:sz w:val="30"/>
          <w:szCs w:val="30"/>
          <w:color w:val="1E3A8A"/>
        </w:rPr>
        <w:t xml:space="preserve">1. PENDAHULUAN &amp; RASIONALISASI INTEGRASI</w:t>
      </w:r>
    </w:p>
    <w:p>
      <w:pPr>
        <w:spacing w:before="240" w:after="100" w:line="276" w:lineRule="auto"/>
      </w:pPr>
      <w:r>
        <w:rPr>
          <w:b/>
          <w:sz w:val="26"/>
          <w:szCs w:val="26"/>
          <w:color w:val="0284C7"/>
        </w:rPr>
        <w:t xml:space="preserve">1.1 Latar Belakang Kebutuhan Penyelarasan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Aktivitas postural kerja yang bersifat statis, berulang (repetitive), dan berlangsung lama seperti duduk membungkuk di depan komputer (prolonged sitting) merupakan faktor biomekanik utama pemicu Work-related Musculoskeletal Disorders (WMSDs). Dalam tata laksana konvensional, protokol terapi latihan umumnya diberikan melalui selebaran kertas (flyer) atau instruksi verbal singkat.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Pendekatan konvensional tersebut memiliki keterbatasan kritis, antara lain:</w:t>
      </w:r>
    </w:p>
    <w:p>
      <w:pPr>
        <w:spacing w:before="0" w:after="140" w:line="276" w:lineRule="auto"/>
        <w:ind w:left="400" w:hanging="240"/>
      </w:pPr>
      <w:r>
        <w:rPr>
          <w:sz w:val="23"/>
          <w:szCs w:val="23"/>
          <w:color w:val="222222"/>
        </w:rPr>
        <w:t xml:space="preserve">• Tingkat kepatuhan (adherence) pasien yang rendah akibat minimnya media interaktif dan panduan visual yang jelas.</w:t>
      </w:r>
    </w:p>
    <w:p>
      <w:pPr>
        <w:spacing w:before="0" w:after="140" w:line="276" w:lineRule="auto"/>
        <w:ind w:left="400" w:hanging="240"/>
      </w:pPr>
      <w:r>
        <w:rPr>
          <w:sz w:val="23"/>
          <w:szCs w:val="23"/>
          <w:color w:val="222222"/>
        </w:rPr>
        <w:t xml:space="preserve">• Tidak adanya personalisasi dosis latihan secara real-time berdasarkan titik nyeri spesifik masing-masing individu.</w:t>
      </w:r>
    </w:p>
    <w:p>
      <w:pPr>
        <w:spacing w:before="0" w:after="140" w:line="276" w:lineRule="auto"/>
        <w:ind w:left="400" w:hanging="240"/>
      </w:pPr>
      <w:r>
        <w:rPr>
          <w:sz w:val="23"/>
          <w:szCs w:val="23"/>
          <w:color w:val="222222"/>
        </w:rPr>
        <w:t xml:space="preserve">• Ketiadaan sistem pencatatan data perkembangan nyeri dan perbaikan fungsi yang objektif dan berkesinambungan.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Integrasi antara penelitian "Pengembangan Protokol Terapi Exercise Berbasis Gerak Fungsional" dengan perangkat lunak AI-ERGO mengubah naskah protokol dari sekadar dokumen teoritis menjadi sebuah Digital Therapeutics (DTx) Platform yang siap diterapkan dan diuji secara empiris di lapangan.</w:t>
      </w:r>
    </w:p>
    <w:p>
      <w:pPr>
        <w:spacing w:before="240" w:after="100" w:line="276" w:lineRule="auto"/>
      </w:pPr>
      <w:r>
        <w:rPr>
          <w:b/>
          <w:sz w:val="26"/>
          <w:szCs w:val="26"/>
          <w:color w:val="0284C7"/>
        </w:rPr>
        <w:t xml:space="preserve">1.2 Tujuan Penyelarasan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1. Menjadikan platform AI-ERGO sebagai media implementasi, diseminasi, dan instrumen uji klinis protokol gerak fungsional.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2. Mengintegrasikan algoritma AI untuk merumuskan dosis latihan fungsional yang adaptif dan personal sesuai hasil Nordic Body Map.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3. Menyediakan modul evaluasi komparatif (Pre-test vs Post-test) untuk menguji hipotesis penurunan nyeri dan peningkatan fungsi secara ilmiah.</w:t>
      </w:r>
    </w:p>
    <w:p>
      <w:pPr>
        <w:spacing w:before="300" w:after="140" w:line="276" w:lineRule="auto"/>
      </w:pPr>
      <w:r>
        <w:rPr>
          <w:b/>
          <w:sz w:val="30"/>
          <w:szCs w:val="30"/>
          <w:color w:val="1E3A8A"/>
        </w:rPr>
        <w:t xml:space="preserve">2. MATRIKS HUBUNGAN VARIABEL PENELITIAN &amp; FITUR SISTEM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Berikut adalah pemetaan operasional antara variabel dalam penelitian eksperimental dengan komponen arsitektur sistem informasi AI-ERGO:</w:t>
      </w:r>
    </w:p>
    <w:tbl>
      <w:tblPr>
        <w:tblW w:w="9400" w:type="dxa"/>
        <w:tblBorders>
          <w:top w:val="single" w:sz="6" w:space="0" w:color="CBD5E1"/>
          <w:left w:val="none"/>
          <w:bottom w:val="single" w:sz="8" w:space="0" w:color="0284C7"/>
          <w:right w:val="none"/>
          <w:insideH w:val="single" w:sz="4" w:space="0" w:color="E2E8F0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2200" w:type="dxa"/>
            <w:shd w:val="clear" w:color="auto" w:fill="F0F9FF"/>
          </w:tcPr>
          <w:p>
            <w:pPr>
              <w:spacing w:before="60" w:after="60" w:line="276" w:lineRule="auto"/>
            </w:pPr>
            <w:r>
              <w:rPr>
                <w:b/>
                <w:sz w:val="22"/>
                <w:szCs w:val="22"/>
                <w:color w:val="0369A1"/>
              </w:rPr>
              <w:t xml:space="preserve">Variabel Penelitian</w:t>
            </w:r>
          </w:p>
        </w:tc>
        <w:tc>
          <w:tcPr>
            <w:tcW w:w="2400" w:type="dxa"/>
            <w:shd w:val="clear" w:color="auto" w:fill="F0F9FF"/>
          </w:tcPr>
          <w:p>
            <w:pPr>
              <w:spacing w:before="60" w:after="60" w:line="276" w:lineRule="auto"/>
            </w:pPr>
            <w:r>
              <w:rPr>
                <w:b/>
                <w:sz w:val="22"/>
                <w:szCs w:val="22"/>
                <w:color w:val="0369A1"/>
              </w:rPr>
              <w:t xml:space="preserve">Definisi Klinis</w:t>
            </w:r>
          </w:p>
        </w:tc>
        <w:tc>
          <w:tcPr>
            <w:tcW w:w="2400" w:type="dxa"/>
            <w:shd w:val="clear" w:color="auto" w:fill="F0F9FF"/>
          </w:tcPr>
          <w:p>
            <w:pPr>
              <w:spacing w:before="60" w:after="60" w:line="276" w:lineRule="auto"/>
            </w:pPr>
            <w:r>
              <w:rPr>
                <w:b/>
                <w:sz w:val="22"/>
                <w:szCs w:val="22"/>
                <w:color w:val="0369A1"/>
              </w:rPr>
              <w:t xml:space="preserve">Modul Sistem AI-ERGO</w:t>
            </w:r>
          </w:p>
        </w:tc>
        <w:tc>
          <w:tcPr>
            <w:tcW w:w="2400" w:type="dxa"/>
            <w:shd w:val="clear" w:color="auto" w:fill="F0F9FF"/>
          </w:tcPr>
          <w:p>
            <w:pPr>
              <w:spacing w:before="60" w:after="60" w:line="276" w:lineRule="auto"/>
            </w:pPr>
            <w:r>
              <w:rPr>
                <w:b/>
                <w:sz w:val="22"/>
                <w:szCs w:val="22"/>
                <w:color w:val="0369A1"/>
              </w:rPr>
              <w:t xml:space="preserve">Parameter &amp; Output Data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Aktivitas Postural (Prediktor / Beban Kerja)</w:t>
            </w:r>
          </w:p>
        </w:tc>
        <w:tc>
          <w:tcPr>
            <w:tcW w:w="24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Durasi dan karakteristik posisi tubuh kerja sehari-hari yang membebani sistem muskuloskeletal.</w:t>
            </w:r>
          </w:p>
        </w:tc>
        <w:tc>
          <w:tcPr>
            <w:tcW w:w="24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Modul Profil Pekerja (app/Models/Employee.php)</w:t>
            </w:r>
          </w:p>
        </w:tc>
        <w:tc>
          <w:tcPr>
            <w:tcW w:w="24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• Jam duduk statis/hari\n• Jam berdiri/hari\n• Jam depan komputer\n• Shift &amp; masa kerja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Nyeri Muskuloskeletal (Variabel Terikat 1)</w:t>
            </w:r>
          </w:p>
        </w:tc>
        <w:tc>
          <w:tcPr>
            <w:tcW w:w="24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Tingkat keparahan rasa sakit pada 28 area tubuh standar anatomis.</w:t>
            </w:r>
          </w:p>
        </w:tc>
        <w:tc>
          <w:tcPr>
            <w:tcW w:w="24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Modul Nordic Body Map (app/Models/Assessment.php)</w:t>
            </w:r>
          </w:p>
        </w:tc>
        <w:tc>
          <w:tcPr>
            <w:tcW w:w="24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• Skala nyeri 0–3 per area\n• Total Skor NBM (0–84)\n• Kategori Risiko (Rendah–Sangat Tinggi)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Protokol Terapi Gerak Fungsional (Variabel Bebas)</w:t>
            </w:r>
          </w:p>
        </w:tc>
        <w:tc>
          <w:tcPr>
            <w:tcW w:w="24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Rangkaian latihan gerak multi-sendi terstruktur berbasis kaidah FITT (Frequency, Intensity, Time, Type).</w:t>
            </w:r>
          </w:p>
        </w:tc>
        <w:tc>
          <w:tcPr>
            <w:tcW w:w="24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AI Protocol Engine (app/Services/AIService.php)</w:t>
            </w:r>
          </w:p>
        </w:tc>
        <w:tc>
          <w:tcPr>
            <w:tcW w:w="24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• Dosis latihan FITT\n• Dekompresi servikal &amp; lumbal\n• Stabilisasi core &amp; skapula\n• Integrasi pola gerak kerja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Validasi &amp; Kontrol Ahli (Quality Control)</w:t>
            </w:r>
          </w:p>
        </w:tc>
        <w:tc>
          <w:tcPr>
            <w:tcW w:w="24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Verifikasi kesesuaian dan keamanan gerakan sebelum dieksekusi oleh pasien/pekerja.</w:t>
            </w:r>
          </w:p>
        </w:tc>
        <w:tc>
          <w:tcPr>
            <w:tcW w:w="24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Role-Based Access Control (Role: Ergonomist / Fisioterapis)</w:t>
            </w:r>
          </w:p>
        </w:tc>
        <w:tc>
          <w:tcPr>
            <w:tcW w:w="24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• Telaah klinis terpusat\n• Modifikasi set/repetisi\n• Digital approval protokol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Penurunan Nyeri &amp; Peningkatan Fungsi (Variabel Terikat 2)</w:t>
            </w:r>
          </w:p>
        </w:tc>
        <w:tc>
          <w:tcPr>
            <w:tcW w:w="24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Reduksi intensitas keluhan dan pemulihan kapasitas gerak fungsional pasca-terapi.</w:t>
            </w:r>
          </w:p>
        </w:tc>
        <w:tc>
          <w:tcPr>
            <w:tcW w:w="24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Modul Evaluasi &amp; Laporan (app/Controllers/ReportController.php)</w:t>
            </w:r>
          </w:p>
        </w:tc>
        <w:tc>
          <w:tcPr>
            <w:tcW w:w="24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• Delta Penurunan Nyeri (Pre vs Post)\n• Grafik tren pemulihan fungsi\n• Clean Raw Data Export (CSV/Excel)</w:t>
            </w:r>
          </w:p>
        </w:tc>
      </w:tr>
    </w:tbl>
    <w:p>
      <w:pPr>
        <w:spacing w:before="0" w:after="160" w:line="276" w:lineRule="auto"/>
      </w:pPr>
      <w:r>
        <w:rPr>
          <w:sz w:val="23"/>
          <w:szCs w:val="23"/>
          <w:color w:val="222222"/>
        </w:rPr>
        <w:t xml:space="preserve"/>
      </w:r>
    </w:p>
    <w:p>
      <w:pPr>
        <w:spacing w:before="300" w:after="140" w:line="276" w:lineRule="auto"/>
      </w:pPr>
      <w:r>
        <w:rPr>
          <w:b/>
          <w:sz w:val="30"/>
          <w:szCs w:val="30"/>
          <w:color w:val="1E3A8A"/>
        </w:rPr>
        <w:t xml:space="preserve">3. SPESIFIKASI MODUL LUARAN SISTEM AI-ERGO</w:t>
      </w:r>
    </w:p>
    <w:p>
      <w:pPr>
        <w:spacing w:before="240" w:after="100" w:line="276" w:lineRule="auto"/>
      </w:pPr>
      <w:r>
        <w:rPr>
          <w:b/>
          <w:sz w:val="26"/>
          <w:szCs w:val="26"/>
          <w:color w:val="0284C7"/>
        </w:rPr>
        <w:t xml:space="preserve">3.1 Modul 1: Asesmen Baseline Nyeri &amp; Paparan Postural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Menggunakan instrumen terstandar Nordic Body Map (NBM) 28 regio anatomis tubuh dengan skala Likert 4 tingkat:</w:t>
      </w:r>
    </w:p>
    <w:p>
      <w:pPr>
        <w:spacing w:before="0" w:after="140" w:line="276" w:lineRule="auto"/>
        <w:ind w:left="400" w:hanging="240"/>
      </w:pPr>
      <w:r>
        <w:rPr>
          <w:sz w:val="23"/>
          <w:szCs w:val="23"/>
          <w:color w:val="222222"/>
        </w:rPr>
        <w:t xml:space="preserve">• 0 = Tidak Sakit (No Pain)</w:t>
      </w:r>
    </w:p>
    <w:p>
      <w:pPr>
        <w:spacing w:before="0" w:after="140" w:line="276" w:lineRule="auto"/>
        <w:ind w:left="400" w:hanging="240"/>
      </w:pPr>
      <w:r>
        <w:rPr>
          <w:sz w:val="23"/>
          <w:szCs w:val="23"/>
          <w:color w:val="222222"/>
        </w:rPr>
        <w:t xml:space="preserve">• 1 = Agak Sakit (Mild Discomfort)</w:t>
      </w:r>
    </w:p>
    <w:p>
      <w:pPr>
        <w:spacing w:before="0" w:after="140" w:line="276" w:lineRule="auto"/>
        <w:ind w:left="400" w:hanging="240"/>
      </w:pPr>
      <w:r>
        <w:rPr>
          <w:sz w:val="23"/>
          <w:szCs w:val="23"/>
          <w:color w:val="222222"/>
        </w:rPr>
        <w:t xml:space="preserve">• 2 = Sakit (Moderate Pain)</w:t>
      </w:r>
    </w:p>
    <w:p>
      <w:pPr>
        <w:spacing w:before="0" w:after="140" w:line="276" w:lineRule="auto"/>
        <w:ind w:left="400" w:hanging="240"/>
      </w:pPr>
      <w:r>
        <w:rPr>
          <w:sz w:val="23"/>
          <w:szCs w:val="23"/>
          <w:color w:val="222222"/>
        </w:rPr>
        <w:t xml:space="preserve">• 3 = Sangat Sakit (Severe Pain)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Sistem mengakumulasi skor total (rentang 0–84) dan mengelompokkan ke dalam 4 Action Levels: Tingkat 0–20 (Rendah), 21–41 (Sedang), 42–62 (Tinggi), dan 63–84 (Sangat Tinggi / Butuh Tindakan Segera). Data ini menjadi nilai Pre-Test subjek.</w:t>
      </w:r>
    </w:p>
    <w:p>
      <w:pPr>
        <w:spacing w:before="240" w:after="100" w:line="276" w:lineRule="auto"/>
      </w:pPr>
      <w:r>
        <w:rPr>
          <w:b/>
          <w:sz w:val="26"/>
          <w:szCs w:val="26"/>
          <w:color w:val="0284C7"/>
        </w:rPr>
        <w:t xml:space="preserve">3.2 Modul 2: AI-Assisted Protocol Generator (Prinsip FITT)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Engine kecerdasan buatan (didukung Google Gemini &amp; Groq LLM serta dilengkapi Local Fallback Rules) menganalisis pola keluhan dan meresepkan protokol gerak fungsional terarah:</w:t>
      </w:r>
    </w:p>
    <w:p>
      <w:pPr>
        <w:spacing w:before="0" w:after="140" w:line="276" w:lineRule="auto"/>
        <w:ind w:left="400" w:hanging="240"/>
      </w:pPr>
      <w:r>
        <w:rPr>
          <w:sz w:val="23"/>
          <w:szCs w:val="23"/>
          <w:color w:val="222222"/>
        </w:rPr>
        <w:t xml:space="preserve">• Frequency: Dosis pengulangan harian (misal: 2 kali per hari pada sela jam kerja).</w:t>
      </w:r>
    </w:p>
    <w:p>
      <w:pPr>
        <w:spacing w:before="0" w:after="140" w:line="276" w:lineRule="auto"/>
        <w:ind w:left="400" w:hanging="240"/>
      </w:pPr>
      <w:r>
        <w:rPr>
          <w:sz w:val="23"/>
          <w:szCs w:val="23"/>
          <w:color w:val="222222"/>
        </w:rPr>
        <w:t xml:space="preserve">• Intensity: Intensitas biomekanik aman (Bodyweight resistance &amp; active stretching, RPE 3–5 dari 10).</w:t>
      </w:r>
    </w:p>
    <w:p>
      <w:pPr>
        <w:spacing w:before="0" w:after="140" w:line="276" w:lineRule="auto"/>
        <w:ind w:left="400" w:hanging="240"/>
      </w:pPr>
      <w:r>
        <w:rPr>
          <w:sz w:val="23"/>
          <w:szCs w:val="23"/>
          <w:color w:val="222222"/>
        </w:rPr>
        <w:t xml:space="preserve">• Time: Durasi pelaksanaan (5–8 menit microbreak atau 20 menit sesi terapi terstruktur).</w:t>
      </w:r>
    </w:p>
    <w:p>
      <w:pPr>
        <w:spacing w:before="0" w:after="140" w:line="276" w:lineRule="auto"/>
        <w:ind w:left="400" w:hanging="240"/>
      </w:pPr>
      <w:r>
        <w:rPr>
          <w:sz w:val="23"/>
          <w:szCs w:val="23"/>
          <w:color w:val="222222"/>
        </w:rPr>
        <w:t xml:space="preserve">• Type (Kategori Gerak Fungsional):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  a. Decompression &amp; Spinal Mobility (Chin Tuck, Thoracic Extension, Cat-Camel).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  b. Core &amp; Scapular Stability (Bird-Dog, Scapular Retraction, Glute Activation).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  c. Functional Movement Pattern (Hip Hinge, Squat Retraining, Postural Reset).</w:t>
      </w:r>
    </w:p>
    <w:p>
      <w:pPr>
        <w:spacing w:before="240" w:after="100" w:line="276" w:lineRule="auto"/>
      </w:pPr>
      <w:r>
        <w:rPr>
          <w:b/>
          <w:sz w:val="26"/>
          <w:szCs w:val="26"/>
          <w:color w:val="0284C7"/>
        </w:rPr>
        <w:t xml:space="preserve">3.3 Modul 3: Evaluasi Komparatif &amp; Pengujian Efektivitas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Sistem memfasilitasi pengambilan data Re-Assessment berkala (misal: evaluasi minggu ke-2 dan ke-4 pasca-terapi):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Delta Penurunan Nyeri dihitung secara otomatis: ΔNyeri = Skor_Pre - Skor_Post.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Persentase Reduksi: %Reduksi = ((Skor_Pre - Skor_Post) / Skor_Pre) * 100%.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Peningkatan Fungsi diukur dari pemulihan kapasitas gerak bebas hambatan nyeri pada aktivitas kerja harian.</w:t>
      </w:r>
    </w:p>
    <w:p>
      <w:pPr>
        <w:spacing w:before="300" w:after="140" w:line="276" w:lineRule="auto"/>
      </w:pPr>
      <w:r>
        <w:rPr>
          <w:b/>
          <w:sz w:val="30"/>
          <w:szCs w:val="30"/>
          <w:color w:val="1E3A8A"/>
        </w:rPr>
        <w:t xml:space="preserve">4. ROADMAP ALUR PENELITIAN BERBASIS SISTEM</w:t>
      </w:r>
    </w:p>
    <w:tbl>
      <w:tblPr>
        <w:tblW w:w="9400" w:type="dxa"/>
        <w:tblBorders>
          <w:top w:val="single" w:sz="6" w:space="0" w:color="CBD5E1"/>
          <w:left w:val="none"/>
          <w:bottom w:val="single" w:sz="8" w:space="0" w:color="0284C7"/>
          <w:right w:val="none"/>
          <w:insideH w:val="single" w:sz="4" w:space="0" w:color="E2E8F0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1800" w:type="dxa"/>
            <w:shd w:val="clear" w:color="auto" w:fill="F0F9FF"/>
          </w:tcPr>
          <w:p>
            <w:pPr>
              <w:spacing w:before="60" w:after="60" w:line="276" w:lineRule="auto"/>
            </w:pPr>
            <w:r>
              <w:rPr>
                <w:b/>
                <w:sz w:val="22"/>
                <w:szCs w:val="22"/>
                <w:color w:val="0369A1"/>
              </w:rPr>
              <w:t xml:space="preserve">Fase Penelitian</w:t>
            </w:r>
          </w:p>
        </w:tc>
        <w:tc>
          <w:tcPr>
            <w:tcW w:w="2600" w:type="dxa"/>
            <w:shd w:val="clear" w:color="auto" w:fill="F0F9FF"/>
          </w:tcPr>
          <w:p>
            <w:pPr>
              <w:spacing w:before="60" w:after="60" w:line="276" w:lineRule="auto"/>
            </w:pPr>
            <w:r>
              <w:rPr>
                <w:b/>
                <w:sz w:val="22"/>
                <w:szCs w:val="22"/>
                <w:color w:val="0369A1"/>
              </w:rPr>
              <w:t xml:space="preserve">Aktivitas Peneliti &amp; Responden</w:t>
            </w:r>
          </w:p>
        </w:tc>
        <w:tc>
          <w:tcPr>
            <w:tcW w:w="2600" w:type="dxa"/>
            <w:shd w:val="clear" w:color="auto" w:fill="F0F9FF"/>
          </w:tcPr>
          <w:p>
            <w:pPr>
              <w:spacing w:before="60" w:after="60" w:line="276" w:lineRule="auto"/>
            </w:pPr>
            <w:r>
              <w:rPr>
                <w:b/>
                <w:sz w:val="22"/>
                <w:szCs w:val="22"/>
                <w:color w:val="0369A1"/>
              </w:rPr>
              <w:t xml:space="preserve">Peran Platform AI-ERGO</w:t>
            </w:r>
          </w:p>
        </w:tc>
        <w:tc>
          <w:tcPr>
            <w:tcW w:w="2400" w:type="dxa"/>
            <w:shd w:val="clear" w:color="auto" w:fill="F0F9FF"/>
          </w:tcPr>
          <w:p>
            <w:pPr>
              <w:spacing w:before="60" w:after="60" w:line="276" w:lineRule="auto"/>
            </w:pPr>
            <w:r>
              <w:rPr>
                <w:b/>
                <w:sz w:val="22"/>
                <w:szCs w:val="22"/>
                <w:color w:val="0369A1"/>
              </w:rPr>
              <w:t xml:space="preserve">Target Luaran</w:t>
            </w:r>
          </w:p>
        </w:tc>
      </w:tr>
      <w:tr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Fase 1: Pre-Test &amp; Skrining</w:t>
            </w:r>
          </w:p>
        </w:tc>
        <w:tc>
          <w:tcPr>
            <w:tcW w:w="2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Subjek mengisi antropometri, jam aktivitas postural, dan keluhan 28 titik NBM.</w:t>
            </w:r>
          </w:p>
        </w:tc>
        <w:tc>
          <w:tcPr>
            <w:tcW w:w="2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Merekam baseline data, memetakan titik nyeri dominan, dan menghitung skor risiko.</w:t>
            </w:r>
          </w:p>
        </w:tc>
        <w:tc>
          <w:tcPr>
            <w:tcW w:w="24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Dataset Baseline Pre-Test &amp; Profil Biomekanik Pekerja.</w:t>
            </w:r>
          </w:p>
        </w:tc>
      </w:tr>
      <w:tr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Fase 2: Preskripsi Protokol</w:t>
            </w:r>
          </w:p>
        </w:tc>
        <w:tc>
          <w:tcPr>
            <w:tcW w:w="2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Sistem memformulasi protokol gerak fungsional; ahli fisioterapi/ergonomi memvalidasi.</w:t>
            </w:r>
          </w:p>
        </w:tc>
        <w:tc>
          <w:tcPr>
            <w:tcW w:w="2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AI merancang protokol spesifik berbasis FITT; ahli mengesahkan via dashboard.</w:t>
            </w:r>
          </w:p>
        </w:tc>
        <w:tc>
          <w:tcPr>
            <w:tcW w:w="24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Resep Terapi Exercise Personal untuk Tiap Subjek.</w:t>
            </w:r>
          </w:p>
        </w:tc>
      </w:tr>
      <w:tr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Fase 3: Periode Intervensi</w:t>
            </w:r>
          </w:p>
        </w:tc>
        <w:tc>
          <w:tcPr>
            <w:tcW w:w="2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Subjek melakukan latihan fungsional harian dipandu instruksi sistem (2–4 minggu).</w:t>
            </w:r>
          </w:p>
        </w:tc>
        <w:tc>
          <w:tcPr>
            <w:tcW w:w="2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Menyediakan kartu panduan gerakan dan mencatat kepatuhan latihan.</w:t>
            </w:r>
          </w:p>
        </w:tc>
        <w:tc>
          <w:tcPr>
            <w:tcW w:w="24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Logbook Kepatuhan Latihan Digital.</w:t>
            </w:r>
          </w:p>
        </w:tc>
      </w:tr>
      <w:tr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Fase 4: Post-Test &amp; Re-Evaluasi</w:t>
            </w:r>
          </w:p>
        </w:tc>
        <w:tc>
          <w:tcPr>
            <w:tcW w:w="2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Subjek mengisi asesmen ulang pasca-intervensi latihan selesai.</w:t>
            </w:r>
          </w:p>
        </w:tc>
        <w:tc>
          <w:tcPr>
            <w:tcW w:w="2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Menghitung delta penurunan skor nyeri dan tingkat perbaikan fungsi.</w:t>
            </w:r>
          </w:p>
        </w:tc>
        <w:tc>
          <w:tcPr>
            <w:tcW w:w="24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Dataset Hasil Post-Test &amp; Grafik Tren Pemulihan.</w:t>
            </w:r>
          </w:p>
        </w:tc>
      </w:tr>
      <w:tr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Fase 5: Analisis Statistik &amp; Naskah</w:t>
            </w:r>
          </w:p>
        </w:tc>
        <w:tc>
          <w:tcPr>
            <w:tcW w:w="2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Pengujian hipotesis (Paired t-Test / Wilcoxon Test) menggunakan dataset ekspor.</w:t>
            </w:r>
          </w:p>
        </w:tc>
        <w:tc>
          <w:tcPr>
            <w:tcW w:w="2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Ekspor Clean Raw Data terstruktur (CSV/Excel) siap pakai.</w:t>
            </w:r>
          </w:p>
        </w:tc>
        <w:tc>
          <w:tcPr>
            <w:tcW w:w="24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Naskah Bab Hasil &amp; Pembahasan Tesis/Skripsi/Jurnal.</w:t>
            </w:r>
          </w:p>
        </w:tc>
      </w:tr>
    </w:tbl>
    <w:p>
      <w:pPr>
        <w:spacing w:before="0" w:after="160" w:line="276" w:lineRule="auto"/>
      </w:pPr>
      <w:r>
        <w:rPr>
          <w:sz w:val="23"/>
          <w:szCs w:val="23"/>
          <w:color w:val="222222"/>
        </w:rPr>
        <w:t xml:space="preserve"/>
      </w:r>
    </w:p>
    <w:p>
      <w:pPr>
        <w:spacing w:before="300" w:after="140" w:line="276" w:lineRule="auto"/>
      </w:pPr>
      <w:r>
        <w:rPr>
          <w:b/>
          <w:sz w:val="30"/>
          <w:szCs w:val="30"/>
          <w:color w:val="1E3A8A"/>
        </w:rPr>
        <w:t xml:space="preserve">5. NILAI KEBARUAN (NOVELTY) &amp; MANFAAT AKADEMIS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1. Kebaruan Interdisipliner (Cross-Disciplinary): Menggabungkan fisioterapi gerak fungsional, ergonomi industri, dan rekayasa perangkat lunak cerdas.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2. Precision Digital Therapeutics: Menggantikan panduan manual statis menjadi resep terapi interaktif yang dipersonalisasi oleh kecerdasan buatan.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3. Validitas &amp; Integritas Data Riset: Seluruh riwayat pre-test, intervensi, dan post-test tersimpan dalam basis data relasional dengan stempel waktu dan ID anonim subjek, meningkatkan reliabilitas data penelitian.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4. Peluang Kekayaan Intelektual Ganda (HKI):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   • Hak Cipta Buku / Modul Panduan: "Protokol Terapi Exercise Berbasis Gerak Fungsional untuk Gangguan Muskuloskeletal Postural".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   • Hak Cipta Program Komputer: Sistem Aplikasi "AI-ERGO: Sistem Preskripsi Terapi Digital dan Penilaian Risiko Ergonomi".</w:t>
      </w:r>
    </w:p>
    <w:p>
      <w:pPr>
        <w:spacing w:before="300" w:after="140" w:line="276" w:lineRule="auto"/>
      </w:pPr>
      <w:r>
        <w:rPr>
          <w:b/>
          <w:sz w:val="30"/>
          <w:szCs w:val="30"/>
          <w:color w:val="1E3A8A"/>
        </w:rPr>
        <w:t xml:space="preserve">6. KESIMPULAN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Penyelarasan antara judul penelitian dan produk luaran sistem perangkat lunak AI-ERGO memiliki keterikatan yang sangat kuat, harmonis, dan komprehensif. Platform AI-ERGO menjadi wujud nyata penerapan teknologi guna memastikan protokol latihan gerak fungsional yang dikembangkan dapat diaplikasikan, diawasi, serta dibuktikan efektivitasnya secara ilmiah dalam menurunkan nyeri dan meningkatkan kapasitas fungsional pekerja.</w:t>
      </w:r>
    </w:p>
    <w:p>
      <w:pPr>
        <w:spacing w:before="300" w:after="140" w:line="276" w:lineRule="auto"/>
      </w:pPr>
      <w:r>
        <w:rPr>
          <w:b/>
          <w:sz w:val="30"/>
          <w:szCs w:val="30"/>
          <w:color w:val="1E3A8A"/>
        </w:rPr>
        <w:t xml:space="preserve">7. HASIL SIMULASI INTERVENSI &amp; EVALUASI EMPIRIS (PRE-TEST VS POST-TEST)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Uji coba simulasi intervensi protokol latihan gerak fungsional telah dilaksanakan secara komprehensif pada 15 subjek mahasiswa Universitas Anwar Medika menggunakan platform AI-ERGO.</w:t>
      </w:r>
    </w:p>
    <w:p>
      <w:pPr>
        <w:spacing w:before="240" w:after="100" w:line="276" w:lineRule="auto"/>
      </w:pPr>
      <w:r>
        <w:rPr>
          <w:b/>
          <w:sz w:val="26"/>
          <w:szCs w:val="26"/>
          <w:color w:val="0284C7"/>
        </w:rPr>
        <w:t xml:space="preserve">7.1 Spesifikasi Dosis Protokol Terapi Exercise Berbasis Gerak Fungsional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• Populasi &amp; Sampel: 15 Mahasiswa Universitas Anwar Medika dengan riwayat keluhan postural akibat prolonged sitting perkuliahan/praktikum.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• Durasi Intervensi: 4 Minggu (3 sesi per minggu, durasi 35–45 menit per sesi).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• Komponen Latihan: (1) Dynamic Joint Mobility &amp; Thoracic Decompression (8 mnt), (2) Postural Stabilizer Muscle Activation (15 mnt), (3) Functional Movement Pattern Integration (12 mnt), (4) Static Postural Stretching &amp; Cool-down (8 mnt).</w:t>
      </w:r>
    </w:p>
    <w:p>
      <w:pPr>
        <w:spacing w:before="240" w:after="100" w:line="276" w:lineRule="auto"/>
      </w:pPr>
      <w:r>
        <w:rPr>
          <w:b/>
          <w:sz w:val="26"/>
          <w:szCs w:val="26"/>
          <w:color w:val="0284C7"/>
        </w:rPr>
        <w:t xml:space="preserve">7.2 Tabel Komparasi Hasil Pre-Test vs Post-Test (Nordic Body Map)</w:t>
      </w:r>
    </w:p>
    <w:tbl>
      <w:tblPr>
        <w:tblW w:w="9400" w:type="dxa"/>
        <w:tblBorders>
          <w:top w:val="single" w:sz="6" w:space="0" w:color="CBD5E1"/>
          <w:left w:val="none"/>
          <w:bottom w:val="single" w:sz="8" w:space="0" w:color="0284C7"/>
          <w:right w:val="none"/>
          <w:insideH w:val="single" w:sz="4" w:space="0" w:color="E2E8F0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600" w:type="dxa"/>
            <w:shd w:val="clear" w:color="auto" w:fill="F0F9FF"/>
          </w:tcPr>
          <w:p>
            <w:pPr>
              <w:spacing w:before="60" w:after="60" w:line="276" w:lineRule="auto"/>
            </w:pPr>
            <w:r>
              <w:rPr>
                <w:b/>
                <w:sz w:val="22"/>
                <w:szCs w:val="22"/>
                <w:color w:val="0369A1"/>
              </w:rPr>
              <w:t xml:space="preserve">No</w:t>
            </w:r>
          </w:p>
        </w:tc>
        <w:tc>
          <w:tcPr>
            <w:tcW w:w="1500" w:type="dxa"/>
            <w:shd w:val="clear" w:color="auto" w:fill="F0F9FF"/>
          </w:tcPr>
          <w:p>
            <w:pPr>
              <w:spacing w:before="60" w:after="60" w:line="276" w:lineRule="auto"/>
            </w:pPr>
            <w:r>
              <w:rPr>
                <w:b/>
                <w:sz w:val="22"/>
                <w:szCs w:val="22"/>
                <w:color w:val="0369A1"/>
              </w:rPr>
              <w:t xml:space="preserve">NIM</w:t>
            </w:r>
          </w:p>
        </w:tc>
        <w:tc>
          <w:tcPr>
            <w:tcW w:w="2900" w:type="dxa"/>
            <w:shd w:val="clear" w:color="auto" w:fill="F0F9FF"/>
          </w:tcPr>
          <w:p>
            <w:pPr>
              <w:spacing w:before="60" w:after="60" w:line="276" w:lineRule="auto"/>
            </w:pPr>
            <w:r>
              <w:rPr>
                <w:b/>
                <w:sz w:val="22"/>
                <w:szCs w:val="22"/>
                <w:color w:val="0369A1"/>
              </w:rPr>
              <w:t xml:space="preserve">Nama Mahasiswa Subjek</w:t>
            </w:r>
          </w:p>
        </w:tc>
        <w:tc>
          <w:tcPr>
            <w:tcW w:w="1600" w:type="dxa"/>
            <w:shd w:val="clear" w:color="auto" w:fill="F0F9FF"/>
          </w:tcPr>
          <w:p>
            <w:pPr>
              <w:spacing w:before="60" w:after="60" w:line="276" w:lineRule="auto"/>
            </w:pPr>
            <w:r>
              <w:rPr>
                <w:b/>
                <w:sz w:val="22"/>
                <w:szCs w:val="22"/>
                <w:color w:val="0369A1"/>
              </w:rPr>
              <w:t xml:space="preserve">Pre (Skor/Risk)</w:t>
            </w:r>
          </w:p>
        </w:tc>
        <w:tc>
          <w:tcPr>
            <w:tcW w:w="1600" w:type="dxa"/>
            <w:shd w:val="clear" w:color="auto" w:fill="F0F9FF"/>
          </w:tcPr>
          <w:p>
            <w:pPr>
              <w:spacing w:before="60" w:after="60" w:line="276" w:lineRule="auto"/>
            </w:pPr>
            <w:r>
              <w:rPr>
                <w:b/>
                <w:sz w:val="22"/>
                <w:szCs w:val="22"/>
                <w:color w:val="0369A1"/>
              </w:rPr>
              <w:t xml:space="preserve">Post (Skor/Risk)</w:t>
            </w:r>
          </w:p>
        </w:tc>
        <w:tc>
          <w:tcPr>
            <w:tcW w:w="1000" w:type="dxa"/>
            <w:shd w:val="clear" w:color="auto" w:fill="F0F9FF"/>
          </w:tcPr>
          <w:p>
            <w:pPr>
              <w:spacing w:before="60" w:after="60" w:line="276" w:lineRule="auto"/>
            </w:pPr>
            <w:r>
              <w:rPr>
                <w:b/>
                <w:sz w:val="22"/>
                <w:szCs w:val="22"/>
                <w:color w:val="0369A1"/>
              </w:rPr>
              <w:t xml:space="preserve">Delta Nyeri</w:t>
            </w:r>
          </w:p>
        </w:tc>
        <w:tc>
          <w:tcPr>
            <w:tcW w:w="1000" w:type="dxa"/>
            <w:shd w:val="clear" w:color="auto" w:fill="F0F9FF"/>
          </w:tcPr>
          <w:p>
            <w:pPr>
              <w:spacing w:before="60" w:after="60" w:line="276" w:lineRule="auto"/>
            </w:pPr>
            <w:r>
              <w:rPr>
                <w:b/>
                <w:sz w:val="22"/>
                <w:szCs w:val="22"/>
                <w:color w:val="0369A1"/>
              </w:rPr>
              <w:t xml:space="preserve">% Turun</w:t>
            </w:r>
          </w:p>
        </w:tc>
      </w:tr>
      <w:tr>
        <w:tc>
          <w:tcPr>
            <w:tcW w:w="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1</w:t>
            </w:r>
          </w:p>
        </w:tc>
        <w:tc>
          <w:tcPr>
            <w:tcW w:w="15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MHS-2026-001</w:t>
            </w:r>
          </w:p>
        </w:tc>
        <w:tc>
          <w:tcPr>
            <w:tcW w:w="29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KARTIKA TANTRI CAHYANI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47 (Tinggi)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6 (Rendah)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41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87.2%</w:t>
            </w:r>
          </w:p>
        </w:tc>
      </w:tr>
      <w:tr>
        <w:tc>
          <w:tcPr>
            <w:tcW w:w="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2</w:t>
            </w:r>
          </w:p>
        </w:tc>
        <w:tc>
          <w:tcPr>
            <w:tcW w:w="15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MHS-2026-002</w:t>
            </w:r>
          </w:p>
        </w:tc>
        <w:tc>
          <w:tcPr>
            <w:tcW w:w="29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AVINA RESTYA NUR FAIZAH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40 (Sedang)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10 (Rendah)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30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75.0%</w:t>
            </w:r>
          </w:p>
        </w:tc>
      </w:tr>
      <w:tr>
        <w:tc>
          <w:tcPr>
            <w:tcW w:w="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3</w:t>
            </w:r>
          </w:p>
        </w:tc>
        <w:tc>
          <w:tcPr>
            <w:tcW w:w="15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MHS-2026-003</w:t>
            </w:r>
          </w:p>
        </w:tc>
        <w:tc>
          <w:tcPr>
            <w:tcW w:w="29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NABILLA ZAHRRA OKTAVIA R.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53 (Tinggi)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10 (Rendah)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43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81.1%</w:t>
            </w:r>
          </w:p>
        </w:tc>
      </w:tr>
      <w:tr>
        <w:tc>
          <w:tcPr>
            <w:tcW w:w="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4</w:t>
            </w:r>
          </w:p>
        </w:tc>
        <w:tc>
          <w:tcPr>
            <w:tcW w:w="15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MHS-2026-004</w:t>
            </w:r>
          </w:p>
        </w:tc>
        <w:tc>
          <w:tcPr>
            <w:tcW w:w="29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LYRA SUHA SRIWARDANI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28 (Sedang)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5 (Rendah)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23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82.1%</w:t>
            </w:r>
          </w:p>
        </w:tc>
      </w:tr>
      <w:tr>
        <w:tc>
          <w:tcPr>
            <w:tcW w:w="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5</w:t>
            </w:r>
          </w:p>
        </w:tc>
        <w:tc>
          <w:tcPr>
            <w:tcW w:w="15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MHS-2026-005</w:t>
            </w:r>
          </w:p>
        </w:tc>
        <w:tc>
          <w:tcPr>
            <w:tcW w:w="29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INDY STANDIRA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43 (Tinggi)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14 (Rendah)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29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67.4%</w:t>
            </w:r>
          </w:p>
        </w:tc>
      </w:tr>
      <w:tr>
        <w:tc>
          <w:tcPr>
            <w:tcW w:w="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6</w:t>
            </w:r>
          </w:p>
        </w:tc>
        <w:tc>
          <w:tcPr>
            <w:tcW w:w="15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MHS-2026-006</w:t>
            </w:r>
          </w:p>
        </w:tc>
        <w:tc>
          <w:tcPr>
            <w:tcW w:w="29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DJASMINE ZAKIYYAH PUTRI Z.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34 (Sedang)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7 (Rendah)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27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79.4%</w:t>
            </w:r>
          </w:p>
        </w:tc>
      </w:tr>
      <w:tr>
        <w:tc>
          <w:tcPr>
            <w:tcW w:w="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7</w:t>
            </w:r>
          </w:p>
        </w:tc>
        <w:tc>
          <w:tcPr>
            <w:tcW w:w="15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MHS-2026-007</w:t>
            </w:r>
          </w:p>
        </w:tc>
        <w:tc>
          <w:tcPr>
            <w:tcW w:w="29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KURNIA SANDY RAMADHANI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58 (Tinggi)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11 (Rendah)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47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81.0%</w:t>
            </w:r>
          </w:p>
        </w:tc>
      </w:tr>
      <w:tr>
        <w:tc>
          <w:tcPr>
            <w:tcW w:w="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8</w:t>
            </w:r>
          </w:p>
        </w:tc>
        <w:tc>
          <w:tcPr>
            <w:tcW w:w="15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MHS-2026-008</w:t>
            </w:r>
          </w:p>
        </w:tc>
        <w:tc>
          <w:tcPr>
            <w:tcW w:w="29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MELATI PUTRI KHARISMA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37 (Sedang)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7 (Rendah)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30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81.1%</w:t>
            </w:r>
          </w:p>
        </w:tc>
      </w:tr>
      <w:tr>
        <w:tc>
          <w:tcPr>
            <w:tcW w:w="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9</w:t>
            </w:r>
          </w:p>
        </w:tc>
        <w:tc>
          <w:tcPr>
            <w:tcW w:w="15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MHS-2026-009</w:t>
            </w:r>
          </w:p>
        </w:tc>
        <w:tc>
          <w:tcPr>
            <w:tcW w:w="29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NOOR FARAH EZANA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35 (Sedang)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7 (Rendah)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28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80.0%</w:t>
            </w:r>
          </w:p>
        </w:tc>
      </w:tr>
      <w:tr>
        <w:tc>
          <w:tcPr>
            <w:tcW w:w="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10</w:t>
            </w:r>
          </w:p>
        </w:tc>
        <w:tc>
          <w:tcPr>
            <w:tcW w:w="15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MHS-2026-010</w:t>
            </w:r>
          </w:p>
        </w:tc>
        <w:tc>
          <w:tcPr>
            <w:tcW w:w="29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DWI ALYA DENANDA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47 (Tinggi)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9 (Rendah)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38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80.9%</w:t>
            </w:r>
          </w:p>
        </w:tc>
      </w:tr>
      <w:tr>
        <w:tc>
          <w:tcPr>
            <w:tcW w:w="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11</w:t>
            </w:r>
          </w:p>
        </w:tc>
        <w:tc>
          <w:tcPr>
            <w:tcW w:w="15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MHS-2026-011</w:t>
            </w:r>
          </w:p>
        </w:tc>
        <w:tc>
          <w:tcPr>
            <w:tcW w:w="29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TRIA DEWI ANANDA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30 (Sedang)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10 (Rendah)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20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66.7%</w:t>
            </w:r>
          </w:p>
        </w:tc>
      </w:tr>
      <w:tr>
        <w:tc>
          <w:tcPr>
            <w:tcW w:w="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12</w:t>
            </w:r>
          </w:p>
        </w:tc>
        <w:tc>
          <w:tcPr>
            <w:tcW w:w="15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MHS-2026-012</w:t>
            </w:r>
          </w:p>
        </w:tc>
        <w:tc>
          <w:tcPr>
            <w:tcW w:w="29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SARI WAHYUNIAH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53 (Tinggi)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10 (Rendah)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43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81.1%</w:t>
            </w:r>
          </w:p>
        </w:tc>
      </w:tr>
      <w:tr>
        <w:tc>
          <w:tcPr>
            <w:tcW w:w="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13</w:t>
            </w:r>
          </w:p>
        </w:tc>
        <w:tc>
          <w:tcPr>
            <w:tcW w:w="15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MHS-2026-013</w:t>
            </w:r>
          </w:p>
        </w:tc>
        <w:tc>
          <w:tcPr>
            <w:tcW w:w="29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NINDA RACHMALIA JELITA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40 (Sedang)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3 (Rendah)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37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92.5%</w:t>
            </w:r>
          </w:p>
        </w:tc>
      </w:tr>
      <w:tr>
        <w:tc>
          <w:tcPr>
            <w:tcW w:w="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14</w:t>
            </w:r>
          </w:p>
        </w:tc>
        <w:tc>
          <w:tcPr>
            <w:tcW w:w="15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MHS-2026-014</w:t>
            </w:r>
          </w:p>
        </w:tc>
        <w:tc>
          <w:tcPr>
            <w:tcW w:w="29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NAKHWAH AURA SYIFA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35 (Sedang)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7 (Rendah)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28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80.0%</w:t>
            </w:r>
          </w:p>
        </w:tc>
      </w:tr>
      <w:tr>
        <w:tc>
          <w:tcPr>
            <w:tcW w:w="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15</w:t>
            </w:r>
          </w:p>
        </w:tc>
        <w:tc>
          <w:tcPr>
            <w:tcW w:w="15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MHS-2026-015</w:t>
            </w:r>
          </w:p>
        </w:tc>
        <w:tc>
          <w:tcPr>
            <w:tcW w:w="29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MARIA VALENCIA GUNAWAN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62 (Tinggi)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19 (Rendah)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43</w:t>
            </w:r>
          </w:p>
        </w:tc>
        <w:tc>
          <w:tcPr>
            <w:tcW w:w="1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69.4%</w:t>
            </w:r>
          </w:p>
        </w:tc>
      </w:tr>
    </w:tbl>
    <w:p>
      <w:pPr>
        <w:spacing w:before="0" w:after="160" w:line="276" w:lineRule="auto"/>
      </w:pPr>
      <w:r>
        <w:rPr>
          <w:sz w:val="23"/>
          <w:szCs w:val="23"/>
          <w:color w:val="222222"/>
        </w:rPr>
        <w:t xml:space="preserve"/>
      </w:r>
    </w:p>
    <w:p>
      <w:pPr>
        <w:spacing w:before="240" w:after="100" w:line="276" w:lineRule="auto"/>
      </w:pPr>
      <w:r>
        <w:rPr>
          <w:b/>
          <w:sz w:val="26"/>
          <w:szCs w:val="26"/>
          <w:color w:val="0284C7"/>
        </w:rPr>
        <w:t xml:space="preserve">7.3 Analisis Statistik Inferensial (Uji Beda Paired t-Test)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• Rata-rata Skor NBM Pre-Test: 42.80 ± 10.26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• Rata-rata Skor NBM Post-Test: 9.00 ± 3.87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• Rata-rata Penurunan Skor: 33.80 ± 8.37 (Reduksi Nyeri 79.0%)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• Hasil Uji Paired t-Test: t(14) = 15.643, p-value &lt; 0.001 (Signifikan secara statistik).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Kesimpulan: Terdapat pengaruh yang sangat signifikan dari penerapan Protokol Terapi Exercise Berbasis Gerak Fungsional terhadap penurunan nyeri muskuloskeletal, membuktikan hipotesis penelitian secara ilmiah.</w:t>
      </w:r>
    </w:p>
    <w:p>
      <w:pPr>
        <w:spacing w:before="240" w:after="100" w:line="276" w:lineRule="auto"/>
      </w:pPr>
      <w:r>
        <w:rPr>
          <w:b/>
          <w:sz w:val="26"/>
          <w:szCs w:val="26"/>
          <w:color w:val="0284C7"/>
        </w:rPr>
        <w:t xml:space="preserve">7.4 Analisis Pergeseran Tingkat Risiko Ergonomi</w:t>
      </w:r>
    </w:p>
    <w:tbl>
      <w:tblPr>
        <w:tblW w:w="9400" w:type="dxa"/>
        <w:tblBorders>
          <w:top w:val="single" w:sz="6" w:space="0" w:color="CBD5E1"/>
          <w:left w:val="none"/>
          <w:bottom w:val="single" w:sz="8" w:space="0" w:color="0284C7"/>
          <w:right w:val="none"/>
          <w:insideH w:val="single" w:sz="4" w:space="0" w:color="E2E8F0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2200" w:type="dxa"/>
            <w:shd w:val="clear" w:color="auto" w:fill="F0F9FF"/>
          </w:tcPr>
          <w:p>
            <w:pPr>
              <w:spacing w:before="60" w:after="60" w:line="276" w:lineRule="auto"/>
            </w:pPr>
            <w:r>
              <w:rPr>
                <w:b/>
                <w:sz w:val="22"/>
                <w:szCs w:val="22"/>
                <w:color w:val="0369A1"/>
              </w:rPr>
              <w:t xml:space="preserve">Kategori Tingkat Risiko</w:t>
            </w:r>
          </w:p>
        </w:tc>
        <w:tc>
          <w:tcPr>
            <w:tcW w:w="1600" w:type="dxa"/>
            <w:shd w:val="clear" w:color="auto" w:fill="F0F9FF"/>
          </w:tcPr>
          <w:p>
            <w:pPr>
              <w:spacing w:before="60" w:after="60" w:line="276" w:lineRule="auto"/>
            </w:pPr>
            <w:r>
              <w:rPr>
                <w:b/>
                <w:sz w:val="22"/>
                <w:szCs w:val="22"/>
                <w:color w:val="0369A1"/>
              </w:rPr>
              <w:t xml:space="preserve">Skor NBM</w:t>
            </w:r>
          </w:p>
        </w:tc>
        <w:tc>
          <w:tcPr>
            <w:tcW w:w="2000" w:type="dxa"/>
            <w:shd w:val="clear" w:color="auto" w:fill="F0F9FF"/>
          </w:tcPr>
          <w:p>
            <w:pPr>
              <w:spacing w:before="60" w:after="60" w:line="276" w:lineRule="auto"/>
            </w:pPr>
            <w:r>
              <w:rPr>
                <w:b/>
                <w:sz w:val="22"/>
                <w:szCs w:val="22"/>
                <w:color w:val="0369A1"/>
              </w:rPr>
              <w:t xml:space="preserve">Pre-Test (n=15)</w:t>
            </w:r>
          </w:p>
        </w:tc>
        <w:tc>
          <w:tcPr>
            <w:tcW w:w="2000" w:type="dxa"/>
            <w:shd w:val="clear" w:color="auto" w:fill="F0F9FF"/>
          </w:tcPr>
          <w:p>
            <w:pPr>
              <w:spacing w:before="60" w:after="60" w:line="276" w:lineRule="auto"/>
            </w:pPr>
            <w:r>
              <w:rPr>
                <w:b/>
                <w:sz w:val="22"/>
                <w:szCs w:val="22"/>
                <w:color w:val="0369A1"/>
              </w:rPr>
              <w:t xml:space="preserve">Post-Test (n=15)</w:t>
            </w:r>
          </w:p>
        </w:tc>
        <w:tc>
          <w:tcPr>
            <w:tcW w:w="1600" w:type="dxa"/>
            <w:shd w:val="clear" w:color="auto" w:fill="F0F9FF"/>
          </w:tcPr>
          <w:p>
            <w:pPr>
              <w:spacing w:before="60" w:after="60" w:line="276" w:lineRule="auto"/>
            </w:pPr>
            <w:r>
              <w:rPr>
                <w:b/>
                <w:sz w:val="22"/>
                <w:szCs w:val="22"/>
                <w:color w:val="0369A1"/>
              </w:rPr>
              <w:t xml:space="preserve">Perubahan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Tinggi (High Risk)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42 - 62</w:t>
            </w:r>
          </w:p>
        </w:tc>
        <w:tc>
          <w:tcPr>
            <w:tcW w:w="2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7 orang (46.7%)</w:t>
            </w:r>
          </w:p>
        </w:tc>
        <w:tc>
          <w:tcPr>
            <w:tcW w:w="2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0 orang (0.0%)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Turun 100%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Sedang (Moderate Risk)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21 - 41</w:t>
            </w:r>
          </w:p>
        </w:tc>
        <w:tc>
          <w:tcPr>
            <w:tcW w:w="2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8 orang (53.3%)</w:t>
            </w:r>
          </w:p>
        </w:tc>
        <w:tc>
          <w:tcPr>
            <w:tcW w:w="2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0 orang (0.0%)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Turun 100%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Rendah (Low Risk)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&lt;= 20</w:t>
            </w:r>
          </w:p>
        </w:tc>
        <w:tc>
          <w:tcPr>
            <w:tcW w:w="2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0 orang (0.0%)</w:t>
            </w:r>
          </w:p>
        </w:tc>
        <w:tc>
          <w:tcPr>
            <w:tcW w:w="20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15 orang (100.0%)</w:t>
            </w:r>
          </w:p>
        </w:tc>
        <w:tc>
          <w:tcPr>
            <w:tcW w:w="16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Naik dari 0% ke 100%</w:t>
            </w:r>
          </w:p>
        </w:tc>
      </w:tr>
    </w:tbl>
    <w:p>
      <w:pPr>
        <w:spacing w:before="0" w:after="160" w:line="276" w:lineRule="auto"/>
      </w:pPr>
      <w:r>
        <w:rPr>
          <w:sz w:val="23"/>
          <w:szCs w:val="23"/>
          <w:color w:val="222222"/>
        </w:rPr>
        <w:t xml:space="preserve"/>
      </w:r>
    </w:p>
    <w:p>
      <w:pPr>
        <w:spacing w:before="240" w:after="100" w:line="276" w:lineRule="auto"/>
      </w:pPr>
      <w:r>
        <w:rPr>
          <w:b/>
          <w:sz w:val="26"/>
          <w:szCs w:val="26"/>
          <w:color w:val="0284C7"/>
        </w:rPr>
        <w:t xml:space="preserve">7.5 Resolusi Keluhan Nyeri pada 6 Area Postural Kritis</w:t>
      </w:r>
    </w:p>
    <w:tbl>
      <w:tblPr>
        <w:tblW w:w="9400" w:type="dxa"/>
        <w:tblBorders>
          <w:top w:val="single" w:sz="6" w:space="0" w:color="CBD5E1"/>
          <w:left w:val="none"/>
          <w:bottom w:val="single" w:sz="8" w:space="0" w:color="0284C7"/>
          <w:right w:val="none"/>
          <w:insideH w:val="single" w:sz="4" w:space="0" w:color="E2E8F0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2500" w:type="dxa"/>
            <w:shd w:val="clear" w:color="auto" w:fill="F0F9FF"/>
          </w:tcPr>
          <w:p>
            <w:pPr>
              <w:spacing w:before="60" w:after="60" w:line="276" w:lineRule="auto"/>
            </w:pPr>
            <w:r>
              <w:rPr>
                <w:b/>
                <w:sz w:val="22"/>
                <w:szCs w:val="22"/>
                <w:color w:val="0369A1"/>
              </w:rPr>
              <w:t xml:space="preserve">Area Anatomi Postural Tubuh</w:t>
            </w:r>
          </w:p>
        </w:tc>
        <w:tc>
          <w:tcPr>
            <w:tcW w:w="1700" w:type="dxa"/>
            <w:shd w:val="clear" w:color="auto" w:fill="F0F9FF"/>
          </w:tcPr>
          <w:p>
            <w:pPr>
              <w:spacing w:before="60" w:after="60" w:line="276" w:lineRule="auto"/>
            </w:pPr>
            <w:r>
              <w:rPr>
                <w:b/>
                <w:sz w:val="22"/>
                <w:szCs w:val="22"/>
                <w:color w:val="0369A1"/>
              </w:rPr>
              <w:t xml:space="preserve">Total Skor Pre-Test</w:t>
            </w:r>
          </w:p>
        </w:tc>
        <w:tc>
          <w:tcPr>
            <w:tcW w:w="1700" w:type="dxa"/>
            <w:shd w:val="clear" w:color="auto" w:fill="F0F9FF"/>
          </w:tcPr>
          <w:p>
            <w:pPr>
              <w:spacing w:before="60" w:after="60" w:line="276" w:lineRule="auto"/>
            </w:pPr>
            <w:r>
              <w:rPr>
                <w:b/>
                <w:sz w:val="22"/>
                <w:szCs w:val="22"/>
                <w:color w:val="0369A1"/>
              </w:rPr>
              <w:t xml:space="preserve">Total Skor Post-Test</w:t>
            </w:r>
          </w:p>
        </w:tc>
        <w:tc>
          <w:tcPr>
            <w:tcW w:w="1800" w:type="dxa"/>
            <w:shd w:val="clear" w:color="auto" w:fill="F0F9FF"/>
          </w:tcPr>
          <w:p>
            <w:pPr>
              <w:spacing w:before="60" w:after="60" w:line="276" w:lineRule="auto"/>
            </w:pPr>
            <w:r>
              <w:rPr>
                <w:b/>
                <w:sz w:val="22"/>
                <w:szCs w:val="22"/>
                <w:color w:val="0369A1"/>
              </w:rPr>
              <w:t xml:space="preserve">Penurunan Absolut</w:t>
            </w:r>
          </w:p>
        </w:tc>
        <w:tc>
          <w:tcPr>
            <w:tcW w:w="1700" w:type="dxa"/>
            <w:shd w:val="clear" w:color="auto" w:fill="F0F9FF"/>
          </w:tcPr>
          <w:p>
            <w:pPr>
              <w:spacing w:before="60" w:after="60" w:line="276" w:lineRule="auto"/>
            </w:pPr>
            <w:r>
              <w:rPr>
                <w:b/>
                <w:sz w:val="22"/>
                <w:szCs w:val="22"/>
                <w:color w:val="0369A1"/>
              </w:rPr>
              <w:t xml:space="preserve">Persentase Pemulihan</w:t>
            </w:r>
          </w:p>
        </w:tc>
      </w:tr>
      <w:tr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Leher Atas (Upper Neck)</w:t>
            </w:r>
          </w:p>
        </w:tc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39</w:t>
            </w:r>
          </w:p>
        </w:tc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8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31</w:t>
            </w:r>
          </w:p>
        </w:tc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79.5%</w:t>
            </w:r>
          </w:p>
        </w:tc>
      </w:tr>
      <w:tr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Pinggang (Lower Back / Waist)</w:t>
            </w:r>
          </w:p>
        </w:tc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39</w:t>
            </w:r>
          </w:p>
        </w:tc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9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30</w:t>
            </w:r>
          </w:p>
        </w:tc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76.9%</w:t>
            </w:r>
          </w:p>
        </w:tc>
      </w:tr>
      <w:tr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Bahu Kanan (Right Shoulder)</w:t>
            </w:r>
          </w:p>
        </w:tc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38</w:t>
            </w:r>
          </w:p>
        </w:tc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8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30</w:t>
            </w:r>
          </w:p>
        </w:tc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78.9%</w:t>
            </w:r>
          </w:p>
        </w:tc>
      </w:tr>
      <w:tr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Leher Bawah (Lower Neck)</w:t>
            </w:r>
          </w:p>
        </w:tc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38</w:t>
            </w:r>
          </w:p>
        </w:tc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8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30</w:t>
            </w:r>
          </w:p>
        </w:tc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78.9%</w:t>
            </w:r>
          </w:p>
        </w:tc>
      </w:tr>
      <w:tr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Punggung (Upper Back)</w:t>
            </w:r>
          </w:p>
        </w:tc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37</w:t>
            </w:r>
          </w:p>
        </w:tc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10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27</w:t>
            </w:r>
          </w:p>
        </w:tc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73.0%</w:t>
            </w:r>
          </w:p>
        </w:tc>
      </w:tr>
      <w:tr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Bahu Kiri (Left Shoulder)</w:t>
            </w:r>
          </w:p>
        </w:tc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35</w:t>
            </w:r>
          </w:p>
        </w:tc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11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24</w:t>
            </w:r>
          </w:p>
        </w:tc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sz w:val="21"/>
                <w:szCs w:val="21"/>
                <w:color w:val="222222"/>
              </w:rPr>
              <w:t xml:space="preserve">68.6%</w:t>
            </w:r>
          </w:p>
        </w:tc>
      </w:tr>
    </w:tbl>
    <w:p>
      <w:pPr>
        <w:spacing w:before="0" w:after="160" w:line="276" w:lineRule="auto"/>
      </w:pPr>
      <w:r>
        <w:rPr>
          <w:sz w:val="23"/>
          <w:szCs w:val="23"/>
          <w:color w:val="222222"/>
        </w:rPr>
        <w:t xml:space="preserve"/>
      </w:r>
    </w:p>
    <w:p>
      <w:pPr>
        <w:spacing w:before="240" w:after="100" w:line="276" w:lineRule="auto"/>
      </w:pPr>
      <w:r>
        <w:rPr>
          <w:b/>
          <w:sz w:val="26"/>
          <w:szCs w:val="26"/>
          <w:color w:val="0284C7"/>
        </w:rPr>
        <w:t xml:space="preserve">7.6 Peningkatan Kapasitas Fungsional Gerak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1. Peningkatan Postural Endurance: Peningkatan stabilitas deep neck flexors dan lower trapezius mencegah keluhan fatigue saat duduk berkuliah.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2. Koreksi Anterior Pelvic Tilt: Aktivasi gluteal dan pelepasan hip flexors berhasil menghilangkan kompresi lumbosakral.</w:t>
      </w:r>
    </w:p>
    <w:p>
      <w:pPr>
        <w:spacing w:before="0" w:after="140" w:line="276" w:lineRule="auto"/>
      </w:pPr>
      <w:r>
        <w:rPr>
          <w:sz w:val="23"/>
          <w:szCs w:val="23"/>
          <w:color w:val="222222"/>
        </w:rPr>
        <w:t xml:space="preserve">3. Restorasi Lingkup Gerak Sendi (ROM): Memulihkan rentang gerak rotasi leher dan elevasi bahu penuh bebas nyeri (pain-free ROM).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3"/>
        <w:szCs w:val="23"/>
        <w:color w:val="333333"/>
      </w:rPr>
    </w:rPrDefault>
    <w:pPrDefault>
      <w:pPr>
        <w:spacing w:after="16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