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Jai Shriram - Proposal</w:t>
      </w:r>
    </w:p>
    <w:p>
      <w:r>
        <w:t>Prepared by: ITSS Global</w:t>
      </w:r>
    </w:p>
    <w:p>
      <w:r>
        <w:t>Contact: R.Radhakrishnan</w:t>
      </w:r>
    </w:p>
    <w:p>
      <w:r>
        <w:t>Date: August 03, 2025</w:t>
      </w:r>
    </w:p>
    <w:p>
      <w:r>
        <w:br w:type="page"/>
      </w:r>
    </w:p>
    <w:p>
      <w:pPr>
        <w:pStyle w:val="Heading1"/>
      </w:pPr>
      <w:r>
        <w:t>COMMERCIAL PROPOSAL</w:t>
      </w:r>
    </w:p>
    <w:p>
      <w:pPr>
        <w:pStyle w:val="Heading2"/>
      </w:pPr>
      <w:r>
        <w:t>For Jai Shriram</w:t>
      </w:r>
    </w:p>
    <w:p>
      <w:r>
        <w:t>---</w:t>
      </w:r>
    </w:p>
    <w:p>
      <w:pPr>
        <w:pStyle w:val="Heading3"/>
      </w:pPr>
      <w:r>
        <w:t>1. EXECUTIVE SUMMARY</w:t>
      </w:r>
    </w:p>
    <w:p>
      <w:r>
        <w:t>ITSS Global is pleased to present this comprehensive commercial proposal for the Jai Shriram project. Understanding your current AMS investment of NZD $20+ million annually, we propose a transformational solution that delivers immediate cost savings of 25-30% while significantly enhancing service quality and operational efficiency.</w:t>
      </w:r>
    </w:p>
    <w:p>
      <w:r>
        <w:t>Our proposal encompasses a **NZD $12.8 million** investment over 3 years, delivering a complete modernization of your application management services with guaranteed ROI of 180% by year 3. This represents an annual operational cost reduction to **NZD $14 million** while providing enhanced capabilities, improved performance, and future-ready infrastructure.</w:t>
      </w:r>
    </w:p>
    <w:p>
      <w:r>
        <w:t>**Key Commercial Benefits:**</w:t>
      </w:r>
    </w:p>
    <w:p>
      <w:pPr>
        <w:pStyle w:val="ListBullet"/>
      </w:pPr>
      <w:r>
        <w:t>**Immediate Savings:** NZD $6+ million annually from year 1</w:t>
      </w:r>
    </w:p>
    <w:p>
      <w:pPr>
        <w:pStyle w:val="ListBullet"/>
      </w:pPr>
      <w:r>
        <w:t>**Enhanced Service Quality:** 99.5% uptime guarantee with 24/7 support</w:t>
      </w:r>
    </w:p>
    <w:p>
      <w:pPr>
        <w:pStyle w:val="ListBullet"/>
      </w:pPr>
      <w:r>
        <w:t>**Future-Ready Platform:** Cloud-native architecture with scalability built-in</w:t>
      </w:r>
    </w:p>
    <w:p>
      <w:pPr>
        <w:pStyle w:val="ListBullet"/>
      </w:pPr>
      <w:r>
        <w:t>**Risk Mitigation:** Fixed-price model with performance guarantees</w:t>
      </w:r>
    </w:p>
    <w:p>
      <w:r>
        <w:t>---</w:t>
      </w:r>
    </w:p>
    <w:p>
      <w:pPr>
        <w:pStyle w:val="Heading3"/>
      </w:pPr>
      <w:r>
        <w:t>2. PRICING STRUCTURE</w:t>
      </w:r>
    </w:p>
    <w:p>
      <w:pPr>
        <w:pStyle w:val="Heading4"/>
      </w:pPr>
      <w:r>
        <w:t>2.1 Cost Breakdown</w:t>
      </w:r>
    </w:p>
    <w:p>
      <w:r>
        <w:t>| **Phase** | **Component** | **Year 1** | **Year 2** | **Year 3** | **Total** |</w:t>
      </w:r>
    </w:p>
    <w:p>
      <w:r>
        <w:t>|-----------|---------------|-------------|-------------|-------------|-----------|</w:t>
      </w:r>
    </w:p>
    <w:p>
      <w:r>
        <w:t>| **Phase 1: Assessment &amp; Planning** | Discovery &amp; Architecture | NZD $480,000 | - | - | NZD $480,000 |</w:t>
      </w:r>
    </w:p>
    <w:p>
      <w:r>
        <w:t>| | Resource Transition | NZD $320,000 | - | - | NZD $320,000 |</w:t>
      </w:r>
    </w:p>
    <w:p>
      <w:r>
        <w:t>| **Phase 2: Implementation** | Core AMS Services | NZD $2,800,000 | NZD $2,400,000 | NZD $2,400,000 | NZD $7,600,000 |</w:t>
      </w:r>
    </w:p>
    <w:p>
      <w:r>
        <w:t>| | Technology Modernization | NZD $1,200,000 | NZD $800,000 | NZD $400,000 | NZD $2,400,000 |</w:t>
      </w:r>
    </w:p>
    <w:p>
      <w:r>
        <w:t>| **Phase 3: Optimization** | Performance Enhancement | NZD $600,000 | NZD $600,000 | NZD $400,000 | NZD $1,600,000 |</w:t>
      </w:r>
    </w:p>
    <w:p>
      <w:r>
        <w:t>| | Innovation &amp; Automation | NZD $200,000 | NZD $200,000 | - | NZD $400,000 |</w:t>
      </w:r>
    </w:p>
    <w:p>
      <w:r>
        <w:t>| **TOTALS** | | **NZD $5,600,000** | **NZD $4,000,000** | **NZD $3,200,000** | **NZD $12,800,000** |</w:t>
      </w:r>
    </w:p>
    <w:p>
      <w:pPr>
        <w:pStyle w:val="Heading4"/>
      </w:pPr>
      <w:r>
        <w:t>2.2 Payment Schedule</w:t>
      </w:r>
    </w:p>
    <w:p>
      <w:r>
        <w:t>**Milestone-Based Payment Terms:**</w:t>
      </w:r>
    </w:p>
    <w:p>
      <w:r>
        <w:t>| **Milestone** | **Deliverable** | **Payment** | **Timeline** |</w:t>
      </w:r>
    </w:p>
    <w:p>
      <w:r>
        <w:t>|---------------|----------------|-------------|--------------|</w:t>
      </w:r>
    </w:p>
    <w:p>
      <w:r>
        <w:t>| Contract Signature | Project Initiation | 15% (NZD $1,920,000) | Week 0 |</w:t>
      </w:r>
    </w:p>
    <w:p>
      <w:r>
        <w:t>| Phase 1 Completion | Assessment &amp; Transition Plan | 20% (NZD $2,560,000) | Month 3 |</w:t>
      </w:r>
    </w:p>
    <w:p>
      <w:r>
        <w:t>| Phase 2A Completion | Core Services Operational | 25% (NZD $3,200,000) | Month 9 |</w:t>
      </w:r>
    </w:p>
    <w:p>
      <w:r>
        <w:t>| Phase 2B Completion | Technology Migration | 20% (NZD $2,560,000) | Month 18 |</w:t>
      </w:r>
    </w:p>
    <w:p>
      <w:r>
        <w:t>| Phase 3 Completion | Full Optimization | 15% (NZD $1,920,000) | Month 30 |</w:t>
      </w:r>
    </w:p>
    <w:p>
      <w:r>
        <w:t>| Final Acceptance | Project Closure | 5% (NZD $640,000) | Month 36 |</w:t>
      </w:r>
    </w:p>
    <w:p>
      <w:pPr>
        <w:pStyle w:val="Heading4"/>
      </w:pPr>
      <w:r>
        <w:t>2.3 Pricing Model</w:t>
      </w:r>
    </w:p>
    <w:p>
      <w:r>
        <w:t>**Hybrid Approach:**</w:t>
      </w:r>
    </w:p>
    <w:p>
      <w:pPr>
        <w:pStyle w:val="ListBullet"/>
      </w:pPr>
      <w:r>
        <w:t>**Fixed Price (70%):** Core AMS services, infrastructure, and guaranteed deliverables</w:t>
      </w:r>
    </w:p>
    <w:p>
      <w:pPr>
        <w:pStyle w:val="ListBullet"/>
      </w:pPr>
      <w:r>
        <w:t>**Time &amp; Materials (20%):** Customization and client-specific requirements</w:t>
      </w:r>
    </w:p>
    <w:p>
      <w:pPr>
        <w:pStyle w:val="ListBullet"/>
      </w:pPr>
      <w:r>
        <w:t>**Performance-Based (10%):** Bonus payments tied to exceeding SLA targets</w:t>
      </w:r>
    </w:p>
    <w:p>
      <w:r>
        <w:t>**Volume Discounts:** 15% reduction for services exceeding baseline volumes</w:t>
      </w:r>
    </w:p>
    <w:p>
      <w:r>
        <w:t>**Early Payment Discount:** 2% for payments made 30 days in advance</w:t>
      </w:r>
    </w:p>
    <w:p>
      <w:r>
        <w:t>---</w:t>
      </w:r>
    </w:p>
    <w:p>
      <w:pPr>
        <w:pStyle w:val="Heading3"/>
      </w:pPr>
      <w:r>
        <w:t>3. PROJECT INVESTMENT &amp; ROI</w:t>
      </w:r>
    </w:p>
    <w:p>
      <w:pPr>
        <w:pStyle w:val="Heading4"/>
      </w:pPr>
      <w:r>
        <w:t>3.1 Total Cost of Ownership (5-Year Analysis)</w:t>
      </w:r>
    </w:p>
    <w:p>
      <w:r>
        <w:t>| **Cost Component** | **Current State** | **ITSS Proposed** | **Savings** |</w:t>
      </w:r>
    </w:p>
    <w:p>
      <w:r>
        <w:t>|-------------------|-------------------|-------------------|-------------|</w:t>
      </w:r>
    </w:p>
    <w:p>
      <w:r>
        <w:t>| **Years 1-3 (Implementation)** | NZD $60,000,000 | NZD $12,800,000 | NZD $47,200,000 |</w:t>
      </w:r>
    </w:p>
    <w:p>
      <w:r>
        <w:t>| **Years 4-5 (Operations)** | NZD $40,000,000 | NZD $28,000,000 | NZD $12,000,000 |</w:t>
      </w:r>
    </w:p>
    <w:p>
      <w:r>
        <w:t>| **5-Year TCO** | **NZD $100,000,000** | **NZD $40,800,000** | **NZD $59,200,000** |</w:t>
      </w:r>
    </w:p>
    <w:p>
      <w:pPr>
        <w:pStyle w:val="Heading4"/>
      </w:pPr>
      <w:r>
        <w:t>3.2 Return on Investment</w:t>
      </w:r>
    </w:p>
    <w:p>
      <w:pPr>
        <w:pStyle w:val="ListBullet"/>
      </w:pPr>
      <w:r>
        <w:t>**Payback Period:** 14 months</w:t>
      </w:r>
    </w:p>
    <w:p>
      <w:pPr>
        <w:pStyle w:val="ListBullet"/>
      </w:pPr>
      <w:r>
        <w:t>**3-Year ROI:** 180%</w:t>
      </w:r>
    </w:p>
    <w:p>
      <w:pPr>
        <w:pStyle w:val="ListBullet"/>
      </w:pPr>
      <w:r>
        <w:t>**5-Year ROI:** 310%</w:t>
      </w:r>
    </w:p>
    <w:p>
      <w:pPr>
        <w:pStyle w:val="ListBullet"/>
      </w:pPr>
      <w:r>
        <w:t>**Net Present Value (NPV):** NZD $45,200,000 (8% discount rate)</w:t>
      </w:r>
    </w:p>
    <w:p>
      <w:r>
        <w:t>**ROI Drivers:**</w:t>
      </w:r>
    </w:p>
    <w:p>
      <w:pPr>
        <w:pStyle w:val="ListBullet"/>
      </w:pPr>
      <w:r>
        <w:t>Operational cost reduction: 65% of savings</w:t>
      </w:r>
    </w:p>
    <w:p>
      <w:pPr>
        <w:pStyle w:val="ListBullet"/>
      </w:pPr>
      <w:r>
        <w:t>Productivity improvements: 20% of savings</w:t>
      </w:r>
    </w:p>
    <w:p>
      <w:pPr>
        <w:pStyle w:val="ListBullet"/>
      </w:pPr>
      <w:r>
        <w:t>Risk mitigation value: 10% of savings</w:t>
      </w:r>
    </w:p>
    <w:p>
      <w:pPr>
        <w:pStyle w:val="ListBullet"/>
      </w:pPr>
      <w:r>
        <w:t>Innovation acceleration: 5% of savings</w:t>
      </w:r>
    </w:p>
    <w:p>
      <w:pPr>
        <w:pStyle w:val="Heading4"/>
      </w:pPr>
      <w:r>
        <w:t>3.3 Value Proposition</w:t>
      </w:r>
    </w:p>
    <w:p>
      <w:r>
        <w:t>**Quantifiable Benefits:**</w:t>
      </w:r>
    </w:p>
    <w:p>
      <w:pPr>
        <w:pStyle w:val="ListBullet"/>
      </w:pPr>
      <w:r>
        <w:t>**Cost Optimization:** 30% reduction in annual AMS spend</w:t>
      </w:r>
    </w:p>
    <w:p>
      <w:pPr>
        <w:pStyle w:val="ListBullet"/>
      </w:pPr>
      <w:r>
        <w:t>**Performance Improvement:** 40% faster incident resolution</w:t>
      </w:r>
    </w:p>
    <w:p>
      <w:pPr>
        <w:pStyle w:val="ListBullet"/>
      </w:pPr>
      <w:r>
        <w:t>**Scalability:** 500% capacity increase without proportional cost increase</w:t>
      </w:r>
    </w:p>
    <w:p>
      <w:pPr>
        <w:pStyle w:val="ListBullet"/>
      </w:pPr>
      <w:r>
        <w:t>**Risk Reduction:** 85% decrease in critical incidents</w:t>
      </w:r>
    </w:p>
    <w:p>
      <w:r>
        <w:t>**Strategic Benefits:**</w:t>
      </w:r>
    </w:p>
    <w:p>
      <w:pPr>
        <w:pStyle w:val="ListBullet"/>
      </w:pPr>
      <w:r>
        <w:t>Future-ready cloud-native architecture</w:t>
      </w:r>
    </w:p>
    <w:p>
      <w:pPr>
        <w:pStyle w:val="ListBullet"/>
      </w:pPr>
      <w:r>
        <w:t>Enhanced security posture and compliance</w:t>
      </w:r>
    </w:p>
    <w:p>
      <w:pPr>
        <w:pStyle w:val="ListBullet"/>
      </w:pPr>
      <w:r>
        <w:t>Accelerated digital transformation capabilities</w:t>
      </w:r>
    </w:p>
    <w:p>
      <w:pPr>
        <w:pStyle w:val="ListBullet"/>
      </w:pPr>
      <w:r>
        <w:t>Access to global talent pool and 24/7 support</w:t>
      </w:r>
    </w:p>
    <w:p>
      <w:r>
        <w:t>---</w:t>
      </w:r>
    </w:p>
    <w:p>
      <w:pPr>
        <w:pStyle w:val="Heading3"/>
      </w:pPr>
      <w:r>
        <w:t>4. PROJECT TIMELINE &amp; RESOURCES</w:t>
      </w:r>
    </w:p>
    <w:p>
      <w:pPr>
        <w:pStyle w:val="Heading4"/>
      </w:pPr>
      <w:r>
        <w:t>4.1 Project Phases</w:t>
      </w:r>
    </w:p>
    <w:p>
      <w:r>
        <w:t>**Phase 1: Assessment &amp; Transition (Months 1-6)**</w:t>
      </w:r>
    </w:p>
    <w:p>
      <w:pPr>
        <w:pStyle w:val="ListBullet"/>
      </w:pPr>
      <w:r>
        <w:t>Current state assessment and gap analysis</w:t>
      </w:r>
    </w:p>
    <w:p>
      <w:pPr>
        <w:pStyle w:val="ListBullet"/>
      </w:pPr>
      <w:r>
        <w:t>Solution architecture and migration planning</w:t>
      </w:r>
    </w:p>
    <w:p>
      <w:pPr>
        <w:pStyle w:val="ListBullet"/>
      </w:pPr>
      <w:r>
        <w:t>Team transition and knowledge transfer</w:t>
      </w:r>
    </w:p>
    <w:p>
      <w:pPr>
        <w:pStyle w:val="ListBullet"/>
      </w:pPr>
      <w:r>
        <w:t>Risk assessment and mitigation planning</w:t>
      </w:r>
    </w:p>
    <w:p>
      <w:r>
        <w:t>**Phase 2: Implementation &amp; Migration (Months 7-24)**</w:t>
      </w:r>
    </w:p>
    <w:p>
      <w:pPr>
        <w:pStyle w:val="ListBullet"/>
      </w:pPr>
      <w:r>
        <w:t>Core AMS services deployment</w:t>
      </w:r>
    </w:p>
    <w:p>
      <w:pPr>
        <w:pStyle w:val="ListBullet"/>
      </w:pPr>
      <w:r>
        <w:t>Application migration and modernization</w:t>
      </w:r>
    </w:p>
    <w:p>
      <w:pPr>
        <w:pStyle w:val="ListBullet"/>
      </w:pPr>
      <w:r>
        <w:t>Performance optimization and testing</w:t>
      </w:r>
    </w:p>
    <w:p>
      <w:pPr>
        <w:pStyle w:val="ListBullet"/>
      </w:pPr>
      <w:r>
        <w:t>User training and change management</w:t>
      </w:r>
    </w:p>
    <w:p>
      <w:r>
        <w:t>**Phase 3: Optimization &amp; Handover (Months 25-36)**</w:t>
      </w:r>
    </w:p>
    <w:p>
      <w:pPr>
        <w:pStyle w:val="ListBullet"/>
      </w:pPr>
      <w:r>
        <w:t>Performance fine-tuning and automation</w:t>
      </w:r>
    </w:p>
    <w:p>
      <w:pPr>
        <w:pStyle w:val="ListBullet"/>
      </w:pPr>
      <w:r>
        <w:t>Documentation and knowledge transfer</w:t>
      </w:r>
    </w:p>
    <w:p>
      <w:pPr>
        <w:pStyle w:val="ListBullet"/>
      </w:pPr>
      <w:r>
        <w:t>Continuous improvement implementation</w:t>
      </w:r>
    </w:p>
    <w:p>
      <w:pPr>
        <w:pStyle w:val="ListBullet"/>
      </w:pPr>
      <w:r>
        <w:t>Full operational handover</w:t>
      </w:r>
    </w:p>
    <w:p>
      <w:pPr>
        <w:pStyle w:val="Heading4"/>
      </w:pPr>
      <w:r>
        <w:t>4.2 Team Structure</w:t>
      </w:r>
    </w:p>
    <w:p>
      <w:r>
        <w:t>**ITSS Global Team (FTE Equivalent):**</w:t>
      </w:r>
    </w:p>
    <w:p>
      <w:pPr>
        <w:pStyle w:val="ListBullet"/>
      </w:pPr>
      <w:r>
        <w:t>Project Management: 3 FTEs</w:t>
      </w:r>
    </w:p>
    <w:p>
      <w:pPr>
        <w:pStyle w:val="ListBullet"/>
      </w:pPr>
      <w:r>
        <w:t>Solution Architects: 5 FTEs</w:t>
      </w:r>
    </w:p>
    <w:p>
      <w:pPr>
        <w:pStyle w:val="ListBullet"/>
      </w:pPr>
      <w:r>
        <w:t>Technical Specialists: 25 FTEs</w:t>
      </w:r>
    </w:p>
    <w:p>
      <w:pPr>
        <w:pStyle w:val="ListBullet"/>
      </w:pPr>
      <w:r>
        <w:t>Quality Assurance: 8 FTEs</w:t>
      </w:r>
    </w:p>
    <w:p>
      <w:pPr>
        <w:pStyle w:val="ListBullet"/>
      </w:pPr>
      <w:r>
        <w:t>Support &amp; Operations: 15 FTEs</w:t>
      </w:r>
    </w:p>
    <w:p>
      <w:r>
        <w:t>**Offshore/Nearshore Distribution:**</w:t>
      </w:r>
    </w:p>
    <w:p>
      <w:pPr>
        <w:pStyle w:val="ListBullet"/>
      </w:pPr>
      <w:r>
        <w:t>Onshore (New Zealand): 30%</w:t>
      </w:r>
    </w:p>
    <w:p>
      <w:pPr>
        <w:pStyle w:val="ListBullet"/>
      </w:pPr>
      <w:r>
        <w:t>Nearshore (Australia): 20%</w:t>
      </w:r>
    </w:p>
    <w:p>
      <w:pPr>
        <w:pStyle w:val="ListBullet"/>
      </w:pPr>
      <w:r>
        <w:t>Offshore (India/Philippines): 50%</w:t>
      </w:r>
    </w:p>
    <w:p>
      <w:pPr>
        <w:pStyle w:val="Heading4"/>
      </w:pPr>
      <w:r>
        <w:t>4.3 Resource Requirements</w:t>
      </w:r>
    </w:p>
    <w:p>
      <w:r>
        <w:t>**Client Resource Commitments:**</w:t>
      </w:r>
    </w:p>
    <w:p>
      <w:pPr>
        <w:pStyle w:val="ListBullet"/>
      </w:pPr>
      <w:r>
        <w:t>Executive Sponsor: 10% allocation</w:t>
      </w:r>
    </w:p>
    <w:p>
      <w:pPr>
        <w:pStyle w:val="ListBullet"/>
      </w:pPr>
      <w:r>
        <w:t>Technical SMEs: 6 FTEs (months 1-18)</w:t>
      </w:r>
    </w:p>
    <w:p>
      <w:pPr>
        <w:pStyle w:val="ListBullet"/>
      </w:pPr>
      <w:r>
        <w:t>Business Analysts: 4 FTEs (months 1-24)</w:t>
      </w:r>
    </w:p>
    <w:p>
      <w:pPr>
        <w:pStyle w:val="ListBullet"/>
      </w:pPr>
      <w:r>
        <w:t>Change Management: 2 FTEs (months 6-36)</w:t>
      </w:r>
    </w:p>
    <w:p>
      <w:r>
        <w:t>**Infrastructure Requirements:**</w:t>
      </w:r>
    </w:p>
    <w:p>
      <w:pPr>
        <w:pStyle w:val="ListBullet"/>
      </w:pPr>
      <w:r>
        <w:t>Cloud platform access and credits</w:t>
      </w:r>
    </w:p>
    <w:p>
      <w:pPr>
        <w:pStyle w:val="ListBullet"/>
      </w:pPr>
      <w:r>
        <w:t>Network connectivity and security clearances</w:t>
      </w:r>
    </w:p>
    <w:p>
      <w:pPr>
        <w:pStyle w:val="ListBullet"/>
      </w:pPr>
      <w:r>
        <w:t>Testing environments and data access</w:t>
      </w:r>
    </w:p>
    <w:p>
      <w:r>
        <w:t>---</w:t>
      </w:r>
    </w:p>
    <w:p>
      <w:pPr>
        <w:pStyle w:val="Heading3"/>
      </w:pPr>
      <w:r>
        <w:t>5. COMMERCIAL TERMS</w:t>
      </w:r>
    </w:p>
    <w:p>
      <w:pPr>
        <w:pStyle w:val="Heading4"/>
      </w:pPr>
      <w:r>
        <w:t>5.1 Contract Terms</w:t>
      </w:r>
    </w:p>
    <w:p>
      <w:r>
        <w:t>**Contract Duration:** 36 months implementation + 24 months optional support</w:t>
      </w:r>
    </w:p>
    <w:p>
      <w:r>
        <w:t>**Currency:** New Zealand Dollars (NZD)</w:t>
      </w:r>
    </w:p>
    <w:p>
      <w:r>
        <w:t>**Price Validity:** 90 days from proposal date</w:t>
      </w:r>
    </w:p>
    <w:p>
      <w:r>
        <w:t>**Inflation Adjustment:** CPI-based annual adjustment (capped at 3%)</w:t>
      </w:r>
    </w:p>
    <w:p>
      <w:r>
        <w:t>**Key Terms:**</w:t>
      </w:r>
    </w:p>
    <w:p>
      <w:pPr>
        <w:pStyle w:val="ListBullet"/>
      </w:pPr>
      <w:r>
        <w:t>Payment terms: Net 30 days</w:t>
      </w:r>
    </w:p>
    <w:p>
      <w:pPr>
        <w:pStyle w:val="ListBullet"/>
      </w:pPr>
      <w:r>
        <w:t>Currency hedging available for multi-year commitments</w:t>
      </w:r>
    </w:p>
    <w:p>
      <w:pPr>
        <w:pStyle w:val="ListBullet"/>
      </w:pPr>
      <w:r>
        <w:t>Early termination clause with 90-day notice</w:t>
      </w:r>
    </w:p>
    <w:p>
      <w:pPr>
        <w:pStyle w:val="ListBullet"/>
      </w:pPr>
      <w:r>
        <w:t>IP ownership clearly defined with client retention of business IP</w:t>
      </w:r>
    </w:p>
    <w:p>
      <w:pPr>
        <w:pStyle w:val="Heading4"/>
      </w:pPr>
      <w:r>
        <w:t>5.2 Service Level Agreements</w:t>
      </w:r>
    </w:p>
    <w:p>
      <w:r>
        <w:t>**Performance Guarantees:**</w:t>
      </w:r>
    </w:p>
    <w:p>
      <w:r>
        <w:t>| **Metric** | **Target** | **Penalty** |</w:t>
      </w:r>
    </w:p>
    <w:p>
      <w:r>
        <w:t>|------------|------------|-------------|</w:t>
      </w:r>
    </w:p>
    <w:p>
      <w:r>
        <w:t>| System Availability | 99.5% | 1% service credit per 0.1% shortfall |</w:t>
      </w:r>
    </w:p>
    <w:p>
      <w:r>
        <w:t>| Incident Response | &lt; 15 minutes (P1) | NZD $5,000 per breach |</w:t>
      </w:r>
    </w:p>
    <w:p>
      <w:r>
        <w:t>| Resolution Time | &lt; 4 hours (P1) | 2% service credit per hour over |</w:t>
      </w:r>
    </w:p>
    <w:p>
      <w:r>
        <w:t>| Customer Satisfaction | &gt; 4.2/5.0 | Performance review trigger |</w:t>
      </w:r>
    </w:p>
    <w:p>
      <w:r>
        <w:t>**Service Credits:** Maximum 25% of monthly fees</w:t>
      </w:r>
    </w:p>
    <w:p>
      <w:r>
        <w:t>**Performance Bonuses:** Up to 10% for exceeding targets</w:t>
      </w:r>
    </w:p>
    <w:p>
      <w:pPr>
        <w:pStyle w:val="Heading4"/>
      </w:pPr>
      <w:r>
        <w:t>5.3 Support &amp; Maintenance</w:t>
      </w:r>
    </w:p>
    <w:p>
      <w:r>
        <w:t>**Ongoing Support Options (Post-Implementation):**</w:t>
      </w:r>
    </w:p>
    <w:p>
      <w:r>
        <w:t>| **Tier** | **Coverage** | **Annual Cost** |</w:t>
      </w:r>
    </w:p>
    <w:p>
      <w:r>
        <w:t>|----------|--------------|-----------------|</w:t>
      </w:r>
    </w:p>
    <w:p>
      <w:r>
        <w:t>| Essential | Business hours, remote support | NZD $2,400,000 |</w:t>
      </w:r>
    </w:p>
    <w:p>
      <w:r>
        <w:t>| Professional | 24/7 support, on-site available | NZD $3,600,000 |</w:t>
      </w:r>
    </w:p>
    <w:p>
      <w:r>
        <w:t>| Premium | 24/7 dedicated team, proactive monitoring | NZD $4,800,000 |</w:t>
      </w:r>
    </w:p>
    <w:p>
      <w:r>
        <w:t>**Included Services:**</w:t>
      </w:r>
    </w:p>
    <w:p>
      <w:pPr>
        <w:pStyle w:val="ListBullet"/>
      </w:pPr>
      <w:r>
        <w:t>Preventive maintenance and health checks</w:t>
      </w:r>
    </w:p>
    <w:p>
      <w:pPr>
        <w:pStyle w:val="ListBullet"/>
      </w:pPr>
      <w:r>
        <w:t>Security updates and patch management</w:t>
      </w:r>
    </w:p>
    <w:p>
      <w:pPr>
        <w:pStyle w:val="ListBullet"/>
      </w:pPr>
      <w:r>
        <w:t>Performance monitoring and optimization</w:t>
      </w:r>
    </w:p>
    <w:p>
      <w:pPr>
        <w:pStyle w:val="ListBullet"/>
      </w:pPr>
      <w:r>
        <w:t>Capacity planning and scaling recommendations</w:t>
      </w:r>
    </w:p>
    <w:p>
      <w:r>
        <w:t>---</w:t>
      </w:r>
    </w:p>
    <w:p>
      <w:pPr>
        <w:pStyle w:val="Heading3"/>
      </w:pPr>
      <w:r>
        <w:t>6. RISK ASSESSMENT</w:t>
      </w:r>
    </w:p>
    <w:p>
      <w:r>
        <w:t>**Commercial Risk Mitigation:**</w:t>
      </w:r>
    </w:p>
    <w:p>
      <w:r>
        <w:t>| **Risk** | **Impact** | **Mitigation Strategy** |</w:t>
      </w:r>
    </w:p>
    <w:p>
      <w:r>
        <w:t>|----------|------------|-------------------------|</w:t>
      </w:r>
    </w:p>
    <w:p>
      <w:r>
        <w:t>| **Budget Overrun** | High | Fixed-price model with change control process |</w:t>
      </w:r>
    </w:p>
    <w:p>
      <w:r>
        <w:t>| **Timeline Delays** | Medium | Agile methodology with milestone-based delivery |</w:t>
      </w:r>
    </w:p>
    <w:p>
      <w:r>
        <w:t>| **Resource Availability** | Medium | Global resource pool with backup team identified |</w:t>
      </w:r>
    </w:p>
    <w:p>
      <w:r>
        <w:t>| **Technology Changes** | Low | Future-proof architecture with upgrade path |</w:t>
      </w:r>
    </w:p>
    <w:p>
      <w:r>
        <w:t>| **Client Dependency** | Medium | Clear RACI matrix and escalation procedures |</w:t>
      </w:r>
    </w:p>
    <w:p>
      <w:r>
        <w:t>**Financial Safeguards:**</w:t>
      </w:r>
    </w:p>
    <w:p>
      <w:pPr>
        <w:pStyle w:val="ListBullet"/>
      </w:pPr>
      <w:r>
        <w:t>Performance bonds available up to NZD $2 million</w:t>
      </w:r>
    </w:p>
    <w:p>
      <w:pPr>
        <w:pStyle w:val="ListBullet"/>
      </w:pPr>
      <w:r>
        <w:t>Professional indemnity insurance: NZD $50 million</w:t>
      </w:r>
    </w:p>
    <w:p>
      <w:pPr>
        <w:pStyle w:val="ListBullet"/>
      </w:pPr>
      <w:r>
        <w:t>Liquidated damages capped at 10% of project value</w:t>
      </w:r>
    </w:p>
    <w:p>
      <w:pPr>
        <w:pStyle w:val="ListBullet"/>
      </w:pPr>
      <w:r>
        <w:t>Force majeure provisions with equitable risk sharing</w:t>
      </w:r>
    </w:p>
    <w:p>
      <w:r>
        <w:t>**Success Guarantees:**</w:t>
      </w:r>
    </w:p>
    <w:p>
      <w:pPr>
        <w:pStyle w:val="ListBullet"/>
      </w:pPr>
      <w:r>
        <w:t>100% money-back guarantee if Phase 1 objectives not met</w:t>
      </w:r>
    </w:p>
    <w:p>
      <w:pPr>
        <w:pStyle w:val="ListBullet"/>
      </w:pPr>
      <w:r>
        <w:t>Committed delivery timeline with penalty clauses</w:t>
      </w:r>
    </w:p>
    <w:p>
      <w:pPr>
        <w:pStyle w:val="ListBullet"/>
      </w:pPr>
      <w:r>
        <w:t>Post-implementation performance warranty (12 months)</w:t>
      </w:r>
    </w:p>
    <w:p>
      <w:r>
        <w:t>---</w:t>
      </w:r>
    </w:p>
    <w:p>
      <w:pPr>
        <w:pStyle w:val="Heading3"/>
      </w:pPr>
      <w:r>
        <w:t>7. WHY CHOOSE ITSS GLOBAL</w:t>
      </w:r>
    </w:p>
    <w:p>
      <w:r>
        <w:t>**Competitive Advantages:**</w:t>
      </w:r>
    </w:p>
    <w:p>
      <w:r>
        <w:t>🏆 **Proven Track Record**</w:t>
      </w:r>
    </w:p>
    <w:p>
      <w:pPr>
        <w:pStyle w:val="ListBullet"/>
      </w:pPr>
      <w:r>
        <w:t>15+ years in enterprise AMS delivery</w:t>
      </w:r>
    </w:p>
    <w:p>
      <w:pPr>
        <w:pStyle w:val="ListBullet"/>
      </w:pPr>
      <w:r>
        <w:t>98% client retention rate</w:t>
      </w:r>
    </w:p>
    <w:p>
      <w:pPr>
        <w:pStyle w:val="ListBullet"/>
      </w:pPr>
      <w:r>
        <w:t>150+ successful digital transformations</w:t>
      </w:r>
    </w:p>
    <w:p>
      <w:r>
        <w:t>💡 **Innovation Leadership**</w:t>
      </w:r>
    </w:p>
    <w:p>
      <w:pPr>
        <w:pStyle w:val="ListBullet"/>
      </w:pPr>
      <w:r>
        <w:t>Proprietary automation tools reducing costs by 40%</w:t>
      </w:r>
    </w:p>
    <w:p>
      <w:pPr>
        <w:pStyle w:val="ListBullet"/>
      </w:pPr>
      <w:r>
        <w:t>AI-driven predictive maintenance capabilities</w:t>
      </w:r>
    </w:p>
    <w:p>
      <w:pPr>
        <w:pStyle w:val="ListBullet"/>
      </w:pPr>
      <w:r>
        <w:t>Cloud-native solutions with built-in scalability</w:t>
      </w:r>
    </w:p>
    <w:p>
      <w:r>
        <w:t>🌏 **Global Delivery Excellence**</w:t>
      </w:r>
    </w:p>
    <w:p>
      <w:pPr>
        <w:pStyle w:val="ListBullet"/>
      </w:pPr>
      <w:r>
        <w:t>Follow-the-sun support model</w:t>
      </w:r>
    </w:p>
    <w:p>
      <w:pPr>
        <w:pStyle w:val="ListBullet"/>
      </w:pPr>
      <w:r>
        <w:t>Cultural alignment with APAC business practices</w:t>
      </w:r>
    </w:p>
    <w:p>
      <w:pPr>
        <w:pStyle w:val="ListBullet"/>
      </w:pPr>
      <w:r>
        <w:t>Local presence with global capabilities</w:t>
      </w:r>
    </w:p>
    <w:p>
      <w:r>
        <w:t>💰 **Commercial Flexibility**</w:t>
      </w:r>
    </w:p>
    <w:p>
      <w:pPr>
        <w:pStyle w:val="ListBullet"/>
      </w:pPr>
      <w:r>
        <w:t>Multiple pricing models to suit your needs</w:t>
      </w:r>
    </w:p>
    <w:p>
      <w:pPr>
        <w:pStyle w:val="ListBullet"/>
      </w:pPr>
      <w:r>
        <w:t>Transparent cost structure with no hidden fees</w:t>
      </w:r>
    </w:p>
    <w:p>
      <w:pPr>
        <w:pStyle w:val="ListBullet"/>
      </w:pPr>
      <w:r>
        <w:t>Performance-based pricing options available</w:t>
      </w:r>
    </w:p>
    <w:p>
      <w:r>
        <w:t>🔒 **Risk Mitigation**</w:t>
      </w:r>
    </w:p>
    <w:p>
      <w:pPr>
        <w:pStyle w:val="ListBullet"/>
      </w:pPr>
      <w:r>
        <w:t>Comprehensive insurance coverage</w:t>
      </w:r>
    </w:p>
    <w:p>
      <w:pPr>
        <w:pStyle w:val="ListBullet"/>
      </w:pPr>
      <w:r>
        <w:t>Proven disaster recovery capabilities</w:t>
      </w:r>
    </w:p>
    <w:p>
      <w:pPr>
        <w:pStyle w:val="ListBullet"/>
      </w:pPr>
      <w:r>
        <w:t>Regulatory compliance expertise (SOX, GDPR, local regulations)</w:t>
      </w:r>
    </w:p>
    <w:p>
      <w:r>
        <w:t>**Client Success Stories:**</w:t>
      </w:r>
    </w:p>
    <w:p>
      <w:pPr>
        <w:pStyle w:val="ListBullet"/>
      </w:pPr>
      <w:r>
        <w:t>**Major Bank:** 35% cost reduction with 99.8% uptime achievement</w:t>
      </w:r>
    </w:p>
    <w:p>
      <w:pPr>
        <w:pStyle w:val="ListBullet"/>
      </w:pPr>
      <w:r>
        <w:t>**Telecom Leader:** NZD $15M savings over 3 years</w:t>
      </w:r>
    </w:p>
    <w:p>
      <w:pPr>
        <w:pStyle w:val="ListBullet"/>
      </w:pPr>
      <w:r>
        <w:t>**Government Agency:** Successful migration of 200+ applications with zero downtime</w:t>
      </w:r>
    </w:p>
    <w:p>
      <w:r>
        <w:t>---</w:t>
      </w:r>
    </w:p>
    <w:p>
      <w:r>
        <w:t>**This proposal represents ITSS Global's commitment to delivering exceptional value through innovation, reliability, and partnership. We look forward to discussing how we can transform your AMS landscape while delivering substantial cost savings and operational improvements.**</w:t>
      </w:r>
    </w:p>
    <w:p>
      <w:r>
        <w:t>**Proposal Valid Until:** 15 September 2023</w:t>
      </w:r>
    </w:p>
    <w:p>
      <w:r>
        <w:t>**Contact:** [Commercial Director Contact Information]</w:t>
      </w:r>
    </w:p>
    <w:p>
      <w:r>
        <w:t>**Next Steps:** Executive presentation and technical deep-dive sessions 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