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 Thiag - Proposal</w:t>
      </w:r>
    </w:p>
    <w:p>
      <w:r>
        <w:t>Prepared by: ITSS global</w:t>
      </w:r>
    </w:p>
    <w:p>
      <w:r>
        <w:t>Contact: R.Radhakrishnan</w:t>
      </w:r>
    </w:p>
    <w:p>
      <w:r>
        <w:t>Date: August 14, 2025</w:t>
      </w:r>
    </w:p>
    <w:p>
      <w:r>
        <w:br w:type="page"/>
      </w:r>
    </w:p>
    <w:p>
      <w:pPr>
        <w:pStyle w:val="Heading1"/>
      </w:pPr>
      <w:r>
        <w:t>COMMERCIAL PROPOSAL</w:t>
      </w:r>
    </w:p>
    <w:p>
      <w:pPr>
        <w:pStyle w:val="Heading2"/>
      </w:pPr>
      <w:r>
        <w:t>For for Thiag</w:t>
      </w:r>
    </w:p>
    <w:p>
      <w:pPr>
        <w:pStyle w:val="Heading3"/>
      </w:pPr>
      <w:r>
        <w:t>1. EXECUTIVE SUMMARY</w:t>
      </w:r>
    </w:p>
    <w:p>
      <w:r>
        <w:t>ITSS Global is pleased to present this comprehensive commercial proposal to deliver exceptional Application Management Services (AMS) for Thiag. With your current annual investment of NZD $20+ million in AMS services, we understand the critical importance of maximizing value, ensuring operational excellence, and driving digital transformation initiatives.</w:t>
      </w:r>
    </w:p>
    <w:p>
      <w:r>
        <w:t>Our proposal offers a **20% cost reduction** in the first year while delivering enhanced service quality through our proven methodologies, advanced automation capabilities, and global delivery model. We propose a total investment of **NZD $16.2 million annually**, representing significant cost savings alongside improved service levels and innovation acceleration.</w:t>
      </w:r>
    </w:p>
    <w:p>
      <w:r>
        <w:t>**Key Commercial Benefits:**</w:t>
      </w:r>
    </w:p>
    <w:p>
      <w:pPr>
        <w:pStyle w:val="ListBullet"/>
      </w:pPr>
      <w:r>
        <w:t>**NZD $4+ million annual savings** compared to current spend</w:t>
      </w:r>
    </w:p>
    <w:p>
      <w:pPr>
        <w:pStyle w:val="ListBullet"/>
      </w:pPr>
      <w:r>
        <w:t>**15% improvement** in application performance and reliability</w:t>
      </w:r>
    </w:p>
    <w:p>
      <w:pPr>
        <w:pStyle w:val="ListBullet"/>
      </w:pPr>
      <w:r>
        <w:t>**30% faster** time-to-market for new features and enhancements</w:t>
      </w:r>
    </w:p>
    <w:p>
      <w:pPr>
        <w:pStyle w:val="ListBullet"/>
      </w:pPr>
      <w:r>
        <w:t>**24/7 global support** with guaranteed response times</w:t>
      </w:r>
    </w:p>
    <w:p>
      <w:pPr>
        <w:pStyle w:val="ListBullet"/>
      </w:pPr>
      <w:r>
        <w:t>**Future-ready technology stack** with cloud-native solutions</w:t>
      </w:r>
    </w:p>
    <w:p>
      <w:pPr>
        <w:pStyle w:val="Heading3"/>
      </w:pPr>
      <w:r>
        <w:t>2. PRICING STRUCTURE</w:t>
      </w:r>
    </w:p>
    <w:p>
      <w:pPr>
        <w:pStyle w:val="Heading4"/>
      </w:pPr>
      <w:r>
        <w:t>2.1 Cost Breakdown</w:t>
      </w:r>
    </w:p>
    <w:p>
      <w:r>
        <w:t>**Year 1 - Transition &amp; Stabilization: NZD $17.8 Million**</w:t>
      </w:r>
    </w:p>
    <w:p>
      <w:pPr>
        <w:pStyle w:val="ListBullet"/>
      </w:pPr>
      <w:r>
        <w:t>Application Support Services: NZD $8.5M (48%)</w:t>
      </w:r>
    </w:p>
    <w:p>
      <w:pPr>
        <w:pStyle w:val="ListBullet"/>
      </w:pPr>
      <w:r>
        <w:t>Infrastructure Management: NZD $3.2M (18%)</w:t>
      </w:r>
    </w:p>
    <w:p>
      <w:pPr>
        <w:pStyle w:val="ListBullet"/>
      </w:pPr>
      <w:r>
        <w:t>Enhancement &amp; Development: NZD $2.8M (16%)</w:t>
      </w:r>
    </w:p>
    <w:p>
      <w:pPr>
        <w:pStyle w:val="ListBullet"/>
      </w:pPr>
      <w:r>
        <w:t>Testing &amp; Quality Assurance: NZD $1.8M (10%)</w:t>
      </w:r>
    </w:p>
    <w:p>
      <w:pPr>
        <w:pStyle w:val="ListBullet"/>
      </w:pPr>
      <w:r>
        <w:t>Project Management &amp; Governance: NZD $1.0M (6%)</w:t>
      </w:r>
    </w:p>
    <w:p>
      <w:pPr>
        <w:pStyle w:val="ListBullet"/>
      </w:pPr>
      <w:r>
        <w:t>Knowledge Transition: NZD $0.5M (3%)</w:t>
      </w:r>
    </w:p>
    <w:p>
      <w:r>
        <w:t>**Years 2-5 - Steady State Operations: NZD $16.2 Million/year**</w:t>
      </w:r>
    </w:p>
    <w:p>
      <w:pPr>
        <w:pStyle w:val="ListBullet"/>
      </w:pPr>
      <w:r>
        <w:t>Application Support Services: NZD $7.8M (48%)</w:t>
      </w:r>
    </w:p>
    <w:p>
      <w:pPr>
        <w:pStyle w:val="ListBullet"/>
      </w:pPr>
      <w:r>
        <w:t>Infrastructure Management: NZD $2.9M (18%)</w:t>
      </w:r>
    </w:p>
    <w:p>
      <w:pPr>
        <w:pStyle w:val="ListBullet"/>
      </w:pPr>
      <w:r>
        <w:t>Enhancement &amp; Development: NZD $2.6M (16%)</w:t>
      </w:r>
    </w:p>
    <w:p>
      <w:pPr>
        <w:pStyle w:val="ListBullet"/>
      </w:pPr>
      <w:r>
        <w:t>Testing &amp; Quality Assurance: NZD $1.6M (10%)</w:t>
      </w:r>
    </w:p>
    <w:p>
      <w:pPr>
        <w:pStyle w:val="ListBullet"/>
      </w:pPr>
      <w:r>
        <w:t>Project Management &amp; Governance: NZD $0.9M (6%)</w:t>
      </w:r>
    </w:p>
    <w:p>
      <w:pPr>
        <w:pStyle w:val="ListBullet"/>
      </w:pPr>
      <w:r>
        <w:t>Innovation &amp; Automation: NZD $0.4M (2%)</w:t>
      </w:r>
    </w:p>
    <w:p>
      <w:pPr>
        <w:pStyle w:val="Heading4"/>
      </w:pPr>
      <w:r>
        <w:t>2.2 Payment Schedule</w:t>
      </w:r>
    </w:p>
    <w:p>
      <w:r>
        <w:t>**Monthly Payments:**</w:t>
      </w:r>
    </w:p>
    <w:p>
      <w:pPr>
        <w:pStyle w:val="ListBullet"/>
      </w:pPr>
      <w:r>
        <w:t>70% Fixed Monthly Fee (covering BAU operations)</w:t>
      </w:r>
    </w:p>
    <w:p>
      <w:pPr>
        <w:pStyle w:val="ListBullet"/>
      </w:pPr>
      <w:r>
        <w:t>30% Variable Component (based on consumption and enhancements)</w:t>
      </w:r>
    </w:p>
    <w:p>
      <w:r>
        <w:t>**Quarterly Milestones:**</w:t>
      </w:r>
    </w:p>
    <w:p>
      <w:pPr>
        <w:pStyle w:val="ListBullet"/>
      </w:pPr>
      <w:r>
        <w:t>Q1: Knowledge Transition Completion - 10% of annual contract value</w:t>
      </w:r>
    </w:p>
    <w:p>
      <w:pPr>
        <w:pStyle w:val="ListBullet"/>
      </w:pPr>
      <w:r>
        <w:t>Q2: Service Stabilization - 25% of annual contract value</w:t>
      </w:r>
    </w:p>
    <w:p>
      <w:pPr>
        <w:pStyle w:val="ListBullet"/>
      </w:pPr>
      <w:r>
        <w:t>Q3: Performance Targets Achievement - 25% of annual contract value</w:t>
      </w:r>
    </w:p>
    <w:p>
      <w:pPr>
        <w:pStyle w:val="ListBullet"/>
      </w:pPr>
      <w:r>
        <w:t>Q4: Innovation Deliverables - 40% of annual contract value</w:t>
      </w:r>
    </w:p>
    <w:p>
      <w:r>
        <w:t>**Payment Terms:** Net 30 days from invoice date</w:t>
      </w:r>
    </w:p>
    <w:p>
      <w:pPr>
        <w:pStyle w:val="Heading4"/>
      </w:pPr>
      <w:r>
        <w:t>2.3 Pricing Model</w:t>
      </w:r>
    </w:p>
    <w:p>
      <w:r>
        <w:t>**Hybrid Approach:**</w:t>
      </w:r>
    </w:p>
    <w:p>
      <w:pPr>
        <w:pStyle w:val="ListBullet"/>
      </w:pPr>
      <w:r>
        <w:t>**Fixed Price Component (70%):** Core AMS services with guaranteed service levels</w:t>
      </w:r>
    </w:p>
    <w:p>
      <w:pPr>
        <w:pStyle w:val="ListBullet"/>
      </w:pPr>
      <w:r>
        <w:t>**Time &amp; Materials (30%):** Enhancement requests, ad-hoc development, and consulting services</w:t>
      </w:r>
    </w:p>
    <w:p>
      <w:pPr>
        <w:pStyle w:val="ListBullet"/>
      </w:pPr>
      <w:r>
        <w:t>**Performance-Based Pricing:** 5% discount/premium based on SLA achievement</w:t>
      </w:r>
    </w:p>
    <w:p>
      <w:pPr>
        <w:pStyle w:val="ListBullet"/>
      </w:pPr>
      <w:r>
        <w:t>**Volume-Based Discounts:** Additional 3-5% discounts for scope increases &gt;20%</w:t>
      </w:r>
    </w:p>
    <w:p>
      <w:pPr>
        <w:pStyle w:val="Heading3"/>
      </w:pPr>
      <w:r>
        <w:t>3. PROJECT INVESTMENT &amp; ROI</w:t>
      </w:r>
    </w:p>
    <w:p>
      <w:pPr>
        <w:pStyle w:val="Heading4"/>
      </w:pPr>
      <w:r>
        <w:t>3.1 Total Cost of Ownership (5-Year TCO)</w:t>
      </w:r>
    </w:p>
    <w:p>
      <w:r>
        <w:t>**ITSS Global Proposal:**</w:t>
      </w:r>
    </w:p>
    <w:p>
      <w:pPr>
        <w:pStyle w:val="ListBullet"/>
      </w:pPr>
      <w:r>
        <w:t>Year 1: NZD $17.8M</w:t>
      </w:r>
    </w:p>
    <w:p>
      <w:pPr>
        <w:pStyle w:val="ListBullet"/>
      </w:pPr>
      <w:r>
        <w:t>Years 2-5: NZD $16.2M each</w:t>
      </w:r>
    </w:p>
    <w:p>
      <w:pPr>
        <w:pStyle w:val="ListBullet"/>
      </w:pPr>
      <w:r>
        <w:t>**Total 5-Year TCO: NZD $82.6M**</w:t>
      </w:r>
    </w:p>
    <w:p>
      <w:r>
        <w:t>**Current State Projection:**</w:t>
      </w:r>
    </w:p>
    <w:p>
      <w:pPr>
        <w:pStyle w:val="ListBullet"/>
      </w:pPr>
      <w:r>
        <w:t>Estimated annual increase: 5%</w:t>
      </w:r>
    </w:p>
    <w:p>
      <w:pPr>
        <w:pStyle w:val="ListBullet"/>
      </w:pPr>
      <w:r>
        <w:t>**Total 5-Year TCO: NZD $110.3M**</w:t>
      </w:r>
    </w:p>
    <w:p>
      <w:r>
        <w:t>**Net Savings: NZD $27.7M over 5 years**</w:t>
      </w:r>
    </w:p>
    <w:p>
      <w:pPr>
        <w:pStyle w:val="Heading4"/>
      </w:pPr>
      <w:r>
        <w:t>3.2 Return on Investment</w:t>
      </w:r>
    </w:p>
    <w:p>
      <w:r>
        <w:t>**Financial ROI:**</w:t>
      </w:r>
    </w:p>
    <w:p>
      <w:pPr>
        <w:pStyle w:val="ListBullet"/>
      </w:pPr>
      <w:r>
        <w:t>**Payback Period:** 8 months</w:t>
      </w:r>
    </w:p>
    <w:p>
      <w:pPr>
        <w:pStyle w:val="ListBullet"/>
      </w:pPr>
      <w:r>
        <w:t>**5-Year ROI:** 335%</w:t>
      </w:r>
    </w:p>
    <w:p>
      <w:pPr>
        <w:pStyle w:val="ListBullet"/>
      </w:pPr>
      <w:r>
        <w:t>**NPV (at 8% discount rate):** NZD $19.2M</w:t>
      </w:r>
    </w:p>
    <w:p>
      <w:r>
        <w:t>**Operational ROI:**</w:t>
      </w:r>
    </w:p>
    <w:p>
      <w:pPr>
        <w:pStyle w:val="ListBullet"/>
      </w:pPr>
      <w:r>
        <w:t>40% reduction in critical incidents</w:t>
      </w:r>
    </w:p>
    <w:p>
      <w:pPr>
        <w:pStyle w:val="ListBullet"/>
      </w:pPr>
      <w:r>
        <w:t>50% faster resolution times</w:t>
      </w:r>
    </w:p>
    <w:p>
      <w:pPr>
        <w:pStyle w:val="ListBullet"/>
      </w:pPr>
      <w:r>
        <w:t>60% increase in automation coverage</w:t>
      </w:r>
    </w:p>
    <w:p>
      <w:pPr>
        <w:pStyle w:val="ListBullet"/>
      </w:pPr>
      <w:r>
        <w:t>25% improvement in user satisfaction scores</w:t>
      </w:r>
    </w:p>
    <w:p>
      <w:pPr>
        <w:pStyle w:val="Heading4"/>
      </w:pPr>
      <w:r>
        <w:t>3.3 Value Proposition</w:t>
      </w:r>
    </w:p>
    <w:p>
      <w:r>
        <w:t>**Immediate Value (0-12 months):**</w:t>
      </w:r>
    </w:p>
    <w:p>
      <w:pPr>
        <w:pStyle w:val="ListBullet"/>
      </w:pPr>
      <w:r>
        <w:t>Seamless transition with zero business disruption</w:t>
      </w:r>
    </w:p>
    <w:p>
      <w:pPr>
        <w:pStyle w:val="ListBullet"/>
      </w:pPr>
      <w:r>
        <w:t>Cost savings of NZD $2.2M in Year 1</w:t>
      </w:r>
    </w:p>
    <w:p>
      <w:pPr>
        <w:pStyle w:val="ListBullet"/>
      </w:pPr>
      <w:r>
        <w:t>Enhanced service levels and performance metrics</w:t>
      </w:r>
    </w:p>
    <w:p>
      <w:r>
        <w:t>**Medium-term Value (1-3 years):**</w:t>
      </w:r>
    </w:p>
    <w:p>
      <w:pPr>
        <w:pStyle w:val="ListBullet"/>
      </w:pPr>
      <w:r>
        <w:t>Modernized technology stack and improved scalability</w:t>
      </w:r>
    </w:p>
    <w:p>
      <w:pPr>
        <w:pStyle w:val="ListBullet"/>
      </w:pPr>
      <w:r>
        <w:t>Accelerated digital transformation initiatives</w:t>
      </w:r>
    </w:p>
    <w:p>
      <w:pPr>
        <w:pStyle w:val="ListBullet"/>
      </w:pPr>
      <w:r>
        <w:t>Enhanced security and compliance posture</w:t>
      </w:r>
    </w:p>
    <w:p>
      <w:r>
        <w:t>**Long-term Value (3-5 years):**</w:t>
      </w:r>
    </w:p>
    <w:p>
      <w:pPr>
        <w:pStyle w:val="ListBullet"/>
      </w:pPr>
      <w:r>
        <w:t>Future-ready architecture enabling innovation</w:t>
      </w:r>
    </w:p>
    <w:p>
      <w:pPr>
        <w:pStyle w:val="ListBullet"/>
      </w:pPr>
      <w:r>
        <w:t>Competitive advantage through technology excellence</w:t>
      </w:r>
    </w:p>
    <w:p>
      <w:pPr>
        <w:pStyle w:val="ListBullet"/>
      </w:pPr>
      <w:r>
        <w:t>Sustainable cost optimization and operational efficiency</w:t>
      </w:r>
    </w:p>
    <w:p>
      <w:pPr>
        <w:pStyle w:val="Heading3"/>
      </w:pPr>
      <w:r>
        <w:t>4. PROJECT TIMELINE &amp; RESOURCES</w:t>
      </w:r>
    </w:p>
    <w:p>
      <w:pPr>
        <w:pStyle w:val="Heading4"/>
      </w:pPr>
      <w:r>
        <w:t>4.1 Project Phases</w:t>
      </w:r>
    </w:p>
    <w:p>
      <w:r>
        <w:t>**Phase 1: Transition &amp; Knowledge Transfer (Months 1-3)**</w:t>
      </w:r>
    </w:p>
    <w:p>
      <w:pPr>
        <w:pStyle w:val="ListBullet"/>
      </w:pPr>
      <w:r>
        <w:t>Week 1-4: Detailed assessment and planning</w:t>
      </w:r>
    </w:p>
    <w:p>
      <w:pPr>
        <w:pStyle w:val="ListBullet"/>
      </w:pPr>
      <w:r>
        <w:t>Week 5-8: Knowledge transfer and documentation</w:t>
      </w:r>
    </w:p>
    <w:p>
      <w:pPr>
        <w:pStyle w:val="ListBullet"/>
      </w:pPr>
      <w:r>
        <w:t>Week 9-12: Parallel operations and validation</w:t>
      </w:r>
    </w:p>
    <w:p>
      <w:pPr>
        <w:pStyle w:val="ListBullet"/>
      </w:pPr>
      <w:r>
        <w:t>**Milestone:** Transition Readiness Certificate</w:t>
      </w:r>
    </w:p>
    <w:p>
      <w:r>
        <w:t>**Phase 2: Service Stabilization (Months 4-6)**</w:t>
      </w:r>
    </w:p>
    <w:p>
      <w:pPr>
        <w:pStyle w:val="ListBullet"/>
      </w:pPr>
      <w:r>
        <w:t>Month 4: Full service assumption</w:t>
      </w:r>
    </w:p>
    <w:p>
      <w:pPr>
        <w:pStyle w:val="ListBullet"/>
      </w:pPr>
      <w:r>
        <w:t>Month 5: Performance tuning and optimization</w:t>
      </w:r>
    </w:p>
    <w:p>
      <w:pPr>
        <w:pStyle w:val="ListBullet"/>
      </w:pPr>
      <w:r>
        <w:t>Month 6: SLA compliance validation</w:t>
      </w:r>
    </w:p>
    <w:p>
      <w:pPr>
        <w:pStyle w:val="ListBullet"/>
      </w:pPr>
      <w:r>
        <w:t>**Milestone:** Service Stabilization Sign-off</w:t>
      </w:r>
    </w:p>
    <w:p>
      <w:r>
        <w:t>**Phase 3: Optimization &amp; Enhancement (Months 7-12)**</w:t>
      </w:r>
    </w:p>
    <w:p>
      <w:pPr>
        <w:pStyle w:val="ListBullet"/>
      </w:pPr>
      <w:r>
        <w:t>Months 7-9: Process optimization and automation</w:t>
      </w:r>
    </w:p>
    <w:p>
      <w:pPr>
        <w:pStyle w:val="ListBullet"/>
      </w:pPr>
      <w:r>
        <w:t>Months 10-12: Enhancement delivery and innovation</w:t>
      </w:r>
    </w:p>
    <w:p>
      <w:pPr>
        <w:pStyle w:val="ListBullet"/>
      </w:pPr>
      <w:r>
        <w:t>**Milestone:** Performance Target Achievement</w:t>
      </w:r>
    </w:p>
    <w:p>
      <w:r>
        <w:t>**Phase 4: Continuous Improvement (Ongoing)**</w:t>
      </w:r>
    </w:p>
    <w:p>
      <w:pPr>
        <w:pStyle w:val="ListBullet"/>
      </w:pPr>
      <w:r>
        <w:t>Quarterly business reviews and optimization</w:t>
      </w:r>
    </w:p>
    <w:p>
      <w:pPr>
        <w:pStyle w:val="ListBullet"/>
      </w:pPr>
      <w:r>
        <w:t>Annual contract reviews and planning</w:t>
      </w:r>
    </w:p>
    <w:p>
      <w:pPr>
        <w:pStyle w:val="ListBullet"/>
      </w:pPr>
      <w:r>
        <w:t>**Milestone:** Annual Performance Assessment</w:t>
      </w:r>
    </w:p>
    <w:p>
      <w:pPr>
        <w:pStyle w:val="Heading4"/>
      </w:pPr>
      <w:r>
        <w:t>4.2 Team Structure</w:t>
      </w:r>
    </w:p>
    <w:p>
      <w:r>
        <w:t>**Onshore Team (New Zealand) - 25 FTEs:**</w:t>
      </w:r>
    </w:p>
    <w:p>
      <w:pPr>
        <w:pStyle w:val="ListBullet"/>
      </w:pPr>
      <w:r>
        <w:t>Engagement Manager: 1 FTE</w:t>
      </w:r>
    </w:p>
    <w:p>
      <w:pPr>
        <w:pStyle w:val="ListBullet"/>
      </w:pPr>
      <w:r>
        <w:t>Technical Architects: 4 FTEs</w:t>
      </w:r>
    </w:p>
    <w:p>
      <w:pPr>
        <w:pStyle w:val="ListBullet"/>
      </w:pPr>
      <w:r>
        <w:t>Senior Application Analysts: 8 FTEs</w:t>
      </w:r>
    </w:p>
    <w:p>
      <w:pPr>
        <w:pStyle w:val="ListBullet"/>
      </w:pPr>
      <w:r>
        <w:t>Test Specialists: 6 FTEs</w:t>
      </w:r>
    </w:p>
    <w:p>
      <w:pPr>
        <w:pStyle w:val="ListBullet"/>
      </w:pPr>
      <w:r>
        <w:t>Project Managers: 3 FTEs</w:t>
      </w:r>
    </w:p>
    <w:p>
      <w:pPr>
        <w:pStyle w:val="ListBullet"/>
      </w:pPr>
      <w:r>
        <w:t>Business Analysts: 3 FTEs</w:t>
      </w:r>
    </w:p>
    <w:p>
      <w:r>
        <w:t>**Near-shore Team (Australia) - 15 FTEs:**</w:t>
      </w:r>
    </w:p>
    <w:p>
      <w:pPr>
        <w:pStyle w:val="ListBullet"/>
      </w:pPr>
      <w:r>
        <w:t>Development Team Leads: 3 FTEs</w:t>
      </w:r>
    </w:p>
    <w:p>
      <w:pPr>
        <w:pStyle w:val="ListBullet"/>
      </w:pPr>
      <w:r>
        <w:t>Senior Developers: 8 FTEs</w:t>
      </w:r>
    </w:p>
    <w:p>
      <w:pPr>
        <w:pStyle w:val="ListBullet"/>
      </w:pPr>
      <w:r>
        <w:t>DevOps Engineers: 4 FTEs</w:t>
      </w:r>
    </w:p>
    <w:p>
      <w:r>
        <w:t>**Offshore Team (India/Philippines) - 45 FTEs:**</w:t>
      </w:r>
    </w:p>
    <w:p>
      <w:pPr>
        <w:pStyle w:val="ListBullet"/>
      </w:pPr>
      <w:r>
        <w:t>Application Support Analysts: 25 FTEs</w:t>
      </w:r>
    </w:p>
    <w:p>
      <w:pPr>
        <w:pStyle w:val="ListBullet"/>
      </w:pPr>
      <w:r>
        <w:t>Developers: 12 FTEs</w:t>
      </w:r>
    </w:p>
    <w:p>
      <w:pPr>
        <w:pStyle w:val="ListBullet"/>
      </w:pPr>
      <w:r>
        <w:t>Test Engineers: 8 FTEs</w:t>
      </w:r>
    </w:p>
    <w:p>
      <w:pPr>
        <w:pStyle w:val="Heading4"/>
      </w:pPr>
      <w:r>
        <w:t>4.3 Resource Requirements</w:t>
      </w:r>
    </w:p>
    <w:p>
      <w:r>
        <w:t>**Client Resource Commitments:**</w:t>
      </w:r>
    </w:p>
    <w:p>
      <w:pPr>
        <w:pStyle w:val="ListBullet"/>
      </w:pPr>
      <w:r>
        <w:t>Executive Sponsor: 10% allocation</w:t>
      </w:r>
    </w:p>
    <w:p>
      <w:pPr>
        <w:pStyle w:val="ListBullet"/>
      </w:pPr>
      <w:r>
        <w:t>Business Subject Matter Experts: 6 FTEs (first 6 months)</w:t>
      </w:r>
    </w:p>
    <w:p>
      <w:pPr>
        <w:pStyle w:val="ListBullet"/>
      </w:pPr>
      <w:r>
        <w:t>IT Counterparts: 8 FTEs (ongoing)</w:t>
      </w:r>
    </w:p>
    <w:p>
      <w:pPr>
        <w:pStyle w:val="ListBullet"/>
      </w:pPr>
      <w:r>
        <w:t>End User Representatives: 15 resources (part-time)</w:t>
      </w:r>
    </w:p>
    <w:p>
      <w:r>
        <w:t>**Infrastructure Requirements:**</w:t>
      </w:r>
    </w:p>
    <w:p>
      <w:pPr>
        <w:pStyle w:val="ListBullet"/>
      </w:pPr>
      <w:r>
        <w:t>Dedicated workspace for transition team</w:t>
      </w:r>
    </w:p>
    <w:p>
      <w:pPr>
        <w:pStyle w:val="ListBullet"/>
      </w:pPr>
      <w:r>
        <w:t>Access to development and testing environments</w:t>
      </w:r>
    </w:p>
    <w:p>
      <w:pPr>
        <w:pStyle w:val="ListBullet"/>
      </w:pPr>
      <w:r>
        <w:t>VPN and security access for offshore teams</w:t>
      </w:r>
    </w:p>
    <w:p>
      <w:pPr>
        <w:pStyle w:val="ListBullet"/>
      </w:pPr>
      <w:r>
        <w:t>Collaboration tools and communication platforms</w:t>
      </w:r>
    </w:p>
    <w:p>
      <w:pPr>
        <w:pStyle w:val="Heading3"/>
      </w:pPr>
      <w:r>
        <w:t>5. COMMERCIAL TERMS</w:t>
      </w:r>
    </w:p>
    <w:p>
      <w:pPr>
        <w:pStyle w:val="Heading4"/>
      </w:pPr>
      <w:r>
        <w:t>5.1 Contract Terms</w:t>
      </w:r>
    </w:p>
    <w:p>
      <w:r>
        <w:t>**Contract Duration:** 5 years with option to extend</w:t>
      </w:r>
    </w:p>
    <w:p>
      <w:r>
        <w:t>**Start Date:** January 1, 2024</w:t>
      </w:r>
    </w:p>
    <w:p>
      <w:r>
        <w:t>**Termination:** 180 days notice period</w:t>
      </w:r>
    </w:p>
    <w:p>
      <w:r>
        <w:t>**Intellectual Property:** Client retains ownership of all IP</w:t>
      </w:r>
    </w:p>
    <w:p>
      <w:r>
        <w:t>**Liability Cap:** NZD $5M annual contract value</w:t>
      </w:r>
    </w:p>
    <w:p>
      <w:r>
        <w:t>**Insurance:** Professional Indemnity NZD $10M, Public Liability NZD $5M</w:t>
      </w:r>
    </w:p>
    <w:p>
      <w:pPr>
        <w:pStyle w:val="Heading4"/>
      </w:pPr>
      <w:r>
        <w:t>5.2 Service Level Agreements</w:t>
      </w:r>
    </w:p>
    <w:p>
      <w:r>
        <w:t>**Application Availability:**</w:t>
      </w:r>
    </w:p>
    <w:p>
      <w:pPr>
        <w:pStyle w:val="ListBullet"/>
      </w:pPr>
      <w:r>
        <w:t>Critical Applications: 99.9% uptime</w:t>
      </w:r>
    </w:p>
    <w:p>
      <w:pPr>
        <w:pStyle w:val="ListBullet"/>
      </w:pPr>
      <w:r>
        <w:t>Non-Critical Applications: 99.5% uptime</w:t>
      </w:r>
    </w:p>
    <w:p>
      <w:pPr>
        <w:pStyle w:val="ListBullet"/>
      </w:pPr>
      <w:r>
        <w:t>**Penalty:** 0.5% monthly fee reduction per 0.1% shortfall</w:t>
      </w:r>
    </w:p>
    <w:p>
      <w:r>
        <w:t>**Incident Response:**</w:t>
      </w:r>
    </w:p>
    <w:p>
      <w:pPr>
        <w:pStyle w:val="ListBullet"/>
      </w:pPr>
      <w:r>
        <w:t>Critical (P1): 15 minutes response, 4 hours resolution</w:t>
      </w:r>
    </w:p>
    <w:p>
      <w:pPr>
        <w:pStyle w:val="ListBullet"/>
      </w:pPr>
      <w:r>
        <w:t>High (P2): 2 hours response, 24 hours resolution</w:t>
      </w:r>
    </w:p>
    <w:p>
      <w:pPr>
        <w:pStyle w:val="ListBullet"/>
      </w:pPr>
      <w:r>
        <w:t>Medium (P3): 8 hours response, 72 hours resolution</w:t>
      </w:r>
    </w:p>
    <w:p>
      <w:pPr>
        <w:pStyle w:val="ListBullet"/>
      </w:pPr>
      <w:r>
        <w:t>Low (P4): 24 hours response, 5 days resolution</w:t>
      </w:r>
    </w:p>
    <w:p>
      <w:r>
        <w:t>**Performance Metrics:**</w:t>
      </w:r>
    </w:p>
    <w:p>
      <w:pPr>
        <w:pStyle w:val="ListBullet"/>
      </w:pPr>
      <w:r>
        <w:t>Customer Satisfaction: &gt;4.0/5.0</w:t>
      </w:r>
    </w:p>
    <w:p>
      <w:pPr>
        <w:pStyle w:val="ListBullet"/>
      </w:pPr>
      <w:r>
        <w:t>First Call Resolution: &gt;80%</w:t>
      </w:r>
    </w:p>
    <w:p>
      <w:pPr>
        <w:pStyle w:val="ListBullet"/>
      </w:pPr>
      <w:r>
        <w:t>Change Success Rate: &gt;95%</w:t>
      </w:r>
    </w:p>
    <w:p>
      <w:pPr>
        <w:pStyle w:val="Heading4"/>
      </w:pPr>
      <w:r>
        <w:t>5.3 Support &amp; Maintenance</w:t>
      </w:r>
    </w:p>
    <w:p>
      <w:r>
        <w:t>**Included Support:**</w:t>
      </w:r>
    </w:p>
    <w:p>
      <w:pPr>
        <w:pStyle w:val="ListBullet"/>
      </w:pPr>
      <w:r>
        <w:t>24x7x365 monitoring and support</w:t>
      </w:r>
    </w:p>
    <w:p>
      <w:pPr>
        <w:pStyle w:val="ListBullet"/>
      </w:pPr>
      <w:r>
        <w:t>Regular health checks and maintenance</w:t>
      </w:r>
    </w:p>
    <w:p>
      <w:pPr>
        <w:pStyle w:val="ListBullet"/>
      </w:pPr>
      <w:r>
        <w:t>Security patching and updates</w:t>
      </w:r>
    </w:p>
    <w:p>
      <w:pPr>
        <w:pStyle w:val="ListBullet"/>
      </w:pPr>
      <w:r>
        <w:t>Performance monitoring and tuning</w:t>
      </w:r>
    </w:p>
    <w:p>
      <w:r>
        <w:t>**Additional Services (T&amp;M Rates):**</w:t>
      </w:r>
    </w:p>
    <w:p>
      <w:pPr>
        <w:pStyle w:val="ListBullet"/>
      </w:pPr>
      <w:r>
        <w:t>Senior Consultant: NZD $1,200/day</w:t>
      </w:r>
    </w:p>
    <w:p>
      <w:pPr>
        <w:pStyle w:val="ListBullet"/>
      </w:pPr>
      <w:r>
        <w:t>Technical Specialist: NZD $950/day</w:t>
      </w:r>
    </w:p>
    <w:p>
      <w:pPr>
        <w:pStyle w:val="ListBullet"/>
      </w:pPr>
      <w:r>
        <w:t>Analyst: NZD $750/day</w:t>
      </w:r>
    </w:p>
    <w:p>
      <w:pPr>
        <w:pStyle w:val="ListBullet"/>
      </w:pPr>
      <w:r>
        <w:t>**Volume Discount:** 10% for &gt;500 days annually</w:t>
      </w:r>
    </w:p>
    <w:p>
      <w:pPr>
        <w:pStyle w:val="Heading3"/>
      </w:pPr>
      <w:r>
        <w:t>6. RISK ASSESSMENT</w:t>
      </w:r>
    </w:p>
    <w:p>
      <w:r>
        <w:t>**Commercial Risks &amp; Mitigations:**</w:t>
      </w:r>
    </w:p>
    <w:p>
      <w:r>
        <w:t>**Knowledge Loss Risk (High)**</w:t>
      </w:r>
    </w:p>
    <w:p>
      <w:pPr>
        <w:pStyle w:val="ListBullet"/>
      </w:pPr>
      <w:r>
        <w:t>*Mitigation:* 90-day parallel operation period, comprehensive documentation, video knowledge sessions</w:t>
      </w:r>
    </w:p>
    <w:p>
      <w:r>
        <w:t>**Service Disruption Risk (Medium)**</w:t>
      </w:r>
    </w:p>
    <w:p>
      <w:pPr>
        <w:pStyle w:val="ListBullet"/>
      </w:pPr>
      <w:r>
        <w:t>*Mitigation:* Phased transition approach, rollback procedures, 24/7 support during transition</w:t>
      </w:r>
    </w:p>
    <w:p>
      <w:r>
        <w:t>**Cost Overrun Risk (Low)**</w:t>
      </w:r>
    </w:p>
    <w:p>
      <w:pPr>
        <w:pStyle w:val="ListBullet"/>
      </w:pPr>
      <w:r>
        <w:t>*Mitigation:* Fixed-price model for 70% of services, monthly budget reviews, change control process</w:t>
      </w:r>
    </w:p>
    <w:p>
      <w:r>
        <w:t>**Vendor Lock-in Risk (Medium)**</w:t>
      </w:r>
    </w:p>
    <w:p>
      <w:pPr>
        <w:pStyle w:val="ListBullet"/>
      </w:pPr>
      <w:r>
        <w:t>*Mitigation:* Standard technologies, comprehensive documentation, transition assistance guarantee</w:t>
      </w:r>
    </w:p>
    <w:p>
      <w:r>
        <w:t>**Currency Fluctuation Risk (Low)**</w:t>
      </w:r>
    </w:p>
    <w:p>
      <w:pPr>
        <w:pStyle w:val="ListBullet"/>
      </w:pPr>
      <w:r>
        <w:t>*Mitigation:* All pricing in NZD, annual price reviews with CPI adjustments</w:t>
      </w:r>
    </w:p>
    <w:p>
      <w:pPr>
        <w:pStyle w:val="Heading3"/>
      </w:pPr>
      <w:r>
        <w:t>7. WHY CHOOSE ITSS GLOBAL</w:t>
      </w:r>
    </w:p>
    <w:p>
      <w:r>
        <w:t>**Proven Track Record:**</w:t>
      </w:r>
    </w:p>
    <w:p>
      <w:pPr>
        <w:pStyle w:val="ListBullet"/>
      </w:pPr>
      <w:r>
        <w:t>15+ years serving enterprise clients in APAC region</w:t>
      </w:r>
    </w:p>
    <w:p>
      <w:pPr>
        <w:pStyle w:val="ListBullet"/>
      </w:pPr>
      <w:r>
        <w:t>98% client retention rate over past 5 years</w:t>
      </w:r>
    </w:p>
    <w:p>
      <w:pPr>
        <w:pStyle w:val="ListBullet"/>
      </w:pPr>
      <w:r>
        <w:t>Successfully managed 50+ AMS transitions without business disruption</w:t>
      </w:r>
    </w:p>
    <w:p>
      <w:r>
        <w:t>**Technical Excellence:**</w:t>
      </w:r>
    </w:p>
    <w:p>
      <w:pPr>
        <w:pStyle w:val="ListBullet"/>
      </w:pPr>
      <w:r>
        <w:t>ISO 27001, ISO 20000, CMMI Level 5 certified</w:t>
      </w:r>
    </w:p>
    <w:p>
      <w:pPr>
        <w:pStyle w:val="ListBullet"/>
      </w:pPr>
      <w:r>
        <w:t>Industry-leading automation tools and frameworks</w:t>
      </w:r>
    </w:p>
    <w:p>
      <w:pPr>
        <w:pStyle w:val="ListBullet"/>
      </w:pPr>
      <w:r>
        <w:t>Cloud-native expertise across AWS, Azure, and GCP</w:t>
      </w:r>
    </w:p>
    <w:p>
      <w:r>
        <w:t>**Commercial Advantages:**</w:t>
      </w:r>
    </w:p>
    <w:p>
      <w:pPr>
        <w:pStyle w:val="ListBullet"/>
      </w:pPr>
      <w:r>
        <w:t>**20% cost reduction** while improving service quality</w:t>
      </w:r>
    </w:p>
    <w:p>
      <w:pPr>
        <w:pStyle w:val="ListBullet"/>
      </w:pPr>
      <w:r>
        <w:t>**Flexible pricing models** to match your budget cycles</w:t>
      </w:r>
    </w:p>
    <w:p>
      <w:pPr>
        <w:pStyle w:val="ListBullet"/>
      </w:pPr>
      <w:r>
        <w:t>**Performance-based contracts** ensuring accountability</w:t>
      </w:r>
    </w:p>
    <w:p>
      <w:pPr>
        <w:pStyle w:val="ListBullet"/>
      </w:pPr>
      <w:r>
        <w:t>**Transparent pricing** with no hidden costs</w:t>
      </w:r>
    </w:p>
    <w:p>
      <w:r>
        <w:t>**Innovation Focus:**</w:t>
      </w:r>
    </w:p>
    <w:p>
      <w:pPr>
        <w:pStyle w:val="ListBullet"/>
      </w:pPr>
      <w:r>
        <w:t>Dedicated R&amp;D investment of 8% of contract value</w:t>
      </w:r>
    </w:p>
    <w:p>
      <w:pPr>
        <w:pStyle w:val="ListBullet"/>
      </w:pPr>
      <w:r>
        <w:t>AI/ML powered monitoring and predictive analytics</w:t>
      </w:r>
    </w:p>
    <w:p>
      <w:pPr>
        <w:pStyle w:val="ListBullet"/>
      </w:pPr>
      <w:r>
        <w:t>Continuous improvement through DevOps and Agile methodologies</w:t>
      </w:r>
    </w:p>
    <w:p>
      <w:r>
        <w:t>**Local Presence, Global Scale:**</w:t>
      </w:r>
    </w:p>
    <w:p>
      <w:pPr>
        <w:pStyle w:val="ListBullet"/>
      </w:pPr>
      <w:r>
        <w:t>Strong New Zealand presence with local management</w:t>
      </w:r>
    </w:p>
    <w:p>
      <w:pPr>
        <w:pStyle w:val="ListBullet"/>
      </w:pPr>
      <w:r>
        <w:t>Follow-the-sun support model across three time zones</w:t>
      </w:r>
    </w:p>
    <w:p>
      <w:pPr>
        <w:pStyle w:val="ListBullet"/>
      </w:pPr>
      <w:r>
        <w:t>Cultural alignment with Kiwi business practices</w:t>
      </w:r>
    </w:p>
    <w:p>
      <w:r>
        <w:t>**Partnership Approach:**</w:t>
      </w:r>
    </w:p>
    <w:p>
      <w:pPr>
        <w:pStyle w:val="ListBullet"/>
      </w:pPr>
      <w:r>
        <w:t>Executive relationship management program</w:t>
      </w:r>
    </w:p>
    <w:p>
      <w:pPr>
        <w:pStyle w:val="ListBullet"/>
      </w:pPr>
      <w:r>
        <w:t>Quarterly business reviews and strategic planning</w:t>
      </w:r>
    </w:p>
    <w:p>
      <w:pPr>
        <w:pStyle w:val="ListBullet"/>
      </w:pPr>
      <w:r>
        <w:t>Joint innovation initiatives and proof-of-concepts</w:t>
      </w:r>
    </w:p>
    <w:p>
      <w:pPr>
        <w:pStyle w:val="ListBullet"/>
      </w:pPr>
      <w:r>
        <w:t>Commitment to your long-term success</w:t>
      </w:r>
    </w:p>
    <w:p>
      <w:r>
        <w:t>---</w:t>
      </w:r>
    </w:p>
    <w:p>
      <w:r>
        <w:t>**Next Steps:**</w:t>
      </w:r>
    </w:p>
    <w:p>
      <w:r>
        <w:t>1. Proposal presentation and Q&amp;A session</w:t>
      </w:r>
    </w:p>
    <w:p>
      <w:r>
        <w:t>2. Reference site visits and due diligence</w:t>
      </w:r>
    </w:p>
    <w:p>
      <w:r>
        <w:t>3. Contract negotiation and finalization</w:t>
      </w:r>
    </w:p>
    <w:p>
      <w:r>
        <w:t>4. Transition planning and mobilization</w:t>
      </w:r>
    </w:p>
    <w:p>
      <w:r>
        <w:t>*We look forward to partnering with Thiag to deliver exceptional value and drive your digital transformation journey forward.*</w:t>
      </w:r>
    </w:p>
    <w:p>
      <w:r>
        <w:t>**Contact Information:**</w:t>
      </w:r>
    </w:p>
    <w:p>
      <w:r>
        <w:t>ITSS Global Commercial Team</w:t>
      </w:r>
    </w:p>
    <w:p>
      <w:r>
        <w:t>Email: proposals@itssglobal.com</w:t>
      </w:r>
    </w:p>
    <w:p>
      <w:r>
        <w:t>Phone: +64 9 XXX 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