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0E05" w14:textId="77777777" w:rsidR="00EF6B0C" w:rsidRDefault="00000000">
      <w:pPr>
        <w:pStyle w:val="Title"/>
      </w:pPr>
      <w:r>
        <w:t>PEG Portal – Proof of Concept Technical Architecture &amp; Design Documentation</w:t>
      </w:r>
    </w:p>
    <w:p w14:paraId="74418E76" w14:textId="77777777" w:rsidR="00EF6B0C" w:rsidRDefault="00000000">
      <w:r>
        <w:t>This document provides a comprehensive technical description of the PEG Portal Proof of Concept (PoC). It is intended to serve as an authoritative reference for architecture, configuration, data flows, process orchestration, and design decisions made to date. The emphasis is on explaining how the system works end‑to‑end, why specific architectural patterns were selected, and what considerations must be accounted for as the PoC evolves toward a production‑grade solution.</w:t>
      </w:r>
    </w:p>
    <w:p w14:paraId="12032AFF" w14:textId="77777777" w:rsidR="00EF6B0C" w:rsidRDefault="00000000">
      <w:pPr>
        <w:pStyle w:val="Heading1"/>
      </w:pPr>
      <w:r>
        <w:t>1. Solution Overview</w:t>
      </w:r>
    </w:p>
    <w:p w14:paraId="1E95424B" w14:textId="77777777" w:rsidR="00EF6B0C" w:rsidRDefault="00000000">
      <w:r>
        <w:t>The PEG Portal PoC is a cloud‑hosted, low‑latency web application designed to surface project, estimate, and forecast data originating from PMWeb (SQL Server hosted in AWS) in a modern, responsive user interface. The solution deliberately separates data acquisition, data persistence, and user interaction concerns in order to reduce coupling, improve resilience, and allow independent scaling of each layer.</w:t>
      </w:r>
    </w:p>
    <w:p w14:paraId="5F1CFFED" w14:textId="77777777" w:rsidR="00EF6B0C" w:rsidRDefault="00000000">
      <w:pPr>
        <w:pStyle w:val="Heading1"/>
      </w:pPr>
      <w:r>
        <w:t>2. High‑Level Architecture</w:t>
      </w:r>
    </w:p>
    <w:p w14:paraId="76930847" w14:textId="77777777" w:rsidR="00EF6B0C" w:rsidRDefault="00000000">
      <w:r>
        <w:t>At a high level, the architecture is composed of five primary layers: the client UI, identity and access management, application APIs, integration/orchestration services, and data persistence. Each layer is deployed independently and communicates through clearly defined interfaces.</w:t>
      </w:r>
    </w:p>
    <w:p w14:paraId="01B17C31" w14:textId="77777777" w:rsidR="00EF6B0C" w:rsidRDefault="00000000">
      <w:pPr>
        <w:pStyle w:val="Heading1"/>
      </w:pPr>
      <w:r>
        <w:t>3. Front‑End (UI Layer)</w:t>
      </w:r>
    </w:p>
    <w:p w14:paraId="10F60299" w14:textId="77777777" w:rsidR="00EF6B0C" w:rsidRDefault="00000000">
      <w:r>
        <w:t>The front‑end is implemented using React with Vite as the build tool and Azure Static Web Apps (SWA) as the hosting platform. The UI is intentionally thin: it does not connect directly to SQL Server or PMWeb, nor does it execute business logic beyond presentation‑level calculations and validation. All authoritative data interactions occur via APIs.</w:t>
      </w:r>
    </w:p>
    <w:p w14:paraId="48CE7429" w14:textId="77777777" w:rsidR="00EF6B0C" w:rsidRDefault="00000000">
      <w:r>
        <w:t>Authentication is handled through Microsoft Entra ID using OAuth 2.0. The SPA is registered as a public client application and acquires access tokens that are scoped specifically to the PEG Portal APIs. This ensures that all API calls are identity‑aware and auditable.</w:t>
      </w:r>
    </w:p>
    <w:p w14:paraId="334B2BCD" w14:textId="77777777" w:rsidR="00EF6B0C" w:rsidRDefault="00000000">
      <w:pPr>
        <w:pStyle w:val="Heading1"/>
      </w:pPr>
      <w:r>
        <w:t>4. API Layer (Azure Functions)</w:t>
      </w:r>
    </w:p>
    <w:p w14:paraId="65DC2851" w14:textId="77777777" w:rsidR="00EF6B0C" w:rsidRDefault="00000000">
      <w:r>
        <w:t xml:space="preserve">Azure Functions (isolated .NET 8) form the primary API surface for the portal. These functions expose HTTP endpoints consumed by the UI and encapsulate business logic related to data access, validation, and transformation. Azure Functions were selected over a </w:t>
      </w:r>
      <w:r>
        <w:lastRenderedPageBreak/>
        <w:t>traditional App Service to minimize operational overhead, enable consumption‑based scaling, and allow independent deployment of discrete capabilities.</w:t>
      </w:r>
    </w:p>
    <w:p w14:paraId="4A03AB41" w14:textId="77777777" w:rsidR="00EF6B0C" w:rsidRDefault="00000000">
      <w:r>
        <w:t>Two primary categories of functions exist in the PoC: query functions and synchronization functions. Query functions serve data to the UI from Cosmos DB with low latency, while synchronization functions are responsible for ingesting data from upstream systems and persisting it locally.</w:t>
      </w:r>
    </w:p>
    <w:p w14:paraId="09CDB1CF" w14:textId="77777777" w:rsidR="00EF6B0C" w:rsidRDefault="00000000">
      <w:pPr>
        <w:pStyle w:val="Heading1"/>
      </w:pPr>
      <w:r>
        <w:t>5. Integration Layer (Logic Apps)</w:t>
      </w:r>
    </w:p>
    <w:p w14:paraId="332B19D5" w14:textId="77777777" w:rsidR="00EF6B0C" w:rsidRDefault="00000000">
      <w:r>
        <w:t>Azure Logic Apps are used exclusively for outbound integration with PMWeb’s SQL Server database. This separation is intentional. Logic Apps provide native SQL connectors, retry semantics, secure credential handling, and visual traceability that would otherwise need to be custom‑built inside application code.</w:t>
      </w:r>
    </w:p>
    <w:p w14:paraId="178ACCBC" w14:textId="77777777" w:rsidR="00EF6B0C" w:rsidRDefault="00000000">
      <w:r>
        <w:t>Each Logic App exposes a manual HTTP trigger that executes a specific stored procedure. The Logic App returns normalized JSON payloads that are consumed by Azure Functions. Functions never connect directly to SQL Server; this design reduces blast radius, simplifies network security, and allows SQL connectivity to be modified without redeploying application code.</w:t>
      </w:r>
    </w:p>
    <w:p w14:paraId="42DCFF4B" w14:textId="77777777" w:rsidR="00EF6B0C" w:rsidRDefault="00000000">
      <w:pPr>
        <w:pStyle w:val="Heading1"/>
      </w:pPr>
      <w:r>
        <w:t>6. Data Persistence (Cosmos DB)</w:t>
      </w:r>
    </w:p>
    <w:p w14:paraId="333AC686" w14:textId="77777777" w:rsidR="00EF6B0C" w:rsidRDefault="00000000">
      <w:r>
        <w:t>Azure Cosmos DB is used as the system of record for the portal experience. Project, estimate header, and estimate detail data are stored as JSON documents partitioned by tenant. This allows the UI to retrieve data with predictable performance and eliminates direct dependency on PMWeb availability.</w:t>
      </w:r>
    </w:p>
    <w:p w14:paraId="70DEDA31" w14:textId="77777777" w:rsidR="00EF6B0C" w:rsidRDefault="00000000">
      <w:r>
        <w:t>Cosmos DB is not treated as a cache but as a synchronized read‑optimized store. All data presented in the UI originates from Cosmos DB. PMWeb remains the authoritative system of record, but Cosmos provides availability, performance, and schema flexibility.</w:t>
      </w:r>
    </w:p>
    <w:p w14:paraId="30659000" w14:textId="77777777" w:rsidR="00EF6B0C" w:rsidRDefault="00000000">
      <w:pPr>
        <w:pStyle w:val="Heading1"/>
      </w:pPr>
      <w:r>
        <w:t>7. Process Flow – Read Path</w:t>
      </w:r>
    </w:p>
    <w:p w14:paraId="43520FC4" w14:textId="77777777" w:rsidR="00EF6B0C" w:rsidRDefault="00000000">
      <w:r>
        <w:t>When a user opens the portal, the browser authenticates via Entra ID and retrieves an access token. The UI then calls Azure Functions APIs to retrieve project and estimate data. These APIs read directly from Cosmos DB, ensuring consistent response times regardless of PMWeb or network conditions.</w:t>
      </w:r>
    </w:p>
    <w:p w14:paraId="3E339BC8" w14:textId="77777777" w:rsidR="00EF6B0C" w:rsidRDefault="00000000">
      <w:pPr>
        <w:pStyle w:val="Heading1"/>
      </w:pPr>
      <w:r>
        <w:t>8. Process Flow – Sync Path</w:t>
      </w:r>
    </w:p>
    <w:p w14:paraId="5CEC2FBB" w14:textId="77777777" w:rsidR="00EF6B0C" w:rsidRDefault="00000000">
      <w:r>
        <w:t>Synchronization is executed via timer‑triggered or on‑demand Azure Functions. The function calls the appropriate Logic App endpoint, passing filter parameters such as sinceUtc or projectId. Logic Apps execute SQL stored procedures and return structured JSON results.</w:t>
      </w:r>
    </w:p>
    <w:p w14:paraId="6BEFFE3C" w14:textId="77777777" w:rsidR="00EF6B0C" w:rsidRDefault="00000000">
      <w:r>
        <w:lastRenderedPageBreak/>
        <w:t>The function then transforms each row into a Cosmos document and performs idempotent upserts. This approach ensures that rerunning sync operations is safe and does not create duplicates.</w:t>
      </w:r>
    </w:p>
    <w:p w14:paraId="70F933D0" w14:textId="77777777" w:rsidR="00EF6B0C" w:rsidRDefault="00000000">
      <w:pPr>
        <w:pStyle w:val="Heading1"/>
      </w:pPr>
      <w:r>
        <w:t>9. Architecture Diagrams</w:t>
      </w:r>
    </w:p>
    <w:p w14:paraId="2345A1AF" w14:textId="77777777" w:rsidR="00EF6B0C" w:rsidRDefault="00000000">
      <w:r>
        <w:t>The following diagrams illustrate the current PoC architecture and data flows.</w:t>
      </w:r>
    </w:p>
    <w:p w14:paraId="41587870" w14:textId="77777777" w:rsidR="00EF6B0C" w:rsidRDefault="00EF6B0C"/>
    <w:p w14:paraId="7A112D90" w14:textId="77777777" w:rsidR="00EF6B0C" w:rsidRDefault="00EF6B0C"/>
    <w:p w14:paraId="000DD518" w14:textId="77777777" w:rsidR="00EF6B0C" w:rsidRDefault="00EF6B0C"/>
    <w:p w14:paraId="2DB49CDD" w14:textId="77777777" w:rsidR="00EF6B0C" w:rsidRDefault="00EF6B0C"/>
    <w:p w14:paraId="04F28509" w14:textId="77777777" w:rsidR="00EF6B0C" w:rsidRDefault="00000000">
      <w:pPr>
        <w:pStyle w:val="Heading1"/>
      </w:pPr>
      <w:r>
        <w:t>10. Performance &amp; Future Considerations</w:t>
      </w:r>
    </w:p>
    <w:p w14:paraId="66E6549A" w14:textId="77777777" w:rsidR="00EF6B0C" w:rsidRDefault="00000000">
      <w:r>
        <w:t>As the portal evolves, several performance considerations become critical. Initial page loads should remain lightweight, with lazy loading applied to estimates and detail grids. Pagination, server‑side filtering, and projection queries should be used to prevent over‑fetching large datasets.</w:t>
      </w:r>
    </w:p>
    <w:p w14:paraId="2D4889D6" w14:textId="77777777" w:rsidR="00EF6B0C" w:rsidRDefault="00000000">
      <w:r>
        <w:t>Write‑back scenarios (such as submitting forecasts or updates) should follow the inverse pattern of the read path: UI → Functions → Logic Apps → SQL stored procedures. This preserves consistency, auditability, and transactional integrity while maintaining a clean separation of concerns.</w:t>
      </w:r>
    </w:p>
    <w:p w14:paraId="52DCB42D" w14:textId="77777777" w:rsidR="00EF6B0C" w:rsidRDefault="00000000">
      <w:pPr>
        <w:pStyle w:val="Heading1"/>
      </w:pPr>
      <w:r>
        <w:t>11. Summary</w:t>
      </w:r>
    </w:p>
    <w:p w14:paraId="77F90F97" w14:textId="77777777" w:rsidR="00EF6B0C" w:rsidRDefault="00000000">
      <w:r>
        <w:t>The PEG Portal PoC demonstrates a scalable, cloud‑native integration pattern that balances performance, maintainability, and security. The deliberate separation of UI, APIs, orchestration, and data storage provides a strong foundation for future expansion into a production‑ready platform.</w:t>
      </w:r>
    </w:p>
    <w:p w14:paraId="28D80D9E" w14:textId="77777777" w:rsidR="00EF6B0C" w:rsidRDefault="00000000">
      <w:r>
        <w:br w:type="page"/>
      </w:r>
    </w:p>
    <w:p w14:paraId="038F2052" w14:textId="77777777" w:rsidR="00EF6B0C" w:rsidRDefault="00000000">
      <w:pPr>
        <w:pStyle w:val="Heading1"/>
      </w:pPr>
      <w:r>
        <w:lastRenderedPageBreak/>
        <w:t>Why Azure Functions Operate Logic Apps</w:t>
      </w:r>
    </w:p>
    <w:p w14:paraId="24D7ACED" w14:textId="77777777" w:rsidR="00EF6B0C" w:rsidRDefault="00000000">
      <w:r>
        <w:t>This Proof of Concept deliberately places Azure Functions in front of Logic Apps. At first glance this may appear redundant, however the separation is intentional and foundational to the overall architecture. Each component addresses a distinct concern and allows the solution to scale, evolve, and remain secure without coupling the user interface directly to integration mechanics.</w:t>
      </w:r>
    </w:p>
    <w:p w14:paraId="0111D05A" w14:textId="77777777" w:rsidR="00EF6B0C" w:rsidRDefault="00000000">
      <w:r>
        <w:t>Logic Apps are used strictly for integration responsibilities. They execute SQL stored procedures through managed connectors and on‑premises gateways, benefiting from built‑in retry policies, throttling, credential isolation, and operational resilience. Logic Apps are excellent at reliably moving data across network and security boundaries, but they are not designed to function as a public application API.</w:t>
      </w:r>
    </w:p>
    <w:p w14:paraId="2372AE6A" w14:textId="77777777" w:rsidR="00EF6B0C" w:rsidRDefault="00000000">
      <w:r>
        <w:t>Azure Functions provide the application‑facing API layer. They expose stable, versionable endpoints to the UI, enforce authentication and authorization through Microsoft Entra ID, shape and validate responses, and encapsulate business‑level orchestration. By routing all UI access through Functions, the frontend remains insulated from changes to stored procedures, Logic App workflows, or SQL connectivity.</w:t>
      </w:r>
    </w:p>
    <w:p w14:paraId="0199E850" w14:textId="77777777" w:rsidR="00EF6B0C" w:rsidRDefault="00000000">
      <w:r>
        <w:t>This pattern ensures that the UI never communicates directly with Logic Apps or SQL. Logic App callback URLs, which rely on shared access signatures, remain private and are never exposed to browsers. Functions act as a security and contract boundary, allowing Logic Apps to be replaced, refactored, or scaled independently without impacting the user experience.</w:t>
      </w:r>
    </w:p>
    <w:p w14:paraId="0871EED7" w14:textId="77777777" w:rsidR="00EF6B0C" w:rsidRDefault="00000000">
      <w:r>
        <w:t>From an operational standpoint, Functions also provide clearer observability. Logs and metrics are written in terms of business intent (such as syncing projects or estimates) rather than low‑level connector execution steps. This improves diagnosability, supports correlation across components, and simplifies future integration with API Management or monitoring platforms.</w:t>
      </w:r>
    </w:p>
    <w:p w14:paraId="15E4588E" w14:textId="462C3905" w:rsidR="00403C6C" w:rsidRDefault="00000000">
      <w:r>
        <w:t>In summary, Azure Functions are responsible for application behavior and contracts, while Logic Apps are responsible for integration execution. This separation of concerns is deliberate and provides long‑term flexibility, security, and maintainability.</w:t>
      </w:r>
    </w:p>
    <w:p w14:paraId="29945660" w14:textId="77777777" w:rsidR="00403C6C" w:rsidRDefault="00403C6C">
      <w:r>
        <w:br w:type="page"/>
      </w:r>
    </w:p>
    <w:p w14:paraId="0A5A52EE" w14:textId="73AB6CD4" w:rsidR="00EF6B0C" w:rsidRDefault="00403C6C">
      <w:r w:rsidRPr="00403C6C">
        <w:lastRenderedPageBreak/>
        <w:drawing>
          <wp:inline distT="0" distB="0" distL="0" distR="0" wp14:anchorId="127AFAA1" wp14:editId="7DAB0D72">
            <wp:extent cx="5486400" cy="2515235"/>
            <wp:effectExtent l="0" t="0" r="0" b="0"/>
            <wp:docPr id="54027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5716" name=""/>
                    <pic:cNvPicPr/>
                  </pic:nvPicPr>
                  <pic:blipFill>
                    <a:blip r:embed="rId6"/>
                    <a:stretch>
                      <a:fillRect/>
                    </a:stretch>
                  </pic:blipFill>
                  <pic:spPr>
                    <a:xfrm>
                      <a:off x="0" y="0"/>
                      <a:ext cx="5486400" cy="2515235"/>
                    </a:xfrm>
                    <a:prstGeom prst="rect">
                      <a:avLst/>
                    </a:prstGeom>
                  </pic:spPr>
                </pic:pic>
              </a:graphicData>
            </a:graphic>
          </wp:inline>
        </w:drawing>
      </w:r>
    </w:p>
    <w:p w14:paraId="151BBDDF" w14:textId="5EE96C29" w:rsidR="00403C6C" w:rsidRDefault="00403C6C">
      <w:r w:rsidRPr="00403C6C">
        <w:drawing>
          <wp:inline distT="0" distB="0" distL="0" distR="0" wp14:anchorId="3BE7581B" wp14:editId="25EDD874">
            <wp:extent cx="5486400" cy="2836545"/>
            <wp:effectExtent l="0" t="0" r="0" b="1905"/>
            <wp:docPr id="81129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92363" name=""/>
                    <pic:cNvPicPr/>
                  </pic:nvPicPr>
                  <pic:blipFill>
                    <a:blip r:embed="rId7"/>
                    <a:stretch>
                      <a:fillRect/>
                    </a:stretch>
                  </pic:blipFill>
                  <pic:spPr>
                    <a:xfrm>
                      <a:off x="0" y="0"/>
                      <a:ext cx="5486400" cy="2836545"/>
                    </a:xfrm>
                    <a:prstGeom prst="rect">
                      <a:avLst/>
                    </a:prstGeom>
                  </pic:spPr>
                </pic:pic>
              </a:graphicData>
            </a:graphic>
          </wp:inline>
        </w:drawing>
      </w:r>
    </w:p>
    <w:p w14:paraId="774F3692" w14:textId="76CB3E99" w:rsidR="00403C6C" w:rsidRDefault="00403C6C">
      <w:r w:rsidRPr="00403C6C">
        <w:lastRenderedPageBreak/>
        <w:drawing>
          <wp:inline distT="0" distB="0" distL="0" distR="0" wp14:anchorId="6E2D6D57" wp14:editId="31A86FB5">
            <wp:extent cx="5486400" cy="6525895"/>
            <wp:effectExtent l="0" t="0" r="0" b="8255"/>
            <wp:docPr id="18667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2169" name=""/>
                    <pic:cNvPicPr/>
                  </pic:nvPicPr>
                  <pic:blipFill>
                    <a:blip r:embed="rId8"/>
                    <a:stretch>
                      <a:fillRect/>
                    </a:stretch>
                  </pic:blipFill>
                  <pic:spPr>
                    <a:xfrm>
                      <a:off x="0" y="0"/>
                      <a:ext cx="5486400" cy="6525895"/>
                    </a:xfrm>
                    <a:prstGeom prst="rect">
                      <a:avLst/>
                    </a:prstGeom>
                  </pic:spPr>
                </pic:pic>
              </a:graphicData>
            </a:graphic>
          </wp:inline>
        </w:drawing>
      </w:r>
    </w:p>
    <w:p w14:paraId="0C1C9F92" w14:textId="753514EF" w:rsidR="00403C6C" w:rsidRDefault="00403C6C">
      <w:r w:rsidRPr="00403C6C">
        <w:lastRenderedPageBreak/>
        <w:drawing>
          <wp:inline distT="0" distB="0" distL="0" distR="0" wp14:anchorId="1070FB08" wp14:editId="10A2DFF4">
            <wp:extent cx="5486400" cy="2260600"/>
            <wp:effectExtent l="0" t="0" r="0" b="6350"/>
            <wp:docPr id="159442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5205" name=""/>
                    <pic:cNvPicPr/>
                  </pic:nvPicPr>
                  <pic:blipFill>
                    <a:blip r:embed="rId9"/>
                    <a:stretch>
                      <a:fillRect/>
                    </a:stretch>
                  </pic:blipFill>
                  <pic:spPr>
                    <a:xfrm>
                      <a:off x="0" y="0"/>
                      <a:ext cx="5486400" cy="2260600"/>
                    </a:xfrm>
                    <a:prstGeom prst="rect">
                      <a:avLst/>
                    </a:prstGeom>
                  </pic:spPr>
                </pic:pic>
              </a:graphicData>
            </a:graphic>
          </wp:inline>
        </w:drawing>
      </w:r>
    </w:p>
    <w:sectPr w:rsidR="00403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0000">
    <w:abstractNumId w:val="8"/>
  </w:num>
  <w:num w:numId="2" w16cid:durableId="1332683744">
    <w:abstractNumId w:val="6"/>
  </w:num>
  <w:num w:numId="3" w16cid:durableId="110049920">
    <w:abstractNumId w:val="5"/>
  </w:num>
  <w:num w:numId="4" w16cid:durableId="501942602">
    <w:abstractNumId w:val="4"/>
  </w:num>
  <w:num w:numId="5" w16cid:durableId="1978609220">
    <w:abstractNumId w:val="7"/>
  </w:num>
  <w:num w:numId="6" w16cid:durableId="1018773905">
    <w:abstractNumId w:val="3"/>
  </w:num>
  <w:num w:numId="7" w16cid:durableId="1998800300">
    <w:abstractNumId w:val="2"/>
  </w:num>
  <w:num w:numId="8" w16cid:durableId="1810198078">
    <w:abstractNumId w:val="1"/>
  </w:num>
  <w:num w:numId="9" w16cid:durableId="114505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96"/>
    <w:rsid w:val="0015074B"/>
    <w:rsid w:val="0029639D"/>
    <w:rsid w:val="00326F90"/>
    <w:rsid w:val="00403C6C"/>
    <w:rsid w:val="00AA1D8D"/>
    <w:rsid w:val="00B47730"/>
    <w:rsid w:val="00C373A5"/>
    <w:rsid w:val="00CB0664"/>
    <w:rsid w:val="00DD4818"/>
    <w:rsid w:val="00EF6B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7A393"/>
  <w14:defaultImageDpi w14:val="300"/>
  <w15:docId w15:val="{BF456473-1653-400B-8E74-54A32D9A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1140</Words>
  <Characters>6899</Characters>
  <Application>Microsoft Office Word</Application>
  <DocSecurity>0</DocSecurity>
  <Lines>118</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 Kruetzfeld</cp:lastModifiedBy>
  <cp:revision>4</cp:revision>
  <dcterms:created xsi:type="dcterms:W3CDTF">2026-01-23T23:06:00Z</dcterms:created>
  <dcterms:modified xsi:type="dcterms:W3CDTF">2026-01-23T23:09:00Z</dcterms:modified>
  <cp:category/>
</cp:coreProperties>
</file>