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1360985"/>
        <w:docPartObj>
          <w:docPartGallery w:val="Cover Pages"/>
          <w:docPartUnique/>
        </w:docPartObj>
      </w:sdtPr>
      <w:sdtEndPr/>
      <w:sdtContent>
        <w:p w14:paraId="3F9F5F57" w14:textId="2A301CC5" w:rsidR="009F4E73" w:rsidRDefault="009F4E73">
          <w:r>
            <w:rPr>
              <w:noProof/>
              <w:lang w:val="en-GB" w:eastAsia="en-GB"/>
            </w:rPr>
            <mc:AlternateContent>
              <mc:Choice Requires="wpg">
                <w:drawing>
                  <wp:anchor distT="0" distB="0" distL="114300" distR="114300" simplePos="0" relativeHeight="251662336" behindDoc="0" locked="0" layoutInCell="1" allowOverlap="1" wp14:anchorId="60195D14" wp14:editId="4814A5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6449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9A2D613" wp14:editId="12CC8A9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4F24" w14:textId="21E3ABB4" w:rsidR="009F4E73" w:rsidRDefault="00DF026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FEC">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268A8D9A" w:rsidR="009F4E73" w:rsidRDefault="009F4E73">
                                    <w:pPr>
                                      <w:jc w:val="right"/>
                                      <w:rPr>
                                        <w:color w:val="404040" w:themeColor="text1" w:themeTint="BF"/>
                                        <w:sz w:val="36"/>
                                        <w:szCs w:val="36"/>
                                      </w:rPr>
                                    </w:pPr>
                                    <w:r>
                                      <w:rPr>
                                        <w:color w:val="404040" w:themeColor="text1" w:themeTint="BF"/>
                                        <w:sz w:val="36"/>
                                        <w:szCs w:val="36"/>
                                      </w:rPr>
                                      <w:t>MScFE Capstone Project</w:t>
                                    </w:r>
                                  </w:p>
                                </w:sdtContent>
                              </w:sdt>
                              <w:p w14:paraId="2C670E36" w14:textId="5BEBEE01" w:rsidR="008B0FEC" w:rsidRDefault="008B0FEC">
                                <w:pPr>
                                  <w:jc w:val="right"/>
                                  <w:rPr>
                                    <w:color w:val="404040" w:themeColor="text1" w:themeTint="BF"/>
                                    <w:sz w:val="36"/>
                                    <w:szCs w:val="36"/>
                                  </w:rPr>
                                </w:pPr>
                                <w:r>
                                  <w:rPr>
                                    <w:color w:val="404040" w:themeColor="text1" w:themeTint="BF"/>
                                    <w:sz w:val="36"/>
                                    <w:szCs w:val="36"/>
                                  </w:rPr>
                                  <w:t>Group: 1157</w:t>
                                </w:r>
                              </w:p>
                              <w:p w14:paraId="05167DED" w14:textId="5C1D00DC" w:rsidR="008B0FEC" w:rsidRDefault="008B0FEC" w:rsidP="008B0FEC">
                                <w:pPr>
                                  <w:pStyle w:val="NoSpacing"/>
                                  <w:spacing w:after="60"/>
                                  <w:jc w:val="right"/>
                                  <w:rPr>
                                    <w:smallCaps/>
                                    <w:color w:val="404040" w:themeColor="text1" w:themeTint="BF"/>
                                    <w:sz w:val="36"/>
                                    <w:szCs w:val="36"/>
                                  </w:rPr>
                                </w:pPr>
                                <w:r>
                                  <w:rPr>
                                    <w:color w:val="4472C4" w:themeColor="accent1"/>
                                    <w:sz w:val="28"/>
                                    <w:szCs w:val="28"/>
                                  </w:rPr>
                                  <w:t>Rajneesh Kumar Singh – singhrajneesh@gmail.com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A2D61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F934F24" w14:textId="21E3ABB4" w:rsidR="009F4E73" w:rsidRDefault="00DF026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FEC">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268A8D9A" w:rsidR="009F4E73" w:rsidRDefault="009F4E73">
                              <w:pPr>
                                <w:jc w:val="right"/>
                                <w:rPr>
                                  <w:color w:val="404040" w:themeColor="text1" w:themeTint="BF"/>
                                  <w:sz w:val="36"/>
                                  <w:szCs w:val="36"/>
                                </w:rPr>
                              </w:pPr>
                              <w:r>
                                <w:rPr>
                                  <w:color w:val="404040" w:themeColor="text1" w:themeTint="BF"/>
                                  <w:sz w:val="36"/>
                                  <w:szCs w:val="36"/>
                                </w:rPr>
                                <w:t>MScFE Capstone Project</w:t>
                              </w:r>
                            </w:p>
                          </w:sdtContent>
                        </w:sdt>
                        <w:p w14:paraId="2C670E36" w14:textId="5BEBEE01" w:rsidR="008B0FEC" w:rsidRDefault="008B0FEC">
                          <w:pPr>
                            <w:jc w:val="right"/>
                            <w:rPr>
                              <w:color w:val="404040" w:themeColor="text1" w:themeTint="BF"/>
                              <w:sz w:val="36"/>
                              <w:szCs w:val="36"/>
                            </w:rPr>
                          </w:pPr>
                          <w:r>
                            <w:rPr>
                              <w:color w:val="404040" w:themeColor="text1" w:themeTint="BF"/>
                              <w:sz w:val="36"/>
                              <w:szCs w:val="36"/>
                            </w:rPr>
                            <w:t>Group: 1157</w:t>
                          </w:r>
                        </w:p>
                        <w:p w14:paraId="05167DED" w14:textId="5C1D00DC" w:rsidR="008B0FEC" w:rsidRDefault="008B0FEC" w:rsidP="008B0FEC">
                          <w:pPr>
                            <w:pStyle w:val="NoSpacing"/>
                            <w:spacing w:after="60"/>
                            <w:jc w:val="right"/>
                            <w:rPr>
                              <w:smallCaps/>
                              <w:color w:val="404040" w:themeColor="text1" w:themeTint="BF"/>
                              <w:sz w:val="36"/>
                              <w:szCs w:val="36"/>
                            </w:rPr>
                          </w:pPr>
                          <w:r>
                            <w:rPr>
                              <w:color w:val="4472C4" w:themeColor="accent1"/>
                              <w:sz w:val="28"/>
                              <w:szCs w:val="28"/>
                            </w:rPr>
                            <w:t>Rajneesh Kumar Singh – singhrajneesh@gmail.com</w:t>
                          </w:r>
                        </w:p>
                      </w:txbxContent>
                    </v:textbox>
                    <w10:wrap type="square" anchorx="page" anchory="page"/>
                  </v:shape>
                </w:pict>
              </mc:Fallback>
            </mc:AlternateContent>
          </w:r>
        </w:p>
        <w:p w14:paraId="56E73321" w14:textId="52BA2D64" w:rsidR="009F4E73" w:rsidRDefault="009F4E73">
          <w:pPr>
            <w:rPr>
              <w:rFonts w:asciiTheme="majorHAnsi" w:eastAsiaTheme="majorEastAsia" w:hAnsiTheme="majorHAnsi" w:cstheme="majorBidi"/>
              <w:spacing w:val="-10"/>
              <w:kern w:val="28"/>
              <w:sz w:val="56"/>
              <w:szCs w:val="56"/>
            </w:rPr>
          </w:pPr>
          <w:r>
            <w:br w:type="page"/>
          </w:r>
        </w:p>
      </w:sdtContent>
    </w:sdt>
    <w:p w14:paraId="4C21BB63" w14:textId="185864A2" w:rsidR="00533003" w:rsidRDefault="00533003">
      <w:pPr>
        <w:rPr>
          <w:rFonts w:asciiTheme="majorHAnsi" w:eastAsiaTheme="majorEastAsia" w:hAnsiTheme="majorHAnsi" w:cstheme="majorBidi"/>
          <w:color w:val="2F5496" w:themeColor="accent1" w:themeShade="BF"/>
          <w:sz w:val="32"/>
          <w:szCs w:val="32"/>
        </w:rPr>
      </w:pPr>
      <w:r>
        <w:lastRenderedPageBreak/>
        <w:t>Abstract The purpose of an abstract is to summarize the key information in your report, including the research goals, design, and major findings of your research. This section should be as concise as possible (typically no longer than 300 words) and give the reader a clear understanding of what to expect in the report. Introduction An introduction should establish the context and purpose of your report. In this section, you should pose the question or hypothesis that is going to be investigated in the following sections, as well as discuss the theoretical background and rationale of the report to the reader. Theoretical Framework This section provides a more comprehensive, critical discussion of the existing research and literature on the topic of your report. It is important to only include relevant literature that provides context to your research question or hypothesis. MScFE 690 Capstone –Capstone Project Report Guidelines ©2019 - WorldQuant University - All rights reserved. 3 Methodology Use this section to outline how you conducted your research study. This includes the specific techniques and tools you used to collect and analyze your data, any constraints you encountered as well as how you were able (or unable) to manage these constraints. Results The Results section is where you will present your data. Use figures, tables, and graphs to clearly represent information in a logical order. Only include the data that is most relevant to your report in this section. If you want to include additional or non-essential data for context or clarity, you can add an appendix at the end of your report. Discussion In this section, you will analyze the data you presented in your results and interpret this data in light of your research question or hypothesis. Use this section to explain what your results mean and how they relate to, or contribute to, existing research and knowledge in the field. Conclusion The conclusion is where you will provide a concise summary of your results and findings. It is very important that no new ideas or data are introduced in your conclusion. Make sure you include all the key information that was presented in the results and discussion. References This section is a comprehensive list of the literature and research you cited in your report. This list should be alphabetical and formatted correctly according to the referencing style you have used in your report. Appendix The appendix is an optional section at the end of the report that can be used to include additional information or data for clarity or interest. You can refer to the appendix throughout your report.</w:t>
      </w:r>
      <w:r>
        <w:br w:type="page"/>
      </w:r>
    </w:p>
    <w:p w14:paraId="6412E327" w14:textId="1B955D1C" w:rsidR="00FC04A4" w:rsidRDefault="00D44957" w:rsidP="009F4E73">
      <w:pPr>
        <w:pStyle w:val="Heading1"/>
      </w:pPr>
      <w:r>
        <w:lastRenderedPageBreak/>
        <w:t>Project Track</w:t>
      </w:r>
    </w:p>
    <w:p w14:paraId="60502713" w14:textId="77777777" w:rsidR="00AC784F" w:rsidRDefault="00AC784F" w:rsidP="009F4E73">
      <w:pPr>
        <w:rPr>
          <w:b/>
        </w:rPr>
      </w:pPr>
    </w:p>
    <w:p w14:paraId="1C02BC1B" w14:textId="663B27AA" w:rsidR="00AC784F" w:rsidRPr="007B4583" w:rsidRDefault="00AC784F" w:rsidP="009F4E73">
      <w:pPr>
        <w:rPr>
          <w:i/>
          <w:sz w:val="24"/>
          <w:szCs w:val="24"/>
        </w:rPr>
      </w:pPr>
      <w:r w:rsidRPr="007B4583">
        <w:rPr>
          <w:b/>
          <w:sz w:val="24"/>
          <w:szCs w:val="24"/>
        </w:rPr>
        <w:t xml:space="preserve">Short Term Trading </w:t>
      </w:r>
      <w:r w:rsidR="00AD5480" w:rsidRPr="007B4583">
        <w:rPr>
          <w:b/>
          <w:sz w:val="24"/>
          <w:szCs w:val="24"/>
        </w:rPr>
        <w:t>Models – Usage of Hurst Exponent in credit derivatives</w:t>
      </w:r>
    </w:p>
    <w:p w14:paraId="26394293" w14:textId="393CF204" w:rsidR="00AC784F" w:rsidRPr="007B4583" w:rsidRDefault="00AC784F" w:rsidP="007B4583">
      <w:pPr>
        <w:spacing w:line="360" w:lineRule="auto"/>
        <w:rPr>
          <w:sz w:val="24"/>
          <w:szCs w:val="24"/>
        </w:rPr>
      </w:pPr>
      <w:r w:rsidRPr="007B4583">
        <w:rPr>
          <w:sz w:val="24"/>
          <w:szCs w:val="24"/>
        </w:rPr>
        <w:t>The project is more of a practical type where Hurst Exponent and Machine Learning techniques will be used to build a macro credit trading strategy.</w:t>
      </w:r>
    </w:p>
    <w:p w14:paraId="2361430C" w14:textId="77777777" w:rsidR="00AC784F" w:rsidRDefault="00AC784F" w:rsidP="009F4E73">
      <w:pPr>
        <w:pStyle w:val="Heading1"/>
      </w:pPr>
    </w:p>
    <w:p w14:paraId="3936A8B2" w14:textId="3FBE0048" w:rsidR="009F4E73" w:rsidRDefault="009F4E73" w:rsidP="009F4E73">
      <w:pPr>
        <w:pStyle w:val="Heading1"/>
      </w:pPr>
      <w:r>
        <w:t>Problem statement</w:t>
      </w:r>
    </w:p>
    <w:p w14:paraId="771D9AA0" w14:textId="77777777" w:rsidR="00D56DDF" w:rsidRPr="00D56DDF" w:rsidRDefault="00D56DDF" w:rsidP="00D56DDF"/>
    <w:p w14:paraId="2C0DB403" w14:textId="3E80E434" w:rsidR="00AC784F" w:rsidRPr="007B4583" w:rsidRDefault="00AC784F" w:rsidP="007B4583">
      <w:pPr>
        <w:spacing w:line="360" w:lineRule="auto"/>
        <w:rPr>
          <w:sz w:val="24"/>
          <w:szCs w:val="24"/>
        </w:rPr>
      </w:pPr>
      <w:r w:rsidRPr="007B4583">
        <w:rPr>
          <w:sz w:val="24"/>
          <w:szCs w:val="24"/>
        </w:rPr>
        <w:t>Applications of machine learning in the area of macro credit is not that common yet. This project aims to bridge this gap in application of recent machine learning techniques and Hurst Exponent to the area of credit derivatives and credit ETFs.</w:t>
      </w:r>
    </w:p>
    <w:p w14:paraId="52A4554F" w14:textId="77777777" w:rsidR="00AC784F" w:rsidRDefault="00AC784F" w:rsidP="009F4E73">
      <w:pPr>
        <w:pStyle w:val="Heading1"/>
      </w:pPr>
    </w:p>
    <w:p w14:paraId="06F804C2" w14:textId="2EB4B0FF" w:rsidR="009F4E73" w:rsidRDefault="00D44957" w:rsidP="009F4E73">
      <w:pPr>
        <w:pStyle w:val="Heading1"/>
      </w:pPr>
      <w:r>
        <w:t>Goals</w:t>
      </w:r>
      <w:r w:rsidR="009F4E73">
        <w:t xml:space="preserve"> and Objectives</w:t>
      </w:r>
    </w:p>
    <w:p w14:paraId="64F6F6F5" w14:textId="77777777" w:rsidR="00CA4B5C" w:rsidRPr="00CA4B5C" w:rsidRDefault="00CA4B5C" w:rsidP="007B4583">
      <w:pPr>
        <w:spacing w:line="360" w:lineRule="auto"/>
      </w:pPr>
    </w:p>
    <w:p w14:paraId="0A7F73C8" w14:textId="7BD81BCA" w:rsidR="00187867" w:rsidRPr="007B4583" w:rsidRDefault="00187867" w:rsidP="007B4583">
      <w:pPr>
        <w:spacing w:line="360" w:lineRule="auto"/>
        <w:rPr>
          <w:sz w:val="24"/>
          <w:szCs w:val="24"/>
        </w:rPr>
      </w:pPr>
      <w:r w:rsidRPr="007B4583">
        <w:rPr>
          <w:b/>
          <w:sz w:val="24"/>
          <w:szCs w:val="24"/>
        </w:rPr>
        <w:t>Goal:</w:t>
      </w:r>
      <w:r w:rsidRPr="007B4583">
        <w:rPr>
          <w:sz w:val="24"/>
          <w:szCs w:val="24"/>
        </w:rPr>
        <w:t xml:space="preserve"> </w:t>
      </w:r>
      <w:r w:rsidR="00CA4B5C" w:rsidRPr="007B4583">
        <w:rPr>
          <w:sz w:val="24"/>
          <w:szCs w:val="24"/>
        </w:rPr>
        <w:t>In this project we intend to analyse</w:t>
      </w:r>
      <w:r w:rsidR="00CA4B5C" w:rsidRPr="007B4583">
        <w:rPr>
          <w:sz w:val="24"/>
          <w:szCs w:val="24"/>
        </w:rPr>
        <w:t xml:space="preserve"> the effectiveness of Hurt Exponent Analysis for short term trading</w:t>
      </w:r>
      <w:r w:rsidR="00CA4B5C" w:rsidRPr="007B4583">
        <w:rPr>
          <w:sz w:val="24"/>
          <w:szCs w:val="24"/>
        </w:rPr>
        <w:t xml:space="preserve"> of global macro credit derivative index, CDX.NA.IG.</w:t>
      </w:r>
      <w:r w:rsidR="00D811A5" w:rsidRPr="007B4583">
        <w:rPr>
          <w:sz w:val="24"/>
          <w:szCs w:val="24"/>
        </w:rPr>
        <w:t xml:space="preserve"> </w:t>
      </w:r>
      <w:r w:rsidR="00D811A5" w:rsidRPr="007B4583">
        <w:rPr>
          <w:sz w:val="24"/>
          <w:szCs w:val="24"/>
        </w:rPr>
        <w:t>The goal of the project is to build a long/short strategy for systematic trading of global macro credit over short to medium term horizons.</w:t>
      </w:r>
      <w:r w:rsidR="00D811A5" w:rsidRPr="007B4583">
        <w:rPr>
          <w:sz w:val="24"/>
          <w:szCs w:val="24"/>
        </w:rPr>
        <w:t xml:space="preserve"> We also explore modelling techniques to minimize the effect of white noise.</w:t>
      </w:r>
    </w:p>
    <w:p w14:paraId="52AA8214" w14:textId="58692C39" w:rsidR="00187867" w:rsidRPr="007B4583" w:rsidRDefault="00187867" w:rsidP="007B4583">
      <w:pPr>
        <w:spacing w:line="360" w:lineRule="auto"/>
        <w:rPr>
          <w:b/>
          <w:sz w:val="24"/>
          <w:szCs w:val="24"/>
        </w:rPr>
      </w:pPr>
      <w:r w:rsidRPr="007B4583">
        <w:rPr>
          <w:b/>
          <w:sz w:val="24"/>
          <w:szCs w:val="24"/>
        </w:rPr>
        <w:t>Objectives:</w:t>
      </w:r>
    </w:p>
    <w:p w14:paraId="55D25CE0" w14:textId="3479A530" w:rsidR="00187867" w:rsidRPr="007B4583" w:rsidRDefault="00187867" w:rsidP="007B4583">
      <w:pPr>
        <w:pStyle w:val="ListParagraph"/>
        <w:numPr>
          <w:ilvl w:val="0"/>
          <w:numId w:val="1"/>
        </w:numPr>
        <w:spacing w:line="360" w:lineRule="auto"/>
        <w:rPr>
          <w:sz w:val="24"/>
          <w:szCs w:val="24"/>
        </w:rPr>
      </w:pPr>
      <w:r w:rsidRPr="007B4583">
        <w:rPr>
          <w:sz w:val="24"/>
          <w:szCs w:val="24"/>
        </w:rPr>
        <w:t>Use Hurst Exponent to identify trending and mean-reverting time series</w:t>
      </w:r>
      <w:r w:rsidR="00CA4B5C" w:rsidRPr="007B4583">
        <w:rPr>
          <w:sz w:val="24"/>
          <w:szCs w:val="24"/>
        </w:rPr>
        <w:t xml:space="preserve"> of credit default swaps</w:t>
      </w:r>
    </w:p>
    <w:p w14:paraId="7C99C9CE" w14:textId="13D5AFD0" w:rsidR="00187867" w:rsidRPr="007B4583" w:rsidRDefault="00187867" w:rsidP="007B4583">
      <w:pPr>
        <w:pStyle w:val="ListParagraph"/>
        <w:numPr>
          <w:ilvl w:val="0"/>
          <w:numId w:val="1"/>
        </w:numPr>
        <w:spacing w:line="360" w:lineRule="auto"/>
        <w:rPr>
          <w:sz w:val="24"/>
          <w:szCs w:val="24"/>
        </w:rPr>
      </w:pPr>
      <w:r w:rsidRPr="007B4583">
        <w:rPr>
          <w:sz w:val="24"/>
          <w:szCs w:val="24"/>
        </w:rPr>
        <w:t>Explore and compare time series forecasting techniques vs machine learning based prediction techniques like Support Vector Machine and Long Short-Term Memory (LSTM)</w:t>
      </w:r>
      <w:sdt>
        <w:sdtPr>
          <w:rPr>
            <w:sz w:val="24"/>
            <w:szCs w:val="24"/>
          </w:rPr>
          <w:id w:val="-1345620783"/>
          <w:citation/>
        </w:sdtPr>
        <w:sdtEndPr/>
        <w:sdtContent>
          <w:r w:rsidR="005F6FF2" w:rsidRPr="007B4583">
            <w:rPr>
              <w:sz w:val="24"/>
              <w:szCs w:val="24"/>
            </w:rPr>
            <w:fldChar w:fldCharType="begin"/>
          </w:r>
          <w:r w:rsidR="005F6FF2" w:rsidRPr="007B4583">
            <w:rPr>
              <w:sz w:val="24"/>
              <w:szCs w:val="24"/>
              <w:lang w:val="en-US"/>
            </w:rPr>
            <w:instrText xml:space="preserve"> CITATION Vuk22 \l 1033 </w:instrText>
          </w:r>
          <w:r w:rsidR="005F6FF2" w:rsidRPr="007B4583">
            <w:rPr>
              <w:sz w:val="24"/>
              <w:szCs w:val="24"/>
            </w:rPr>
            <w:fldChar w:fldCharType="separate"/>
          </w:r>
          <w:r w:rsidR="005F6FF2" w:rsidRPr="007B4583">
            <w:rPr>
              <w:noProof/>
              <w:sz w:val="24"/>
              <w:szCs w:val="24"/>
              <w:lang w:val="en-US"/>
            </w:rPr>
            <w:t xml:space="preserve"> (Vukovic, 2022)</w:t>
          </w:r>
          <w:r w:rsidR="005F6FF2" w:rsidRPr="007B4583">
            <w:rPr>
              <w:sz w:val="24"/>
              <w:szCs w:val="24"/>
            </w:rPr>
            <w:fldChar w:fldCharType="end"/>
          </w:r>
        </w:sdtContent>
      </w:sdt>
    </w:p>
    <w:p w14:paraId="7EACD424" w14:textId="649EF0B2" w:rsidR="00187867" w:rsidRPr="007B4583" w:rsidRDefault="00187867" w:rsidP="007B4583">
      <w:pPr>
        <w:pStyle w:val="ListParagraph"/>
        <w:numPr>
          <w:ilvl w:val="0"/>
          <w:numId w:val="1"/>
        </w:numPr>
        <w:spacing w:line="360" w:lineRule="auto"/>
        <w:rPr>
          <w:sz w:val="24"/>
          <w:szCs w:val="24"/>
        </w:rPr>
      </w:pPr>
      <w:r w:rsidRPr="007B4583">
        <w:rPr>
          <w:sz w:val="24"/>
          <w:szCs w:val="24"/>
        </w:rPr>
        <w:t>Backtesting of the formulated strategy</w:t>
      </w:r>
    </w:p>
    <w:p w14:paraId="143A7177" w14:textId="6DFF8355" w:rsidR="007B1827" w:rsidRDefault="007B1827" w:rsidP="007B1827"/>
    <w:p w14:paraId="7D1A444C" w14:textId="77777777" w:rsidR="00AA1B7B" w:rsidRDefault="00AA1B7B">
      <w:pPr>
        <w:rPr>
          <w:rFonts w:asciiTheme="majorHAnsi" w:eastAsiaTheme="majorEastAsia" w:hAnsiTheme="majorHAnsi" w:cstheme="majorBidi"/>
          <w:color w:val="2F5496" w:themeColor="accent1" w:themeShade="BF"/>
          <w:sz w:val="32"/>
          <w:szCs w:val="32"/>
        </w:rPr>
      </w:pPr>
      <w:r>
        <w:br w:type="page"/>
      </w:r>
    </w:p>
    <w:p w14:paraId="7386BC60" w14:textId="77777777" w:rsidR="00085EFB" w:rsidRDefault="00085EFB" w:rsidP="00085EFB">
      <w:pPr>
        <w:pStyle w:val="Heading1"/>
      </w:pPr>
      <w:r>
        <w:lastRenderedPageBreak/>
        <w:t>Literature Review and Competitor Analysis</w:t>
      </w:r>
    </w:p>
    <w:p w14:paraId="7E5E40E5" w14:textId="7A075EA6" w:rsidR="007B1827" w:rsidRDefault="007B1827" w:rsidP="007B1827"/>
    <w:p w14:paraId="61668ABD" w14:textId="4DE81BEC" w:rsidR="00217B4F" w:rsidRPr="007B4583" w:rsidRDefault="004E2CD7" w:rsidP="00C061DA">
      <w:pPr>
        <w:spacing w:line="360" w:lineRule="auto"/>
        <w:rPr>
          <w:sz w:val="24"/>
          <w:szCs w:val="24"/>
        </w:rPr>
      </w:pPr>
      <w:r w:rsidRPr="007B4583">
        <w:rPr>
          <w:sz w:val="24"/>
          <w:szCs w:val="24"/>
        </w:rPr>
        <w:t xml:space="preserve">In his </w:t>
      </w:r>
      <w:r w:rsidRPr="007B4583">
        <w:rPr>
          <w:sz w:val="24"/>
          <w:szCs w:val="24"/>
        </w:rPr>
        <w:t>debut non-fiction book</w:t>
      </w:r>
      <w:r w:rsidRPr="007B4583">
        <w:rPr>
          <w:sz w:val="24"/>
          <w:szCs w:val="24"/>
        </w:rPr>
        <w:t xml:space="preserve"> titled </w:t>
      </w:r>
      <w:r w:rsidRPr="007B4583">
        <w:rPr>
          <w:sz w:val="24"/>
          <w:szCs w:val="24"/>
        </w:rPr>
        <w:t>“The Greatest Trade Ever: How One Man Bet Against the Markets and Made $20 Billion”</w:t>
      </w:r>
      <w:r w:rsidR="00217B4F" w:rsidRPr="007B4583">
        <w:rPr>
          <w:sz w:val="24"/>
          <w:szCs w:val="24"/>
        </w:rPr>
        <w:t>,</w:t>
      </w:r>
      <w:r w:rsidRPr="007B4583">
        <w:rPr>
          <w:sz w:val="24"/>
          <w:szCs w:val="24"/>
        </w:rPr>
        <w:t xml:space="preserve"> </w:t>
      </w:r>
      <w:r w:rsidRPr="007B4583">
        <w:rPr>
          <w:sz w:val="24"/>
          <w:szCs w:val="24"/>
        </w:rPr>
        <w:t>American journalist Gregory Zuckerman</w:t>
      </w:r>
      <w:r w:rsidR="00217B4F" w:rsidRPr="007B4583">
        <w:rPr>
          <w:sz w:val="24"/>
          <w:szCs w:val="24"/>
        </w:rPr>
        <w:t xml:space="preserve"> narrates behind the scenes story of how </w:t>
      </w:r>
      <w:r w:rsidR="00217B4F" w:rsidRPr="007B4583">
        <w:rPr>
          <w:sz w:val="24"/>
          <w:szCs w:val="24"/>
        </w:rPr>
        <w:t>John Paulson had pulled off the greatest trade in financial history</w:t>
      </w:r>
      <w:r w:rsidR="00217B4F" w:rsidRPr="007B4583">
        <w:rPr>
          <w:sz w:val="24"/>
          <w:szCs w:val="24"/>
        </w:rPr>
        <w:t>. “</w:t>
      </w:r>
      <w:r w:rsidRPr="007B4583">
        <w:rPr>
          <w:sz w:val="24"/>
          <w:szCs w:val="24"/>
        </w:rPr>
        <w:t>By piling into complex "credit default swaps" against mortgages – in effect, insurance policies that would pay out if homeowners defaulted – his fund made an unthinkable $15bn (£9.8bn) in a year, $4bn of which he took home himself</w:t>
      </w:r>
      <w:r w:rsidR="00217B4F" w:rsidRPr="007B4583">
        <w:rPr>
          <w:sz w:val="24"/>
          <w:szCs w:val="24"/>
        </w:rPr>
        <w:t xml:space="preserve"> </w:t>
      </w:r>
      <w:sdt>
        <w:sdtPr>
          <w:rPr>
            <w:sz w:val="24"/>
            <w:szCs w:val="24"/>
          </w:rPr>
          <w:id w:val="-1643497895"/>
          <w:citation/>
        </w:sdtPr>
        <w:sdtContent>
          <w:r w:rsidR="00217B4F" w:rsidRPr="007B4583">
            <w:rPr>
              <w:sz w:val="24"/>
              <w:szCs w:val="24"/>
            </w:rPr>
            <w:fldChar w:fldCharType="begin"/>
          </w:r>
          <w:r w:rsidR="00217B4F" w:rsidRPr="007B4583">
            <w:rPr>
              <w:sz w:val="24"/>
              <w:szCs w:val="24"/>
              <w:lang w:val="en-US"/>
            </w:rPr>
            <w:instrText xml:space="preserve"> CITATION Hea \l 1033 </w:instrText>
          </w:r>
          <w:r w:rsidR="00217B4F" w:rsidRPr="007B4583">
            <w:rPr>
              <w:sz w:val="24"/>
              <w:szCs w:val="24"/>
            </w:rPr>
            <w:fldChar w:fldCharType="separate"/>
          </w:r>
          <w:r w:rsidR="00217B4F" w:rsidRPr="007B4583">
            <w:rPr>
              <w:noProof/>
              <w:sz w:val="24"/>
              <w:szCs w:val="24"/>
              <w:lang w:val="en-US"/>
            </w:rPr>
            <w:t>(Stewart, 2010)</w:t>
          </w:r>
          <w:r w:rsidR="00217B4F" w:rsidRPr="007B4583">
            <w:rPr>
              <w:sz w:val="24"/>
              <w:szCs w:val="24"/>
            </w:rPr>
            <w:fldChar w:fldCharType="end"/>
          </w:r>
        </w:sdtContent>
      </w:sdt>
      <w:r w:rsidR="00217B4F" w:rsidRPr="007B4583">
        <w:rPr>
          <w:sz w:val="24"/>
          <w:szCs w:val="24"/>
        </w:rPr>
        <w:t>” and that dwarfed</w:t>
      </w:r>
      <w:r w:rsidR="00217B4F" w:rsidRPr="007B4583">
        <w:rPr>
          <w:sz w:val="24"/>
          <w:szCs w:val="24"/>
        </w:rPr>
        <w:t xml:space="preserve"> George Soros's billion-dollar currency trade in 1992. </w:t>
      </w:r>
      <w:r w:rsidR="0037360C" w:rsidRPr="007B4583">
        <w:rPr>
          <w:sz w:val="24"/>
          <w:szCs w:val="24"/>
        </w:rPr>
        <w:t>The 2015 movie “The Big Short” is based on the same trade.</w:t>
      </w:r>
    </w:p>
    <w:p w14:paraId="6FAE4640" w14:textId="79C49F09" w:rsidR="00A44AF6" w:rsidRPr="007B4583" w:rsidRDefault="00A44AF6" w:rsidP="00C061DA">
      <w:pPr>
        <w:spacing w:line="360" w:lineRule="auto"/>
        <w:rPr>
          <w:sz w:val="24"/>
          <w:szCs w:val="24"/>
        </w:rPr>
      </w:pPr>
      <w:r w:rsidRPr="007B4583">
        <w:rPr>
          <w:sz w:val="24"/>
          <w:szCs w:val="24"/>
        </w:rPr>
        <w:t xml:space="preserve">Credit default swap (CDS) is a credit derivative instrument which is basically like an insurance on the default of the underlying reference entity. The reference entity could be a corporate or any sovereign. These are instruments which protects the buyer in case of default. In return the protection buyer pays a quarterly fee to the protection seller. Many such credit default swaps can be bundled together and form an index swap. For example CDX.NA.IG is </w:t>
      </w:r>
      <w:r w:rsidR="00F017B1" w:rsidRPr="007B4583">
        <w:rPr>
          <w:sz w:val="24"/>
          <w:szCs w:val="24"/>
        </w:rPr>
        <w:t xml:space="preserve">one such portfolio of single-name </w:t>
      </w:r>
      <w:r w:rsidRPr="007B4583">
        <w:rPr>
          <w:sz w:val="24"/>
          <w:szCs w:val="24"/>
        </w:rPr>
        <w:t xml:space="preserve">credit default swaps on the </w:t>
      </w:r>
      <w:r w:rsidR="00F017B1" w:rsidRPr="007B4583">
        <w:rPr>
          <w:sz w:val="24"/>
          <w:szCs w:val="24"/>
        </w:rPr>
        <w:t xml:space="preserve">125 </w:t>
      </w:r>
      <w:r w:rsidRPr="007B4583">
        <w:rPr>
          <w:sz w:val="24"/>
          <w:szCs w:val="24"/>
        </w:rPr>
        <w:t xml:space="preserve">most liquid investment grade corporates in North America. </w:t>
      </w:r>
      <w:r w:rsidR="00F017B1" w:rsidRPr="007B4583">
        <w:rPr>
          <w:sz w:val="24"/>
          <w:szCs w:val="24"/>
        </w:rPr>
        <w:t xml:space="preserve">European and other regional equivalents also trade actively. </w:t>
      </w:r>
      <w:r w:rsidRPr="007B4583">
        <w:rPr>
          <w:sz w:val="24"/>
          <w:szCs w:val="24"/>
        </w:rPr>
        <w:t>Further there are options and tranched products on these macro credit indices</w:t>
      </w:r>
      <w:sdt>
        <w:sdtPr>
          <w:rPr>
            <w:sz w:val="24"/>
            <w:szCs w:val="24"/>
          </w:rPr>
          <w:id w:val="134994974"/>
          <w:citation/>
        </w:sdtPr>
        <w:sdtContent>
          <w:r w:rsidR="00C22E48" w:rsidRPr="007B4583">
            <w:rPr>
              <w:sz w:val="24"/>
              <w:szCs w:val="24"/>
            </w:rPr>
            <w:fldChar w:fldCharType="begin"/>
          </w:r>
          <w:r w:rsidR="00C22E48" w:rsidRPr="007B4583">
            <w:rPr>
              <w:sz w:val="24"/>
              <w:szCs w:val="24"/>
              <w:lang w:val="en-US"/>
            </w:rPr>
            <w:instrText xml:space="preserve">CITATION ihs21 \l 1033 </w:instrText>
          </w:r>
          <w:r w:rsidR="00C22E48" w:rsidRPr="007B4583">
            <w:rPr>
              <w:sz w:val="24"/>
              <w:szCs w:val="24"/>
            </w:rPr>
            <w:fldChar w:fldCharType="separate"/>
          </w:r>
          <w:r w:rsidR="00C22E48" w:rsidRPr="007B4583">
            <w:rPr>
              <w:noProof/>
              <w:sz w:val="24"/>
              <w:szCs w:val="24"/>
              <w:lang w:val="en-US"/>
            </w:rPr>
            <w:t xml:space="preserve"> (Markit, 2021)</w:t>
          </w:r>
          <w:r w:rsidR="00C22E48" w:rsidRPr="007B4583">
            <w:rPr>
              <w:sz w:val="24"/>
              <w:szCs w:val="24"/>
            </w:rPr>
            <w:fldChar w:fldCharType="end"/>
          </w:r>
        </w:sdtContent>
      </w:sdt>
      <w:r w:rsidRPr="007B4583">
        <w:rPr>
          <w:sz w:val="24"/>
          <w:szCs w:val="24"/>
        </w:rPr>
        <w:t>.</w:t>
      </w:r>
      <w:r w:rsidR="0019310B" w:rsidRPr="007B4583">
        <w:rPr>
          <w:sz w:val="24"/>
          <w:szCs w:val="24"/>
        </w:rPr>
        <w:t xml:space="preserve"> For a more detailed understanding of the credit default swaps readers are referred to the Federal Reserve Board’s discussion </w:t>
      </w:r>
      <w:r w:rsidR="00F017B1" w:rsidRPr="007B4583">
        <w:rPr>
          <w:sz w:val="24"/>
          <w:szCs w:val="24"/>
        </w:rPr>
        <w:t>paper</w:t>
      </w:r>
      <w:r w:rsidR="0019310B" w:rsidRPr="007B4583">
        <w:rPr>
          <w:sz w:val="24"/>
          <w:szCs w:val="24"/>
        </w:rPr>
        <w:t xml:space="preserve"> on the same</w:t>
      </w:r>
      <w:sdt>
        <w:sdtPr>
          <w:rPr>
            <w:sz w:val="24"/>
            <w:szCs w:val="24"/>
          </w:rPr>
          <w:id w:val="-1514220703"/>
          <w:citation/>
        </w:sdtPr>
        <w:sdtContent>
          <w:r w:rsidR="0019310B" w:rsidRPr="007B4583">
            <w:rPr>
              <w:sz w:val="24"/>
              <w:szCs w:val="24"/>
            </w:rPr>
            <w:fldChar w:fldCharType="begin"/>
          </w:r>
          <w:r w:rsidR="0019310B" w:rsidRPr="007B4583">
            <w:rPr>
              <w:sz w:val="24"/>
              <w:szCs w:val="24"/>
              <w:lang w:val="en-US"/>
            </w:rPr>
            <w:instrText xml:space="preserve"> CITATION Bom \l 1033 </w:instrText>
          </w:r>
          <w:r w:rsidR="0019310B" w:rsidRPr="007B4583">
            <w:rPr>
              <w:sz w:val="24"/>
              <w:szCs w:val="24"/>
            </w:rPr>
            <w:fldChar w:fldCharType="separate"/>
          </w:r>
          <w:r w:rsidR="0019310B" w:rsidRPr="007B4583">
            <w:rPr>
              <w:noProof/>
              <w:sz w:val="24"/>
              <w:szCs w:val="24"/>
              <w:lang w:val="en-US"/>
            </w:rPr>
            <w:t xml:space="preserve"> (Bomfim, 2022)</w:t>
          </w:r>
          <w:r w:rsidR="0019310B" w:rsidRPr="007B4583">
            <w:rPr>
              <w:sz w:val="24"/>
              <w:szCs w:val="24"/>
            </w:rPr>
            <w:fldChar w:fldCharType="end"/>
          </w:r>
        </w:sdtContent>
      </w:sdt>
      <w:r w:rsidR="0019310B" w:rsidRPr="007B4583">
        <w:rPr>
          <w:sz w:val="24"/>
          <w:szCs w:val="24"/>
        </w:rPr>
        <w:t>.</w:t>
      </w:r>
    </w:p>
    <w:p w14:paraId="3D2126AF" w14:textId="78528C5F" w:rsidR="00B6584A" w:rsidRPr="007B4583" w:rsidRDefault="00790BA0" w:rsidP="00C061DA">
      <w:pPr>
        <w:spacing w:line="360" w:lineRule="auto"/>
        <w:rPr>
          <w:sz w:val="24"/>
          <w:szCs w:val="24"/>
        </w:rPr>
      </w:pPr>
      <w:r w:rsidRPr="007B4583">
        <w:rPr>
          <w:sz w:val="24"/>
          <w:szCs w:val="24"/>
        </w:rPr>
        <w:t>Credit derivative products gained immense notoriety and have largely been blamed for the Great Financial Crisis of 2008-2009. These markets had largely been unregulated before that and is still opaque to many market participants. In a</w:t>
      </w:r>
      <w:r w:rsidR="00B45B63" w:rsidRPr="007B4583">
        <w:rPr>
          <w:sz w:val="24"/>
          <w:szCs w:val="24"/>
        </w:rPr>
        <w:t>n</w:t>
      </w:r>
      <w:r w:rsidRPr="007B4583">
        <w:rPr>
          <w:sz w:val="24"/>
          <w:szCs w:val="24"/>
        </w:rPr>
        <w:t xml:space="preserve"> IMF </w:t>
      </w:r>
      <w:r w:rsidR="00AD1399" w:rsidRPr="007B4583">
        <w:rPr>
          <w:sz w:val="24"/>
          <w:szCs w:val="24"/>
        </w:rPr>
        <w:t>working paper</w:t>
      </w:r>
      <w:sdt>
        <w:sdtPr>
          <w:rPr>
            <w:sz w:val="24"/>
            <w:szCs w:val="24"/>
          </w:rPr>
          <w:id w:val="-674797238"/>
          <w:citation/>
        </w:sdtPr>
        <w:sdtContent>
          <w:r w:rsidRPr="007B4583">
            <w:rPr>
              <w:sz w:val="24"/>
              <w:szCs w:val="24"/>
            </w:rPr>
            <w:fldChar w:fldCharType="begin"/>
          </w:r>
          <w:r w:rsidRPr="007B4583">
            <w:rPr>
              <w:sz w:val="24"/>
              <w:szCs w:val="24"/>
              <w:lang w:val="en-US"/>
            </w:rPr>
            <w:instrText xml:space="preserve"> CITATION Ell09 \l 1033 </w:instrText>
          </w:r>
          <w:r w:rsidRPr="007B4583">
            <w:rPr>
              <w:sz w:val="24"/>
              <w:szCs w:val="24"/>
            </w:rPr>
            <w:fldChar w:fldCharType="separate"/>
          </w:r>
          <w:r w:rsidRPr="007B4583">
            <w:rPr>
              <w:noProof/>
              <w:sz w:val="24"/>
              <w:szCs w:val="24"/>
              <w:lang w:val="en-US"/>
            </w:rPr>
            <w:t xml:space="preserve"> (Elliott, 2009)</w:t>
          </w:r>
          <w:r w:rsidRPr="007B4583">
            <w:rPr>
              <w:sz w:val="24"/>
              <w:szCs w:val="24"/>
            </w:rPr>
            <w:fldChar w:fldCharType="end"/>
          </w:r>
        </w:sdtContent>
      </w:sdt>
      <w:r w:rsidRPr="007B4583">
        <w:rPr>
          <w:sz w:val="24"/>
          <w:szCs w:val="24"/>
        </w:rPr>
        <w:t xml:space="preserve"> the authors highlight how credit derivative markets can increase systemic risk due to the inter-connectedness </w:t>
      </w:r>
      <w:r w:rsidR="00207C99" w:rsidRPr="007B4583">
        <w:rPr>
          <w:sz w:val="24"/>
          <w:szCs w:val="24"/>
        </w:rPr>
        <w:t>of large financial institutions and how policy makers need to be aware of the “blind-spots” in this market.</w:t>
      </w:r>
    </w:p>
    <w:p w14:paraId="11E00456" w14:textId="76CB5ED8" w:rsidR="006075CE" w:rsidRPr="007B4583" w:rsidRDefault="006075CE" w:rsidP="00C061DA">
      <w:pPr>
        <w:spacing w:line="360" w:lineRule="auto"/>
        <w:rPr>
          <w:sz w:val="24"/>
          <w:szCs w:val="24"/>
        </w:rPr>
      </w:pPr>
      <w:r w:rsidRPr="007B4583">
        <w:rPr>
          <w:sz w:val="24"/>
          <w:szCs w:val="24"/>
        </w:rPr>
        <w:t xml:space="preserve">Recently </w:t>
      </w:r>
      <w:r w:rsidR="00F017B1" w:rsidRPr="007B4583">
        <w:rPr>
          <w:sz w:val="24"/>
          <w:szCs w:val="24"/>
        </w:rPr>
        <w:t xml:space="preserve">the </w:t>
      </w:r>
      <w:r w:rsidRPr="007B4583">
        <w:rPr>
          <w:sz w:val="24"/>
          <w:szCs w:val="24"/>
        </w:rPr>
        <w:t>CDS of Russia</w:t>
      </w:r>
      <w:r w:rsidR="00F017B1" w:rsidRPr="007B4583">
        <w:rPr>
          <w:sz w:val="24"/>
          <w:szCs w:val="24"/>
        </w:rPr>
        <w:t>n</w:t>
      </w:r>
      <w:r w:rsidRPr="007B4583">
        <w:rPr>
          <w:sz w:val="24"/>
          <w:szCs w:val="24"/>
        </w:rPr>
        <w:t xml:space="preserve"> Federation came into focus as it launched a full-fledged war against Ukraine</w:t>
      </w:r>
      <w:r w:rsidR="00F017B1" w:rsidRPr="007B4583">
        <w:rPr>
          <w:sz w:val="24"/>
          <w:szCs w:val="24"/>
        </w:rPr>
        <w:t xml:space="preserve"> in early 2022</w:t>
      </w:r>
      <w:r w:rsidRPr="007B4583">
        <w:rPr>
          <w:sz w:val="24"/>
          <w:szCs w:val="24"/>
        </w:rPr>
        <w:t xml:space="preserve">. In the below figure we can see how the premium on the CDS sky-rocketed as the war progressed and there were fears that the Russian state would not </w:t>
      </w:r>
      <w:r w:rsidRPr="007B4583">
        <w:rPr>
          <w:sz w:val="24"/>
          <w:szCs w:val="24"/>
        </w:rPr>
        <w:lastRenderedPageBreak/>
        <w:t>honour the coupon payments on their outstanding bonds. Also notice the volatility around this CDS price.</w:t>
      </w:r>
    </w:p>
    <w:p w14:paraId="4A641FDF" w14:textId="14C124FA" w:rsidR="006075CE" w:rsidRPr="007B4583" w:rsidRDefault="006075CE" w:rsidP="00C061DA">
      <w:pPr>
        <w:spacing w:line="360" w:lineRule="auto"/>
        <w:rPr>
          <w:sz w:val="24"/>
          <w:szCs w:val="24"/>
        </w:rPr>
      </w:pPr>
      <w:r w:rsidRPr="007B4583">
        <w:rPr>
          <w:noProof/>
          <w:sz w:val="24"/>
          <w:szCs w:val="24"/>
          <w:lang w:val="en-GB" w:eastAsia="en-GB"/>
        </w:rPr>
        <w:drawing>
          <wp:inline distT="0" distB="0" distL="0" distR="0" wp14:anchorId="50B44D22" wp14:editId="5CF3073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sia 2022 cds defaul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04277B7" w14:textId="77777777" w:rsidR="002E7A2D" w:rsidRPr="007B4583" w:rsidRDefault="002E7A2D" w:rsidP="002E7A2D">
      <w:pPr>
        <w:pStyle w:val="Heading1"/>
        <w:rPr>
          <w:sz w:val="24"/>
          <w:szCs w:val="24"/>
        </w:rPr>
      </w:pPr>
    </w:p>
    <w:p w14:paraId="6989F814" w14:textId="691E06D5" w:rsidR="00207C99" w:rsidRPr="007B4583" w:rsidRDefault="00207C99" w:rsidP="00C061DA">
      <w:pPr>
        <w:spacing w:line="360" w:lineRule="auto"/>
        <w:rPr>
          <w:noProof/>
          <w:sz w:val="24"/>
          <w:szCs w:val="24"/>
          <w:lang w:val="en-GB" w:eastAsia="en-GB"/>
        </w:rPr>
      </w:pPr>
    </w:p>
    <w:p w14:paraId="3FF91396" w14:textId="38A0A19B" w:rsidR="007D4C18" w:rsidRPr="007B4583" w:rsidRDefault="00E84D81" w:rsidP="00C061DA">
      <w:pPr>
        <w:spacing w:line="360" w:lineRule="auto"/>
        <w:rPr>
          <w:sz w:val="24"/>
          <w:szCs w:val="24"/>
        </w:rPr>
      </w:pPr>
      <w:r w:rsidRPr="007B4583">
        <w:rPr>
          <w:sz w:val="24"/>
          <w:szCs w:val="24"/>
        </w:rPr>
        <w:t>T</w:t>
      </w:r>
      <w:r w:rsidR="00C87449" w:rsidRPr="007B4583">
        <w:rPr>
          <w:sz w:val="24"/>
          <w:szCs w:val="24"/>
        </w:rPr>
        <w:t>o</w:t>
      </w:r>
      <w:r w:rsidRPr="007B4583">
        <w:rPr>
          <w:sz w:val="24"/>
          <w:szCs w:val="24"/>
        </w:rPr>
        <w:t xml:space="preserve"> implement </w:t>
      </w:r>
      <w:r w:rsidR="009844DB" w:rsidRPr="007B4583">
        <w:rPr>
          <w:sz w:val="24"/>
          <w:szCs w:val="24"/>
        </w:rPr>
        <w:t xml:space="preserve">a </w:t>
      </w:r>
      <w:r w:rsidRPr="007B4583">
        <w:rPr>
          <w:sz w:val="24"/>
          <w:szCs w:val="24"/>
        </w:rPr>
        <w:t>hedging and</w:t>
      </w:r>
      <w:r w:rsidR="009844DB" w:rsidRPr="007B4583">
        <w:rPr>
          <w:sz w:val="24"/>
          <w:szCs w:val="24"/>
        </w:rPr>
        <w:t xml:space="preserve">/or </w:t>
      </w:r>
      <w:r w:rsidR="00D61314" w:rsidRPr="007B4583">
        <w:rPr>
          <w:sz w:val="24"/>
          <w:szCs w:val="24"/>
        </w:rPr>
        <w:t xml:space="preserve">a </w:t>
      </w:r>
      <w:r w:rsidR="009844DB" w:rsidRPr="007B4583">
        <w:rPr>
          <w:sz w:val="24"/>
          <w:szCs w:val="24"/>
        </w:rPr>
        <w:t xml:space="preserve">trading </w:t>
      </w:r>
      <w:r w:rsidR="00D61314" w:rsidRPr="007B4583">
        <w:rPr>
          <w:sz w:val="24"/>
          <w:szCs w:val="24"/>
        </w:rPr>
        <w:t>strategy</w:t>
      </w:r>
      <w:r w:rsidRPr="007B4583">
        <w:rPr>
          <w:sz w:val="24"/>
          <w:szCs w:val="24"/>
        </w:rPr>
        <w:t>, the</w:t>
      </w:r>
      <w:r w:rsidR="00922E1B" w:rsidRPr="007B4583">
        <w:rPr>
          <w:sz w:val="24"/>
          <w:szCs w:val="24"/>
        </w:rPr>
        <w:t xml:space="preserve"> accurate</w:t>
      </w:r>
      <w:r w:rsidRPr="007B4583">
        <w:rPr>
          <w:sz w:val="24"/>
          <w:szCs w:val="24"/>
        </w:rPr>
        <w:t xml:space="preserve"> forecasting of CDS spreads becomes important. Similar to the VIX index, credit indices have become important barometer of overall credit risk of whole economy. While other asset classes like equity, bond and foreign exchange get lot of attention with regards to new forecasting techniques, work on credit derivative asset class looks minimal in comparison.</w:t>
      </w:r>
    </w:p>
    <w:p w14:paraId="374A887C" w14:textId="2BAA1C7D" w:rsidR="00C87449" w:rsidRPr="007B4583" w:rsidRDefault="001F28F9" w:rsidP="00C061DA">
      <w:pPr>
        <w:spacing w:line="360" w:lineRule="auto"/>
        <w:rPr>
          <w:sz w:val="24"/>
          <w:szCs w:val="24"/>
        </w:rPr>
      </w:pPr>
      <w:r w:rsidRPr="007B4583">
        <w:rPr>
          <w:sz w:val="24"/>
          <w:szCs w:val="24"/>
        </w:rPr>
        <w:t>While a lot of studies has been done on the determinants of CDS</w:t>
      </w:r>
      <w:r w:rsidR="007179F0" w:rsidRPr="007B4583">
        <w:rPr>
          <w:sz w:val="24"/>
          <w:szCs w:val="24"/>
        </w:rPr>
        <w:t xml:space="preserve"> spreads, the literature is sparse on price forecasting. </w:t>
      </w:r>
      <w:sdt>
        <w:sdtPr>
          <w:rPr>
            <w:sz w:val="24"/>
            <w:szCs w:val="24"/>
          </w:rPr>
          <w:id w:val="-2134011259"/>
          <w:citation/>
        </w:sdtPr>
        <w:sdtContent>
          <w:r w:rsidR="00C87449" w:rsidRPr="007B4583">
            <w:rPr>
              <w:sz w:val="24"/>
              <w:szCs w:val="24"/>
            </w:rPr>
            <w:fldChar w:fldCharType="begin"/>
          </w:r>
          <w:r w:rsidR="001C3317" w:rsidRPr="007B4583">
            <w:rPr>
              <w:sz w:val="24"/>
              <w:szCs w:val="24"/>
              <w:lang w:val="en-US"/>
            </w:rPr>
            <w:instrText xml:space="preserve">CITATION Avi14 \l 1033 </w:instrText>
          </w:r>
          <w:r w:rsidR="00C87449" w:rsidRPr="007B4583">
            <w:rPr>
              <w:sz w:val="24"/>
              <w:szCs w:val="24"/>
            </w:rPr>
            <w:fldChar w:fldCharType="separate"/>
          </w:r>
          <w:r w:rsidR="001C3317" w:rsidRPr="007B4583">
            <w:rPr>
              <w:noProof/>
              <w:sz w:val="24"/>
              <w:szCs w:val="24"/>
              <w:lang w:val="en-US"/>
            </w:rPr>
            <w:t>(Avino, 2014)</w:t>
          </w:r>
          <w:r w:rsidR="00C87449" w:rsidRPr="007B4583">
            <w:rPr>
              <w:sz w:val="24"/>
              <w:szCs w:val="24"/>
            </w:rPr>
            <w:fldChar w:fldCharType="end"/>
          </w:r>
        </w:sdtContent>
      </w:sdt>
      <w:r w:rsidR="00C87449" w:rsidRPr="007B4583">
        <w:rPr>
          <w:sz w:val="24"/>
          <w:szCs w:val="24"/>
        </w:rPr>
        <w:t xml:space="preserve"> d</w:t>
      </w:r>
      <w:r w:rsidR="00950F28" w:rsidRPr="007B4583">
        <w:rPr>
          <w:sz w:val="24"/>
          <w:szCs w:val="24"/>
        </w:rPr>
        <w:t>id</w:t>
      </w:r>
      <w:r w:rsidR="00C87449" w:rsidRPr="007B4583">
        <w:rPr>
          <w:sz w:val="24"/>
          <w:szCs w:val="24"/>
        </w:rPr>
        <w:t xml:space="preserve"> an analysis of two linear forecasting models, ordinary least squares and an AR(1) model as well as a Markov regime-switching approach and found some evidence of statistical predictability. His instrument of choice was the iTraxx CDS index</w:t>
      </w:r>
      <w:r w:rsidR="006C228D" w:rsidRPr="007B4583">
        <w:rPr>
          <w:sz w:val="24"/>
          <w:szCs w:val="24"/>
        </w:rPr>
        <w:t xml:space="preserve"> and the data covered the 2008 financial crisis</w:t>
      </w:r>
      <w:r w:rsidR="00C87449" w:rsidRPr="007B4583">
        <w:rPr>
          <w:sz w:val="24"/>
          <w:szCs w:val="24"/>
        </w:rPr>
        <w:t xml:space="preserve">. </w:t>
      </w:r>
      <w:r w:rsidR="006C228D" w:rsidRPr="007B4583">
        <w:rPr>
          <w:sz w:val="24"/>
          <w:szCs w:val="24"/>
        </w:rPr>
        <w:t xml:space="preserve">iTraxx index is a </w:t>
      </w:r>
      <w:r w:rsidR="00C87449" w:rsidRPr="007B4583">
        <w:rPr>
          <w:sz w:val="24"/>
          <w:szCs w:val="24"/>
        </w:rPr>
        <w:t>pool of CDS on 125 investment grade corporates in Europe.</w:t>
      </w:r>
      <w:r w:rsidR="006C228D" w:rsidRPr="007B4583">
        <w:rPr>
          <w:sz w:val="24"/>
          <w:szCs w:val="24"/>
        </w:rPr>
        <w:t xml:space="preserve"> They found the Markov switching model underperforming the linear models under study.</w:t>
      </w:r>
    </w:p>
    <w:p w14:paraId="1B9DF983" w14:textId="738A6B73" w:rsidR="00207C99" w:rsidRPr="007B4583" w:rsidRDefault="001004F0" w:rsidP="00C061DA">
      <w:pPr>
        <w:spacing w:line="360" w:lineRule="auto"/>
        <w:rPr>
          <w:sz w:val="24"/>
          <w:szCs w:val="24"/>
        </w:rPr>
      </w:pPr>
      <w:r w:rsidRPr="007B4583">
        <w:rPr>
          <w:sz w:val="24"/>
          <w:szCs w:val="24"/>
        </w:rPr>
        <w:t>With the advent of machine learning models researchers h</w:t>
      </w:r>
      <w:r w:rsidR="00706EBA" w:rsidRPr="007B4583">
        <w:rPr>
          <w:sz w:val="24"/>
          <w:szCs w:val="24"/>
        </w:rPr>
        <w:t>ave begun to apply them to the</w:t>
      </w:r>
      <w:r w:rsidRPr="007B4583">
        <w:rPr>
          <w:sz w:val="24"/>
          <w:szCs w:val="24"/>
        </w:rPr>
        <w:t xml:space="preserve"> credit derivative markets. Support Vector Machines were applied by </w:t>
      </w:r>
      <w:sdt>
        <w:sdtPr>
          <w:rPr>
            <w:sz w:val="24"/>
            <w:szCs w:val="24"/>
          </w:rPr>
          <w:id w:val="-1342693231"/>
          <w:citation/>
        </w:sdtPr>
        <w:sdtContent>
          <w:r w:rsidRPr="007B4583">
            <w:rPr>
              <w:sz w:val="24"/>
              <w:szCs w:val="24"/>
            </w:rPr>
            <w:fldChar w:fldCharType="begin"/>
          </w:r>
          <w:r w:rsidRPr="007B4583">
            <w:rPr>
              <w:sz w:val="24"/>
              <w:szCs w:val="24"/>
              <w:lang w:val="en-US"/>
            </w:rPr>
            <w:instrText xml:space="preserve"> CITATION Gün11 \l 1033 </w:instrText>
          </w:r>
          <w:r w:rsidRPr="007B4583">
            <w:rPr>
              <w:sz w:val="24"/>
              <w:szCs w:val="24"/>
            </w:rPr>
            <w:fldChar w:fldCharType="separate"/>
          </w:r>
          <w:r w:rsidRPr="007B4583">
            <w:rPr>
              <w:noProof/>
              <w:sz w:val="24"/>
              <w:szCs w:val="24"/>
              <w:lang w:val="en-US"/>
            </w:rPr>
            <w:t>(Gündüz, 2011)</w:t>
          </w:r>
          <w:r w:rsidRPr="007B4583">
            <w:rPr>
              <w:sz w:val="24"/>
              <w:szCs w:val="24"/>
            </w:rPr>
            <w:fldChar w:fldCharType="end"/>
          </w:r>
        </w:sdtContent>
      </w:sdt>
      <w:r w:rsidRPr="007B4583">
        <w:rPr>
          <w:sz w:val="24"/>
          <w:szCs w:val="24"/>
        </w:rPr>
        <w:t xml:space="preserve"> to </w:t>
      </w:r>
      <w:r w:rsidRPr="007B4583">
        <w:rPr>
          <w:sz w:val="24"/>
          <w:szCs w:val="24"/>
        </w:rPr>
        <w:lastRenderedPageBreak/>
        <w:t>single-name CDS prices and were found to outperform the Merton model.</w:t>
      </w:r>
      <w:r w:rsidR="00C10F85" w:rsidRPr="007B4583">
        <w:rPr>
          <w:sz w:val="24"/>
          <w:szCs w:val="24"/>
        </w:rPr>
        <w:t xml:space="preserve"> </w:t>
      </w:r>
      <w:sdt>
        <w:sdtPr>
          <w:rPr>
            <w:sz w:val="24"/>
            <w:szCs w:val="24"/>
          </w:rPr>
          <w:id w:val="2096814410"/>
          <w:citation/>
        </w:sdtPr>
        <w:sdtContent>
          <w:r w:rsidR="00C10F85" w:rsidRPr="007B4583">
            <w:rPr>
              <w:sz w:val="24"/>
              <w:szCs w:val="24"/>
            </w:rPr>
            <w:fldChar w:fldCharType="begin"/>
          </w:r>
          <w:r w:rsidR="00C10F85" w:rsidRPr="007B4583">
            <w:rPr>
              <w:sz w:val="24"/>
              <w:szCs w:val="24"/>
              <w:lang w:val="en-US"/>
            </w:rPr>
            <w:instrText xml:space="preserve"> CITATION Zha18 \l 1033 </w:instrText>
          </w:r>
          <w:r w:rsidR="00C10F85" w:rsidRPr="007B4583">
            <w:rPr>
              <w:sz w:val="24"/>
              <w:szCs w:val="24"/>
            </w:rPr>
            <w:fldChar w:fldCharType="separate"/>
          </w:r>
          <w:r w:rsidR="00C10F85" w:rsidRPr="007B4583">
            <w:rPr>
              <w:noProof/>
              <w:sz w:val="24"/>
              <w:szCs w:val="24"/>
              <w:lang w:val="en-US"/>
            </w:rPr>
            <w:t>(Zhang, 2018)</w:t>
          </w:r>
          <w:r w:rsidR="00C10F85" w:rsidRPr="007B4583">
            <w:rPr>
              <w:sz w:val="24"/>
              <w:szCs w:val="24"/>
            </w:rPr>
            <w:fldChar w:fldCharType="end"/>
          </w:r>
        </w:sdtContent>
      </w:sdt>
      <w:r w:rsidR="00C10F85" w:rsidRPr="007B4583">
        <w:rPr>
          <w:sz w:val="24"/>
          <w:szCs w:val="24"/>
        </w:rPr>
        <w:t xml:space="preserve"> expands on this study by predicting the returns rather than the CDS prices and also adds a few features.</w:t>
      </w:r>
    </w:p>
    <w:p w14:paraId="713F9BB5" w14:textId="28194D88" w:rsidR="00A33575" w:rsidRPr="007B4583" w:rsidRDefault="00D16C5D" w:rsidP="00C061DA">
      <w:pPr>
        <w:spacing w:line="360" w:lineRule="auto"/>
        <w:rPr>
          <w:sz w:val="24"/>
          <w:szCs w:val="24"/>
        </w:rPr>
      </w:pPr>
      <w:r w:rsidRPr="007B4583">
        <w:rPr>
          <w:sz w:val="24"/>
          <w:szCs w:val="24"/>
        </w:rPr>
        <w:t xml:space="preserve">In an IMF working paper by </w:t>
      </w:r>
      <w:sdt>
        <w:sdtPr>
          <w:rPr>
            <w:sz w:val="24"/>
            <w:szCs w:val="24"/>
          </w:rPr>
          <w:id w:val="628441642"/>
          <w:citation/>
        </w:sdtPr>
        <w:sdtContent>
          <w:r w:rsidRPr="007B4583">
            <w:rPr>
              <w:sz w:val="24"/>
              <w:szCs w:val="24"/>
            </w:rPr>
            <w:fldChar w:fldCharType="begin"/>
          </w:r>
          <w:r w:rsidRPr="007B4583">
            <w:rPr>
              <w:sz w:val="24"/>
              <w:szCs w:val="24"/>
              <w:lang w:val="en-US"/>
            </w:rPr>
            <w:instrText xml:space="preserve"> CITATION HuN19 \l 1033 </w:instrText>
          </w:r>
          <w:r w:rsidRPr="007B4583">
            <w:rPr>
              <w:sz w:val="24"/>
              <w:szCs w:val="24"/>
            </w:rPr>
            <w:fldChar w:fldCharType="separate"/>
          </w:r>
          <w:r w:rsidRPr="007B4583">
            <w:rPr>
              <w:noProof/>
              <w:sz w:val="24"/>
              <w:szCs w:val="24"/>
              <w:lang w:val="en-US"/>
            </w:rPr>
            <w:t>(Hu, 2019)</w:t>
          </w:r>
          <w:r w:rsidRPr="007B4583">
            <w:rPr>
              <w:sz w:val="24"/>
              <w:szCs w:val="24"/>
            </w:rPr>
            <w:fldChar w:fldCharType="end"/>
          </w:r>
        </w:sdtContent>
      </w:sdt>
      <w:r w:rsidRPr="007B4583">
        <w:rPr>
          <w:sz w:val="24"/>
          <w:szCs w:val="24"/>
        </w:rPr>
        <w:t xml:space="preserve"> ensemble machine learning methods were applied on firm level accounting-based, market-based and macroeconomic variables to generate CDS spreads which can be helpful for arriving at CDS spreads for companies who don’t have an active CDS market.</w:t>
      </w:r>
      <w:r w:rsidR="00490AFF" w:rsidRPr="007B4583">
        <w:rPr>
          <w:sz w:val="24"/>
          <w:szCs w:val="24"/>
        </w:rPr>
        <w:t xml:space="preserve"> The ensemble methods used were </w:t>
      </w:r>
      <w:r w:rsidR="00490AFF" w:rsidRPr="007B4583">
        <w:rPr>
          <w:sz w:val="24"/>
          <w:szCs w:val="24"/>
        </w:rPr>
        <w:t>Bagging, Gradient Boosting and Random Forest</w:t>
      </w:r>
      <w:r w:rsidR="00490AFF" w:rsidRPr="007B4583">
        <w:rPr>
          <w:sz w:val="24"/>
          <w:szCs w:val="24"/>
        </w:rPr>
        <w:t>.</w:t>
      </w:r>
    </w:p>
    <w:p w14:paraId="76587652" w14:textId="1F4379B8" w:rsidR="00A33575" w:rsidRPr="007B4583" w:rsidRDefault="00164553" w:rsidP="00C061DA">
      <w:pPr>
        <w:spacing w:line="360" w:lineRule="auto"/>
        <w:rPr>
          <w:sz w:val="24"/>
          <w:szCs w:val="24"/>
        </w:rPr>
      </w:pPr>
      <w:r w:rsidRPr="007B4583">
        <w:rPr>
          <w:sz w:val="24"/>
          <w:szCs w:val="24"/>
        </w:rPr>
        <w:t>Are CDS spreads predictable?</w:t>
      </w:r>
      <w:r w:rsidR="000D1148" w:rsidRPr="007B4583">
        <w:rPr>
          <w:sz w:val="24"/>
          <w:szCs w:val="24"/>
        </w:rPr>
        <w:t xml:space="preserve"> And does efficient market hypothesis</w:t>
      </w:r>
      <w:r w:rsidR="00F017B1" w:rsidRPr="007B4583">
        <w:rPr>
          <w:sz w:val="24"/>
          <w:szCs w:val="24"/>
        </w:rPr>
        <w:t xml:space="preserve"> apply to the credit derivatives </w:t>
      </w:r>
      <w:r w:rsidR="000D1148" w:rsidRPr="007B4583">
        <w:rPr>
          <w:sz w:val="24"/>
          <w:szCs w:val="24"/>
        </w:rPr>
        <w:t xml:space="preserve">markets? With this dual goals </w:t>
      </w:r>
      <w:sdt>
        <w:sdtPr>
          <w:rPr>
            <w:sz w:val="24"/>
            <w:szCs w:val="24"/>
          </w:rPr>
          <w:id w:val="2135057674"/>
          <w:citation/>
        </w:sdtPr>
        <w:sdtContent>
          <w:r w:rsidR="000D1148" w:rsidRPr="007B4583">
            <w:rPr>
              <w:sz w:val="24"/>
              <w:szCs w:val="24"/>
            </w:rPr>
            <w:fldChar w:fldCharType="begin"/>
          </w:r>
          <w:r w:rsidR="000D1148" w:rsidRPr="007B4583">
            <w:rPr>
              <w:sz w:val="24"/>
              <w:szCs w:val="24"/>
              <w:lang w:val="en-US"/>
            </w:rPr>
            <w:instrText xml:space="preserve"> CITATION Vuk22 \l 1033 </w:instrText>
          </w:r>
          <w:r w:rsidR="000D1148" w:rsidRPr="007B4583">
            <w:rPr>
              <w:sz w:val="24"/>
              <w:szCs w:val="24"/>
            </w:rPr>
            <w:fldChar w:fldCharType="separate"/>
          </w:r>
          <w:r w:rsidR="000D1148" w:rsidRPr="007B4583">
            <w:rPr>
              <w:noProof/>
              <w:sz w:val="24"/>
              <w:szCs w:val="24"/>
              <w:lang w:val="en-US"/>
            </w:rPr>
            <w:t>(Vukovic, 2022)</w:t>
          </w:r>
          <w:r w:rsidR="000D1148" w:rsidRPr="007B4583">
            <w:rPr>
              <w:sz w:val="24"/>
              <w:szCs w:val="24"/>
            </w:rPr>
            <w:fldChar w:fldCharType="end"/>
          </w:r>
        </w:sdtContent>
      </w:sdt>
      <w:r w:rsidR="000D1148" w:rsidRPr="007B4583">
        <w:rPr>
          <w:sz w:val="24"/>
          <w:szCs w:val="24"/>
        </w:rPr>
        <w:t xml:space="preserve"> investigated the daily CDS spreads for 513 leading US companies over the time-period 2009-2020. The study splits the period as pre and post Covid-19 to check if there were changes in the market efficiency. The forecasting tools they used were Support Vector Machines, Group Method of Data Handling, Long Short-Term Memory and Markov switching autoregression.</w:t>
      </w:r>
      <w:r w:rsidR="00740A34" w:rsidRPr="007B4583">
        <w:rPr>
          <w:sz w:val="24"/>
          <w:szCs w:val="24"/>
        </w:rPr>
        <w:t xml:space="preserve"> The results show the prediction results are not very different before and during Covid-19. But they did find that the market became less efficient during the pandemic. The GMDH</w:t>
      </w:r>
      <w:r w:rsidR="0060507A" w:rsidRPr="007B4583">
        <w:rPr>
          <w:sz w:val="24"/>
          <w:szCs w:val="24"/>
        </w:rPr>
        <w:t xml:space="preserve"> and MSA models</w:t>
      </w:r>
      <w:r w:rsidR="00740A34" w:rsidRPr="007B4583">
        <w:rPr>
          <w:sz w:val="24"/>
          <w:szCs w:val="24"/>
        </w:rPr>
        <w:t xml:space="preserve"> outperformed SVM and LSTM</w:t>
      </w:r>
      <w:r w:rsidR="0060507A" w:rsidRPr="007B4583">
        <w:rPr>
          <w:sz w:val="24"/>
          <w:szCs w:val="24"/>
        </w:rPr>
        <w:t>.</w:t>
      </w:r>
    </w:p>
    <w:p w14:paraId="6114C0C5" w14:textId="4842CF58" w:rsidR="000D1148" w:rsidRPr="007B4583" w:rsidRDefault="000A62B7" w:rsidP="00C061DA">
      <w:pPr>
        <w:spacing w:line="360" w:lineRule="auto"/>
        <w:rPr>
          <w:sz w:val="24"/>
          <w:szCs w:val="24"/>
        </w:rPr>
      </w:pPr>
      <w:r w:rsidRPr="007B4583">
        <w:rPr>
          <w:sz w:val="24"/>
          <w:szCs w:val="24"/>
        </w:rPr>
        <w:t>As we can see the latest machine learning and deep learning models for time series forecasting of credit default swaps spreads has been able to provide better results compared to traditional methods. This is consistent with the findings in other asset cla</w:t>
      </w:r>
      <w:r w:rsidR="006376DC" w:rsidRPr="007B4583">
        <w:rPr>
          <w:sz w:val="24"/>
          <w:szCs w:val="24"/>
        </w:rPr>
        <w:t>sses where researchers have been reporting superior results.</w:t>
      </w:r>
      <w:r w:rsidR="00190EA9" w:rsidRPr="007B4583">
        <w:rPr>
          <w:sz w:val="24"/>
          <w:szCs w:val="24"/>
        </w:rPr>
        <w:t xml:space="preserve"> This also means that efficient market hypothesis may not hold for CDS price movements and the moves may not be mere random walks.</w:t>
      </w:r>
      <w:r w:rsidR="00354BBB" w:rsidRPr="007B4583">
        <w:rPr>
          <w:sz w:val="24"/>
          <w:szCs w:val="24"/>
        </w:rPr>
        <w:t xml:space="preserve"> Fractal Market Hypothesis </w:t>
      </w:r>
      <w:r w:rsidR="00C90A88" w:rsidRPr="007B4583">
        <w:rPr>
          <w:sz w:val="24"/>
          <w:szCs w:val="24"/>
        </w:rPr>
        <w:t xml:space="preserve">(FMH) </w:t>
      </w:r>
      <w:r w:rsidR="00354BBB" w:rsidRPr="007B4583">
        <w:rPr>
          <w:sz w:val="24"/>
          <w:szCs w:val="24"/>
        </w:rPr>
        <w:t>could be an alternative for CDS prices</w:t>
      </w:r>
      <w:r w:rsidR="0024326D" w:rsidRPr="007B4583">
        <w:rPr>
          <w:sz w:val="24"/>
          <w:szCs w:val="24"/>
        </w:rPr>
        <w:t xml:space="preserve"> especially during periods of market turbulence.</w:t>
      </w:r>
    </w:p>
    <w:p w14:paraId="3CEA7A3F" w14:textId="77777777" w:rsidR="00865686" w:rsidRPr="007B4583" w:rsidRDefault="00C90A88" w:rsidP="00C061DA">
      <w:pPr>
        <w:spacing w:line="360" w:lineRule="auto"/>
        <w:rPr>
          <w:sz w:val="24"/>
          <w:szCs w:val="24"/>
        </w:rPr>
      </w:pPr>
      <w:r w:rsidRPr="007B4583">
        <w:rPr>
          <w:sz w:val="24"/>
          <w:szCs w:val="24"/>
        </w:rPr>
        <w:t>FMH studies have been conducted on various markets using a variety of methods to establish the fractal properties of the time series.</w:t>
      </w:r>
      <w:r w:rsidR="000E2E3E" w:rsidRPr="007B4583">
        <w:rPr>
          <w:sz w:val="24"/>
          <w:szCs w:val="24"/>
        </w:rPr>
        <w:t xml:space="preserve"> Using the CDS spreads of Turkey, Russia, South Africa and Brazil,</w:t>
      </w:r>
      <w:r w:rsidRPr="007B4583">
        <w:rPr>
          <w:sz w:val="24"/>
          <w:szCs w:val="24"/>
        </w:rPr>
        <w:t xml:space="preserve"> </w:t>
      </w:r>
      <w:sdt>
        <w:sdtPr>
          <w:rPr>
            <w:sz w:val="24"/>
            <w:szCs w:val="24"/>
          </w:rPr>
          <w:id w:val="-1526317238"/>
          <w:citation/>
        </w:sdtPr>
        <w:sdtContent>
          <w:r w:rsidR="000E2E3E" w:rsidRPr="007B4583">
            <w:rPr>
              <w:sz w:val="24"/>
              <w:szCs w:val="24"/>
            </w:rPr>
            <w:fldChar w:fldCharType="begin"/>
          </w:r>
          <w:r w:rsidR="000E2E3E" w:rsidRPr="007B4583">
            <w:rPr>
              <w:sz w:val="24"/>
              <w:szCs w:val="24"/>
              <w:lang w:val="en-US"/>
            </w:rPr>
            <w:instrText xml:space="preserve"> CITATION Gün16 \l 1033 </w:instrText>
          </w:r>
          <w:r w:rsidR="000E2E3E" w:rsidRPr="007B4583">
            <w:rPr>
              <w:sz w:val="24"/>
              <w:szCs w:val="24"/>
            </w:rPr>
            <w:fldChar w:fldCharType="separate"/>
          </w:r>
          <w:r w:rsidR="000E2E3E" w:rsidRPr="007B4583">
            <w:rPr>
              <w:noProof/>
              <w:sz w:val="24"/>
              <w:szCs w:val="24"/>
              <w:lang w:val="en-US"/>
            </w:rPr>
            <w:t>(Günay, 2016)</w:t>
          </w:r>
          <w:r w:rsidR="000E2E3E" w:rsidRPr="007B4583">
            <w:rPr>
              <w:sz w:val="24"/>
              <w:szCs w:val="24"/>
            </w:rPr>
            <w:fldChar w:fldCharType="end"/>
          </w:r>
        </w:sdtContent>
      </w:sdt>
      <w:r w:rsidR="000E2E3E" w:rsidRPr="007B4583">
        <w:rPr>
          <w:sz w:val="24"/>
          <w:szCs w:val="24"/>
        </w:rPr>
        <w:t xml:space="preserve"> examine the long-memory dependency in its volatility.</w:t>
      </w:r>
      <w:r w:rsidR="009438AD" w:rsidRPr="007B4583">
        <w:rPr>
          <w:sz w:val="24"/>
          <w:szCs w:val="24"/>
        </w:rPr>
        <w:t xml:space="preserve"> </w:t>
      </w:r>
      <w:r w:rsidRPr="007B4583">
        <w:rPr>
          <w:sz w:val="24"/>
          <w:szCs w:val="24"/>
        </w:rPr>
        <w:t xml:space="preserve">Hurst Exponent Analysis </w:t>
      </w:r>
      <w:r w:rsidR="009438AD" w:rsidRPr="007B4583">
        <w:rPr>
          <w:sz w:val="24"/>
          <w:szCs w:val="24"/>
        </w:rPr>
        <w:t xml:space="preserve">was used by </w:t>
      </w:r>
      <w:sdt>
        <w:sdtPr>
          <w:rPr>
            <w:sz w:val="24"/>
            <w:szCs w:val="24"/>
          </w:rPr>
          <w:id w:val="51435806"/>
          <w:citation/>
        </w:sdtPr>
        <w:sdtContent>
          <w:r w:rsidR="009438AD" w:rsidRPr="007B4583">
            <w:rPr>
              <w:sz w:val="24"/>
              <w:szCs w:val="24"/>
            </w:rPr>
            <w:fldChar w:fldCharType="begin"/>
          </w:r>
          <w:r w:rsidR="009438AD" w:rsidRPr="007B4583">
            <w:rPr>
              <w:sz w:val="24"/>
              <w:szCs w:val="24"/>
              <w:lang w:val="en-US"/>
            </w:rPr>
            <w:instrText xml:space="preserve"> CITATION Bal22 \l 1033 </w:instrText>
          </w:r>
          <w:r w:rsidR="009438AD" w:rsidRPr="007B4583">
            <w:rPr>
              <w:sz w:val="24"/>
              <w:szCs w:val="24"/>
            </w:rPr>
            <w:fldChar w:fldCharType="separate"/>
          </w:r>
          <w:r w:rsidR="009438AD" w:rsidRPr="007B4583">
            <w:rPr>
              <w:noProof/>
              <w:sz w:val="24"/>
              <w:szCs w:val="24"/>
              <w:lang w:val="en-US"/>
            </w:rPr>
            <w:t>(Balkan, 2022)</w:t>
          </w:r>
          <w:r w:rsidR="009438AD" w:rsidRPr="007B4583">
            <w:rPr>
              <w:sz w:val="24"/>
              <w:szCs w:val="24"/>
            </w:rPr>
            <w:fldChar w:fldCharType="end"/>
          </w:r>
        </w:sdtContent>
      </w:sdt>
      <w:r w:rsidR="009438AD" w:rsidRPr="007B4583">
        <w:rPr>
          <w:sz w:val="24"/>
          <w:szCs w:val="24"/>
        </w:rPr>
        <w:t xml:space="preserve"> on the CDS spreads for 34 OECD countries between March 2003 and February 2020. Using rescaled range analysis with </w:t>
      </w:r>
      <w:r w:rsidR="009438AD" w:rsidRPr="007B4583">
        <w:rPr>
          <w:sz w:val="24"/>
          <w:szCs w:val="24"/>
        </w:rPr>
        <w:lastRenderedPageBreak/>
        <w:t>four different frequencies the researchers were able to show persistency in all CDS spreads and therefore upholding the FMH.</w:t>
      </w:r>
      <w:r w:rsidR="000E2E3E" w:rsidRPr="007B4583">
        <w:rPr>
          <w:sz w:val="24"/>
          <w:szCs w:val="24"/>
        </w:rPr>
        <w:t xml:space="preserve"> </w:t>
      </w:r>
    </w:p>
    <w:p w14:paraId="6F5DDEA5" w14:textId="105C417C" w:rsidR="000A62B7" w:rsidRPr="007B4583" w:rsidRDefault="00865686" w:rsidP="00C061DA">
      <w:pPr>
        <w:spacing w:line="360" w:lineRule="auto"/>
        <w:rPr>
          <w:sz w:val="24"/>
          <w:szCs w:val="24"/>
        </w:rPr>
      </w:pPr>
      <w:r w:rsidRPr="007B4583">
        <w:rPr>
          <w:sz w:val="24"/>
          <w:szCs w:val="24"/>
        </w:rPr>
        <w:t xml:space="preserve"> The pricing of CDS under </w:t>
      </w:r>
      <w:r w:rsidRPr="007B4583">
        <w:rPr>
          <w:sz w:val="24"/>
          <w:szCs w:val="24"/>
        </w:rPr>
        <w:t>Generalized Mixed Fractional Brownian motion</w:t>
      </w:r>
      <w:r w:rsidRPr="007B4583">
        <w:rPr>
          <w:sz w:val="24"/>
          <w:szCs w:val="24"/>
        </w:rPr>
        <w:t xml:space="preserve"> has been considered by </w:t>
      </w:r>
      <w:sdt>
        <w:sdtPr>
          <w:rPr>
            <w:sz w:val="24"/>
            <w:szCs w:val="24"/>
          </w:rPr>
          <w:id w:val="-1221122412"/>
          <w:citation/>
        </w:sdtPr>
        <w:sdtContent>
          <w:r w:rsidRPr="007B4583">
            <w:rPr>
              <w:sz w:val="24"/>
              <w:szCs w:val="24"/>
            </w:rPr>
            <w:fldChar w:fldCharType="begin"/>
          </w:r>
          <w:r w:rsidRPr="007B4583">
            <w:rPr>
              <w:sz w:val="24"/>
              <w:szCs w:val="24"/>
              <w:lang w:val="en-US"/>
            </w:rPr>
            <w:instrText xml:space="preserve"> CITATION HeX14 \l 1033 </w:instrText>
          </w:r>
          <w:r w:rsidRPr="007B4583">
            <w:rPr>
              <w:sz w:val="24"/>
              <w:szCs w:val="24"/>
            </w:rPr>
            <w:fldChar w:fldCharType="separate"/>
          </w:r>
          <w:r w:rsidRPr="007B4583">
            <w:rPr>
              <w:noProof/>
              <w:sz w:val="24"/>
              <w:szCs w:val="24"/>
              <w:lang w:val="en-US"/>
            </w:rPr>
            <w:t>(He, 2014)</w:t>
          </w:r>
          <w:r w:rsidRPr="007B4583">
            <w:rPr>
              <w:sz w:val="24"/>
              <w:szCs w:val="24"/>
            </w:rPr>
            <w:fldChar w:fldCharType="end"/>
          </w:r>
        </w:sdtContent>
      </w:sdt>
      <w:r w:rsidR="002D1696" w:rsidRPr="007B4583">
        <w:rPr>
          <w:sz w:val="24"/>
          <w:szCs w:val="24"/>
        </w:rPr>
        <w:t xml:space="preserve"> and they provide a closed-form analytical expression for the CDS under risk-neutral assumption.</w:t>
      </w:r>
      <w:r w:rsidR="00BE1DC1" w:rsidRPr="007B4583">
        <w:rPr>
          <w:sz w:val="24"/>
          <w:szCs w:val="24"/>
        </w:rPr>
        <w:t xml:space="preserve"> The long memory in highly volatile time series of cryptocurrencies is examined </w:t>
      </w:r>
      <w:r w:rsidR="00BA226B" w:rsidRPr="007B4583">
        <w:rPr>
          <w:sz w:val="24"/>
          <w:szCs w:val="24"/>
        </w:rPr>
        <w:t>using Hurst exponents of log returns</w:t>
      </w:r>
      <w:r w:rsidR="00BE1DC1" w:rsidRPr="007B4583">
        <w:rPr>
          <w:sz w:val="24"/>
          <w:szCs w:val="24"/>
        </w:rPr>
        <w:t xml:space="preserve"> in </w:t>
      </w:r>
      <w:sdt>
        <w:sdtPr>
          <w:rPr>
            <w:sz w:val="24"/>
            <w:szCs w:val="24"/>
          </w:rPr>
          <w:id w:val="747159560"/>
          <w:citation/>
        </w:sdtPr>
        <w:sdtContent>
          <w:r w:rsidR="00BE1DC1" w:rsidRPr="007B4583">
            <w:rPr>
              <w:sz w:val="24"/>
              <w:szCs w:val="24"/>
            </w:rPr>
            <w:fldChar w:fldCharType="begin"/>
          </w:r>
          <w:r w:rsidR="00BE1DC1" w:rsidRPr="007B4583">
            <w:rPr>
              <w:sz w:val="24"/>
              <w:szCs w:val="24"/>
              <w:lang w:val="en-US"/>
            </w:rPr>
            <w:instrText xml:space="preserve"> CITATION She22 \l 1033 </w:instrText>
          </w:r>
          <w:r w:rsidR="00BE1DC1" w:rsidRPr="007B4583">
            <w:rPr>
              <w:sz w:val="24"/>
              <w:szCs w:val="24"/>
            </w:rPr>
            <w:fldChar w:fldCharType="separate"/>
          </w:r>
          <w:r w:rsidR="00BE1DC1" w:rsidRPr="007B4583">
            <w:rPr>
              <w:noProof/>
              <w:sz w:val="24"/>
              <w:szCs w:val="24"/>
              <w:lang w:val="en-US"/>
            </w:rPr>
            <w:t>(Sheraz, 2022)</w:t>
          </w:r>
          <w:r w:rsidR="00BE1DC1" w:rsidRPr="007B4583">
            <w:rPr>
              <w:sz w:val="24"/>
              <w:szCs w:val="24"/>
            </w:rPr>
            <w:fldChar w:fldCharType="end"/>
          </w:r>
        </w:sdtContent>
      </w:sdt>
      <w:r w:rsidR="00BE1DC1" w:rsidRPr="007B4583">
        <w:rPr>
          <w:sz w:val="24"/>
          <w:szCs w:val="24"/>
        </w:rPr>
        <w:t xml:space="preserve"> as this nascent market has demonstrated sufficient divergence from normal distribution assumption.</w:t>
      </w:r>
    </w:p>
    <w:p w14:paraId="0D517765" w14:textId="1D06E03B" w:rsidR="00DA6B47" w:rsidRPr="007B4583" w:rsidRDefault="00897FF8" w:rsidP="00C061DA">
      <w:pPr>
        <w:spacing w:line="360" w:lineRule="auto"/>
        <w:rPr>
          <w:sz w:val="24"/>
          <w:szCs w:val="24"/>
        </w:rPr>
      </w:pPr>
      <w:r w:rsidRPr="007B4583">
        <w:rPr>
          <w:sz w:val="24"/>
          <w:szCs w:val="24"/>
        </w:rPr>
        <w:t>Our literature survey</w:t>
      </w:r>
      <w:r w:rsidR="00472C01" w:rsidRPr="007B4583">
        <w:rPr>
          <w:sz w:val="24"/>
          <w:szCs w:val="24"/>
        </w:rPr>
        <w:t xml:space="preserve"> has thrown evidence of long-term memory in CDS prices from two independent approaches that researchers have taken: fractal markets and deep learning model like LSTM. This</w:t>
      </w:r>
      <w:r w:rsidRPr="007B4583">
        <w:rPr>
          <w:sz w:val="24"/>
          <w:szCs w:val="24"/>
        </w:rPr>
        <w:t xml:space="preserve"> motivates us </w:t>
      </w:r>
      <w:r w:rsidR="00472C01" w:rsidRPr="007B4583">
        <w:rPr>
          <w:sz w:val="24"/>
          <w:szCs w:val="24"/>
        </w:rPr>
        <w:t>to combine the two approaches and see if better forecasting results can be achieved</w:t>
      </w:r>
      <w:r w:rsidRPr="007B4583">
        <w:rPr>
          <w:sz w:val="24"/>
          <w:szCs w:val="24"/>
        </w:rPr>
        <w:t xml:space="preserve">. </w:t>
      </w:r>
      <w:r w:rsidR="00A33575" w:rsidRPr="007B4583">
        <w:rPr>
          <w:sz w:val="24"/>
          <w:szCs w:val="24"/>
        </w:rPr>
        <w:t xml:space="preserve">In this study we focus on </w:t>
      </w:r>
      <w:r w:rsidR="00903D68" w:rsidRPr="007B4583">
        <w:rPr>
          <w:sz w:val="24"/>
          <w:szCs w:val="24"/>
        </w:rPr>
        <w:t xml:space="preserve">Hurst Exponent </w:t>
      </w:r>
      <w:r w:rsidR="00A33575" w:rsidRPr="007B4583">
        <w:rPr>
          <w:sz w:val="24"/>
          <w:szCs w:val="24"/>
        </w:rPr>
        <w:t xml:space="preserve">Analysis </w:t>
      </w:r>
      <w:r w:rsidR="00903D68" w:rsidRPr="007B4583">
        <w:rPr>
          <w:sz w:val="24"/>
          <w:szCs w:val="24"/>
        </w:rPr>
        <w:t xml:space="preserve">for short term trading </w:t>
      </w:r>
      <w:r w:rsidR="00A33575" w:rsidRPr="007B4583">
        <w:rPr>
          <w:sz w:val="24"/>
          <w:szCs w:val="24"/>
        </w:rPr>
        <w:t>of CDX.NA.IG</w:t>
      </w:r>
      <w:r w:rsidR="00903D68" w:rsidRPr="007B4583">
        <w:rPr>
          <w:sz w:val="24"/>
          <w:szCs w:val="24"/>
        </w:rPr>
        <w:t xml:space="preserve">. </w:t>
      </w:r>
      <w:r w:rsidR="00A33575" w:rsidRPr="007B4583">
        <w:rPr>
          <w:sz w:val="24"/>
          <w:szCs w:val="24"/>
        </w:rPr>
        <w:t xml:space="preserve">We will use </w:t>
      </w:r>
      <w:r w:rsidR="00903D68" w:rsidRPr="007B4583">
        <w:rPr>
          <w:sz w:val="24"/>
          <w:szCs w:val="24"/>
        </w:rPr>
        <w:t xml:space="preserve">Hurst Exponent to classify </w:t>
      </w:r>
      <w:r w:rsidR="00A33575" w:rsidRPr="007B4583">
        <w:rPr>
          <w:sz w:val="24"/>
          <w:szCs w:val="24"/>
        </w:rPr>
        <w:t>our</w:t>
      </w:r>
      <w:r w:rsidR="00903D68" w:rsidRPr="007B4583">
        <w:rPr>
          <w:sz w:val="24"/>
          <w:szCs w:val="24"/>
        </w:rPr>
        <w:t xml:space="preserve"> time series as trending or mean-reverting. Mean-reversion occurs over shorter timeframes and since our focus is short term trading we expect to do </w:t>
      </w:r>
      <w:r w:rsidR="00EF7429" w:rsidRPr="007B4583">
        <w:rPr>
          <w:sz w:val="24"/>
          <w:szCs w:val="24"/>
        </w:rPr>
        <w:t>more</w:t>
      </w:r>
      <w:r w:rsidR="00903D68" w:rsidRPr="007B4583">
        <w:rPr>
          <w:sz w:val="24"/>
          <w:szCs w:val="24"/>
        </w:rPr>
        <w:t xml:space="preserve"> work identifying the mean reversion signals.</w:t>
      </w:r>
      <w:r w:rsidR="00A33575" w:rsidRPr="007B4583">
        <w:rPr>
          <w:sz w:val="24"/>
          <w:szCs w:val="24"/>
        </w:rPr>
        <w:t xml:space="preserve"> </w:t>
      </w:r>
      <w:r w:rsidR="00DA6B47" w:rsidRPr="007B4583">
        <w:rPr>
          <w:sz w:val="24"/>
          <w:szCs w:val="24"/>
        </w:rPr>
        <w:t xml:space="preserve">We </w:t>
      </w:r>
      <w:r w:rsidR="00A33575" w:rsidRPr="007B4583">
        <w:rPr>
          <w:sz w:val="24"/>
          <w:szCs w:val="24"/>
        </w:rPr>
        <w:t>might</w:t>
      </w:r>
      <w:r w:rsidR="00DA6B47" w:rsidRPr="007B4583">
        <w:rPr>
          <w:sz w:val="24"/>
          <w:szCs w:val="24"/>
        </w:rPr>
        <w:t xml:space="preserve"> use </w:t>
      </w:r>
      <w:r w:rsidR="00A33575" w:rsidRPr="007B4583">
        <w:rPr>
          <w:sz w:val="24"/>
          <w:szCs w:val="24"/>
        </w:rPr>
        <w:t xml:space="preserve">other signals and indicators like </w:t>
      </w:r>
      <w:r w:rsidR="00DA6B47" w:rsidRPr="007B4583">
        <w:rPr>
          <w:sz w:val="24"/>
          <w:szCs w:val="24"/>
        </w:rPr>
        <w:t>moving average or RSI i</w:t>
      </w:r>
      <w:r w:rsidR="00F3194F" w:rsidRPr="007B4583">
        <w:rPr>
          <w:sz w:val="24"/>
          <w:szCs w:val="24"/>
        </w:rPr>
        <w:t>ndicators to enter into a trade and test alpha generating trading strategies.</w:t>
      </w:r>
      <w:r w:rsidR="002B48C2" w:rsidRPr="007B4583">
        <w:rPr>
          <w:sz w:val="24"/>
          <w:szCs w:val="24"/>
        </w:rPr>
        <w:t xml:space="preserve"> We also explore machine learning and deep learning models for comparison with our Hurst model.</w:t>
      </w:r>
      <w:r w:rsidR="005A48D4" w:rsidRPr="007B4583">
        <w:rPr>
          <w:sz w:val="24"/>
          <w:szCs w:val="24"/>
        </w:rPr>
        <w:t xml:space="preserve"> To our knowledge there are no study using Hurst Exponent and machine learning</w:t>
      </w:r>
      <w:r w:rsidR="00472C01" w:rsidRPr="007B4583">
        <w:rPr>
          <w:sz w:val="24"/>
          <w:szCs w:val="24"/>
        </w:rPr>
        <w:t>/deep learning</w:t>
      </w:r>
      <w:r w:rsidR="005A48D4" w:rsidRPr="007B4583">
        <w:rPr>
          <w:sz w:val="24"/>
          <w:szCs w:val="24"/>
        </w:rPr>
        <w:t xml:space="preserve"> at the same time.</w:t>
      </w:r>
    </w:p>
    <w:p w14:paraId="7C9DBFCC" w14:textId="2178D7E7" w:rsidR="00686740" w:rsidRPr="00686740" w:rsidRDefault="00686740" w:rsidP="00686740">
      <w:pPr>
        <w:shd w:val="clear" w:color="auto" w:fill="FFFFFF"/>
        <w:spacing w:after="0" w:line="240" w:lineRule="auto"/>
        <w:rPr>
          <w:rFonts w:ascii="Arial" w:hAnsi="Arial" w:cs="Arial"/>
          <w:color w:val="111827"/>
        </w:rPr>
      </w:pPr>
    </w:p>
    <w:p w14:paraId="6B64BC9E" w14:textId="77777777" w:rsidR="00686740" w:rsidRDefault="00686740">
      <w:pPr>
        <w:rPr>
          <w:rFonts w:asciiTheme="majorHAnsi" w:eastAsiaTheme="majorEastAsia" w:hAnsiTheme="majorHAnsi" w:cstheme="majorBidi"/>
          <w:color w:val="2F5496" w:themeColor="accent1" w:themeShade="BF"/>
          <w:sz w:val="32"/>
          <w:szCs w:val="32"/>
        </w:rPr>
      </w:pPr>
      <w:r>
        <w:br w:type="page"/>
      </w:r>
    </w:p>
    <w:p w14:paraId="1A837928" w14:textId="6B95C2F2" w:rsidR="00686740" w:rsidRDefault="00686740" w:rsidP="00686740">
      <w:pPr>
        <w:pStyle w:val="Heading1"/>
      </w:pPr>
      <w:r>
        <w:lastRenderedPageBreak/>
        <w:t>Design</w:t>
      </w:r>
    </w:p>
    <w:p w14:paraId="12DCDED6" w14:textId="11C6655C" w:rsidR="00AA1B7B" w:rsidRDefault="00AA1B7B">
      <w:pPr>
        <w:rPr>
          <w:rFonts w:asciiTheme="majorHAnsi" w:eastAsiaTheme="majorEastAsia" w:hAnsiTheme="majorHAnsi" w:cstheme="majorBidi"/>
          <w:color w:val="2F5496" w:themeColor="accent1" w:themeShade="BF"/>
          <w:sz w:val="32"/>
          <w:szCs w:val="32"/>
        </w:rPr>
      </w:pPr>
    </w:p>
    <w:p w14:paraId="449FA7D9" w14:textId="4939C110" w:rsidR="00686740" w:rsidRDefault="00686740" w:rsidP="00686740">
      <w:pPr>
        <w:pStyle w:val="ListParagraph"/>
        <w:numPr>
          <w:ilvl w:val="0"/>
          <w:numId w:val="5"/>
        </w:numPr>
        <w:shd w:val="clear" w:color="auto" w:fill="FFFFFF"/>
        <w:spacing w:after="0" w:line="240" w:lineRule="auto"/>
        <w:rPr>
          <w:rFonts w:ascii="Arial" w:hAnsi="Arial" w:cs="Arial"/>
          <w:color w:val="111827"/>
        </w:rPr>
      </w:pPr>
      <w:r w:rsidRPr="00686740">
        <w:rPr>
          <w:rFonts w:ascii="Arial" w:hAnsi="Arial" w:cs="Arial"/>
          <w:color w:val="111827"/>
        </w:rPr>
        <w:t>Use the feedback you received for your previous submissions to </w:t>
      </w:r>
      <w:r w:rsidRPr="00686740">
        <w:rPr>
          <w:rStyle w:val="Strong"/>
          <w:rFonts w:ascii="Arial" w:hAnsi="Arial" w:cs="Arial"/>
          <w:color w:val="111827"/>
        </w:rPr>
        <w:t>Design your project</w:t>
      </w:r>
      <w:r w:rsidRPr="00686740">
        <w:rPr>
          <w:rFonts w:ascii="Arial" w:hAnsi="Arial" w:cs="Arial"/>
          <w:color w:val="111827"/>
        </w:rPr>
        <w:t> by specifying your approach, methodology, desired outcomes, and intended working plan.</w:t>
      </w:r>
    </w:p>
    <w:p w14:paraId="47B0603F" w14:textId="566B2792" w:rsidR="007436AA" w:rsidRDefault="007436AA" w:rsidP="007436AA">
      <w:pPr>
        <w:shd w:val="clear" w:color="auto" w:fill="FFFFFF"/>
        <w:spacing w:after="0" w:line="240" w:lineRule="auto"/>
        <w:rPr>
          <w:rFonts w:ascii="Arial" w:hAnsi="Arial" w:cs="Arial"/>
          <w:color w:val="111827"/>
        </w:rPr>
      </w:pPr>
    </w:p>
    <w:p w14:paraId="67D9F4A3" w14:textId="4087890B" w:rsidR="007436AA" w:rsidRPr="007436AA" w:rsidRDefault="007436AA" w:rsidP="007436AA">
      <w:pPr>
        <w:shd w:val="clear" w:color="auto" w:fill="FFFFFF"/>
        <w:spacing w:after="0" w:line="240" w:lineRule="auto"/>
        <w:rPr>
          <w:rFonts w:ascii="Arial" w:hAnsi="Arial" w:cs="Arial"/>
          <w:color w:val="111827"/>
        </w:rPr>
      </w:pPr>
      <w:r>
        <w:rPr>
          <w:rFonts w:ascii="Arial" w:hAnsi="Arial" w:cs="Arial"/>
          <w:color w:val="111827"/>
        </w:rPr>
        <w:t>No ‘single best; forecasting model in quantitative finance and quantitative modelling of markets.</w:t>
      </w:r>
    </w:p>
    <w:p w14:paraId="032B3A31" w14:textId="1C8B4129" w:rsidR="00686740" w:rsidRDefault="0027388D">
      <w:r>
        <w:t>We constructed a new technical indicator MH (Moving Hurst) based on Hurst exponent that describes chaotic properties of time series.</w:t>
      </w:r>
      <w:r>
        <w:t xml:space="preserve"> We can compare the returns generated with other popular technical indicators like MACD.</w:t>
      </w:r>
      <w:r w:rsidR="008050DE">
        <w:t xml:space="preserve"> W</w:t>
      </w:r>
      <w:r w:rsidR="008050DE">
        <w:t>e tested and evaluated our proposal using hypothesis testing.</w:t>
      </w:r>
    </w:p>
    <w:p w14:paraId="254F7BF7" w14:textId="3ABB3B83" w:rsidR="005C7C81" w:rsidRDefault="005C7C81">
      <w:pPr>
        <w:rPr>
          <w:rFonts w:asciiTheme="majorHAnsi" w:eastAsiaTheme="majorEastAsia" w:hAnsiTheme="majorHAnsi" w:cstheme="majorBidi"/>
          <w:color w:val="2F5496" w:themeColor="accent1" w:themeShade="BF"/>
          <w:sz w:val="32"/>
          <w:szCs w:val="32"/>
        </w:rPr>
      </w:pPr>
      <w:r>
        <w:t>Another promising approach has been presented in (Selvaratnam and Kirley, 2006), (Qian and Rasheed, 2004) where Hurst exponent is used as an input parameter in neuronal networks applied to predict time series.</w:t>
      </w:r>
    </w:p>
    <w:p w14:paraId="0E827E6C" w14:textId="218B8829" w:rsidR="0027388D" w:rsidRPr="0027388D" w:rsidRDefault="0027388D">
      <w:r w:rsidRPr="0027388D">
        <w:t>https://www.scitepress.org/papers/2018/66670/66670.pdf</w:t>
      </w:r>
    </w:p>
    <w:p w14:paraId="41F2FBF4" w14:textId="4B7B46F1" w:rsidR="0027388D" w:rsidRDefault="0027388D">
      <w:r>
        <w:br w:type="page"/>
      </w:r>
      <w:r w:rsidRPr="0027388D">
        <w:lastRenderedPageBreak/>
        <w:drawing>
          <wp:inline distT="0" distB="0" distL="0" distR="0" wp14:anchorId="186234AB" wp14:editId="21C45662">
            <wp:extent cx="5731510" cy="3362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2325"/>
                    </a:xfrm>
                    <a:prstGeom prst="rect">
                      <a:avLst/>
                    </a:prstGeom>
                  </pic:spPr>
                </pic:pic>
              </a:graphicData>
            </a:graphic>
          </wp:inline>
        </w:drawing>
      </w:r>
    </w:p>
    <w:p w14:paraId="535D7C18" w14:textId="6D06B708" w:rsidR="00765FC1" w:rsidRDefault="00765FC1">
      <w:r w:rsidRPr="00765FC1">
        <w:t>https://c.mql5.com/forextsd/forum/170/hurst_exponent_and_financial_market_predictability.pdf</w:t>
      </w:r>
      <w:bookmarkStart w:id="0" w:name="_GoBack"/>
      <w:bookmarkEnd w:id="0"/>
    </w:p>
    <w:p w14:paraId="4A5625B6" w14:textId="7C3CA6D7" w:rsidR="00765FC1" w:rsidRDefault="00765FC1">
      <w:pPr>
        <w:rPr>
          <w:rFonts w:asciiTheme="majorHAnsi" w:eastAsiaTheme="majorEastAsia" w:hAnsiTheme="majorHAnsi" w:cstheme="majorBidi"/>
          <w:color w:val="2F5496" w:themeColor="accent1" w:themeShade="BF"/>
          <w:sz w:val="32"/>
          <w:szCs w:val="32"/>
        </w:rPr>
      </w:pPr>
      <w:r w:rsidRPr="00765FC1">
        <w:rPr>
          <w:rFonts w:asciiTheme="majorHAnsi" w:eastAsiaTheme="majorEastAsia" w:hAnsiTheme="majorHAnsi" w:cstheme="majorBidi"/>
          <w:color w:val="2F5496" w:themeColor="accent1" w:themeShade="BF"/>
          <w:sz w:val="32"/>
          <w:szCs w:val="32"/>
        </w:rPr>
        <w:drawing>
          <wp:inline distT="0" distB="0" distL="0" distR="0" wp14:anchorId="3DD98C3A" wp14:editId="0F8FD4C1">
            <wp:extent cx="5731510" cy="3790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0315"/>
                    </a:xfrm>
                    <a:prstGeom prst="rect">
                      <a:avLst/>
                    </a:prstGeom>
                  </pic:spPr>
                </pic:pic>
              </a:graphicData>
            </a:graphic>
          </wp:inline>
        </w:drawing>
      </w:r>
    </w:p>
    <w:p w14:paraId="2341E3EF" w14:textId="7972BE14" w:rsidR="00504F90" w:rsidRDefault="00A91208" w:rsidP="0063479E">
      <w:pPr>
        <w:pStyle w:val="Heading1"/>
      </w:pPr>
      <w:r w:rsidRPr="0063479E">
        <w:t>GitHub</w:t>
      </w:r>
      <w:r w:rsidR="006D0187" w:rsidRPr="0063479E">
        <w:t xml:space="preserve"> </w:t>
      </w:r>
      <w:r w:rsidR="0063479E">
        <w:t>Repository</w:t>
      </w:r>
    </w:p>
    <w:p w14:paraId="4E72AAE3" w14:textId="7128E256" w:rsidR="0063479E" w:rsidRDefault="0063479E" w:rsidP="0063479E"/>
    <w:p w14:paraId="487FF414" w14:textId="2682B2AB" w:rsidR="00FC7F93" w:rsidRPr="007B4583" w:rsidRDefault="00FC7F93" w:rsidP="0063479E">
      <w:pPr>
        <w:rPr>
          <w:sz w:val="24"/>
          <w:szCs w:val="24"/>
        </w:rPr>
      </w:pPr>
      <w:r w:rsidRPr="007B4583">
        <w:rPr>
          <w:sz w:val="24"/>
          <w:szCs w:val="24"/>
        </w:rPr>
        <w:t xml:space="preserve">An online repository for the current project is publicly available at the below </w:t>
      </w:r>
      <w:r w:rsidR="007B4583" w:rsidRPr="007B4583">
        <w:rPr>
          <w:sz w:val="24"/>
          <w:szCs w:val="24"/>
        </w:rPr>
        <w:t>GitHub</w:t>
      </w:r>
      <w:r w:rsidRPr="007B4583">
        <w:rPr>
          <w:sz w:val="24"/>
          <w:szCs w:val="24"/>
        </w:rPr>
        <w:t xml:space="preserve"> address.</w:t>
      </w:r>
    </w:p>
    <w:p w14:paraId="66C07922" w14:textId="6196BAB4" w:rsidR="006D0187" w:rsidRPr="007B4583" w:rsidRDefault="005041C8" w:rsidP="007B1827">
      <w:pPr>
        <w:rPr>
          <w:sz w:val="24"/>
          <w:szCs w:val="24"/>
        </w:rPr>
      </w:pPr>
      <w:hyperlink r:id="rId14" w:history="1">
        <w:r w:rsidRPr="007B4583">
          <w:rPr>
            <w:rStyle w:val="Hyperlink"/>
            <w:sz w:val="24"/>
            <w:szCs w:val="24"/>
          </w:rPr>
          <w:t>https://github.com/rks972633/MScFE_Capstone</w:t>
        </w:r>
      </w:hyperlink>
    </w:p>
    <w:p w14:paraId="4B72155E" w14:textId="398D1486" w:rsidR="005041C8" w:rsidRPr="007B4583" w:rsidRDefault="005178AE" w:rsidP="007B1827">
      <w:pPr>
        <w:rPr>
          <w:sz w:val="24"/>
          <w:szCs w:val="24"/>
        </w:rPr>
      </w:pPr>
      <w:r w:rsidRPr="007B4583">
        <w:rPr>
          <w:sz w:val="24"/>
          <w:szCs w:val="24"/>
        </w:rPr>
        <w:t>The plan is to provide all the files and working codes to the online repository.</w:t>
      </w:r>
    </w:p>
    <w:p w14:paraId="74592EEB" w14:textId="4F7BFD7D" w:rsidR="005E3DB6" w:rsidRDefault="005E3DB6" w:rsidP="007B1827"/>
    <w:p w14:paraId="6CFCEBB5" w14:textId="571B4178" w:rsidR="002457DC" w:rsidRDefault="007B4583" w:rsidP="002457DC">
      <w:pPr>
        <w:pStyle w:val="Heading1"/>
      </w:pPr>
      <w:r>
        <w:t>Pseudo</w:t>
      </w:r>
      <w:r w:rsidR="002457DC">
        <w:t xml:space="preserve"> code</w:t>
      </w:r>
    </w:p>
    <w:p w14:paraId="62B891A7" w14:textId="182B3E49" w:rsidR="002457DC" w:rsidRDefault="002457DC" w:rsidP="007B1827"/>
    <w:p w14:paraId="4E0140C6" w14:textId="0D672563" w:rsidR="002457DC" w:rsidRPr="007B4583" w:rsidRDefault="002457DC" w:rsidP="007B1827">
      <w:pPr>
        <w:rPr>
          <w:sz w:val="24"/>
          <w:szCs w:val="24"/>
        </w:rPr>
      </w:pPr>
      <w:r w:rsidRPr="007B4583">
        <w:rPr>
          <w:sz w:val="24"/>
          <w:szCs w:val="24"/>
        </w:rPr>
        <w:t xml:space="preserve">Below algorithm for calculation of Hurst Exponent is motivated from </w:t>
      </w:r>
      <w:sdt>
        <w:sdtPr>
          <w:rPr>
            <w:sz w:val="24"/>
            <w:szCs w:val="24"/>
          </w:rPr>
          <w:id w:val="-159776224"/>
          <w:citation/>
        </w:sdtPr>
        <w:sdtContent>
          <w:r w:rsidRPr="007B4583">
            <w:rPr>
              <w:sz w:val="24"/>
              <w:szCs w:val="24"/>
            </w:rPr>
            <w:fldChar w:fldCharType="begin"/>
          </w:r>
          <w:r w:rsidRPr="007B4583">
            <w:rPr>
              <w:sz w:val="24"/>
              <w:szCs w:val="24"/>
              <w:lang w:val="en-US"/>
            </w:rPr>
            <w:instrText xml:space="preserve"> CITATION She22 \l 1033 </w:instrText>
          </w:r>
          <w:r w:rsidRPr="007B4583">
            <w:rPr>
              <w:sz w:val="24"/>
              <w:szCs w:val="24"/>
            </w:rPr>
            <w:fldChar w:fldCharType="separate"/>
          </w:r>
          <w:r w:rsidRPr="007B4583">
            <w:rPr>
              <w:noProof/>
              <w:sz w:val="24"/>
              <w:szCs w:val="24"/>
              <w:lang w:val="en-US"/>
            </w:rPr>
            <w:t>(Sheraz, 2022)</w:t>
          </w:r>
          <w:r w:rsidRPr="007B4583">
            <w:rPr>
              <w:sz w:val="24"/>
              <w:szCs w:val="24"/>
            </w:rPr>
            <w:fldChar w:fldCharType="end"/>
          </w:r>
        </w:sdtContent>
      </w:sdt>
      <w:r w:rsidRPr="007B4583">
        <w:rPr>
          <w:sz w:val="24"/>
          <w:szCs w:val="24"/>
        </w:rPr>
        <w:t>.</w:t>
      </w:r>
    </w:p>
    <w:p w14:paraId="3DD3AC0B" w14:textId="3F5FCF6B" w:rsidR="007B1827" w:rsidRDefault="002457DC" w:rsidP="007B1827">
      <w:r w:rsidRPr="002457DC">
        <w:drawing>
          <wp:inline distT="0" distB="0" distL="0" distR="0" wp14:anchorId="59A51542" wp14:editId="35D23612">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7410"/>
                    </a:xfrm>
                    <a:prstGeom prst="rect">
                      <a:avLst/>
                    </a:prstGeom>
                  </pic:spPr>
                </pic:pic>
              </a:graphicData>
            </a:graphic>
          </wp:inline>
        </w:drawing>
      </w:r>
    </w:p>
    <w:p w14:paraId="77C22C31" w14:textId="325D7EE4" w:rsidR="00C4050D" w:rsidRDefault="00C4050D" w:rsidP="007B1827"/>
    <w:p w14:paraId="4AAD4046" w14:textId="28DF6543" w:rsidR="00C4050D" w:rsidRDefault="00C4050D">
      <w:r>
        <w:br w:type="page"/>
      </w:r>
    </w:p>
    <w:p w14:paraId="1D3C964E" w14:textId="77777777" w:rsidR="00C4050D" w:rsidRDefault="00C4050D" w:rsidP="007B1827"/>
    <w:sdt>
      <w:sdtPr>
        <w:rPr>
          <w:rFonts w:asciiTheme="minorHAnsi" w:eastAsiaTheme="minorHAnsi" w:hAnsiTheme="minorHAnsi" w:cstheme="minorBidi"/>
          <w:color w:val="auto"/>
          <w:sz w:val="22"/>
          <w:szCs w:val="22"/>
        </w:rPr>
        <w:id w:val="-1308393148"/>
        <w:docPartObj>
          <w:docPartGallery w:val="Bibliographies"/>
          <w:docPartUnique/>
        </w:docPartObj>
      </w:sdtPr>
      <w:sdtEndPr>
        <w:rPr>
          <w:sz w:val="24"/>
          <w:szCs w:val="24"/>
        </w:rPr>
      </w:sdtEndPr>
      <w:sdtContent>
        <w:p w14:paraId="4E708C80" w14:textId="5B1F40B4" w:rsidR="005F6FF2" w:rsidRDefault="005F6FF2">
          <w:pPr>
            <w:pStyle w:val="Heading1"/>
          </w:pPr>
          <w:r>
            <w:t>References</w:t>
          </w:r>
        </w:p>
        <w:sdt>
          <w:sdtPr>
            <w:id w:val="-573587230"/>
            <w:bibliography/>
          </w:sdtPr>
          <w:sdtEndPr>
            <w:rPr>
              <w:sz w:val="24"/>
              <w:szCs w:val="24"/>
            </w:rPr>
          </w:sdtEndPr>
          <w:sdtContent>
            <w:p w14:paraId="203BB1B9" w14:textId="77777777" w:rsidR="007B4583" w:rsidRPr="007B4583" w:rsidRDefault="005F6FF2" w:rsidP="007B4583">
              <w:pPr>
                <w:pStyle w:val="Bibliography"/>
                <w:spacing w:line="360" w:lineRule="auto"/>
                <w:rPr>
                  <w:noProof/>
                  <w:sz w:val="24"/>
                  <w:szCs w:val="24"/>
                </w:rPr>
              </w:pPr>
              <w:r w:rsidRPr="007B4583">
                <w:rPr>
                  <w:sz w:val="24"/>
                  <w:szCs w:val="24"/>
                </w:rPr>
                <w:fldChar w:fldCharType="begin"/>
              </w:r>
              <w:r w:rsidRPr="007B4583">
                <w:rPr>
                  <w:sz w:val="24"/>
                  <w:szCs w:val="24"/>
                </w:rPr>
                <w:instrText xml:space="preserve"> BIBLIOGRAPHY </w:instrText>
              </w:r>
              <w:r w:rsidRPr="007B4583">
                <w:rPr>
                  <w:sz w:val="24"/>
                  <w:szCs w:val="24"/>
                </w:rPr>
                <w:fldChar w:fldCharType="separate"/>
              </w:r>
            </w:p>
            <w:p w14:paraId="7D8E9A7B" w14:textId="23AF8986"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Avino, D. a. (2014). Are CDS spreads predictable? An analysis of linear and non-linear forecasting models. </w:t>
              </w:r>
              <w:r w:rsidRPr="007B4583">
                <w:rPr>
                  <w:i/>
                  <w:iCs/>
                  <w:noProof/>
                  <w:sz w:val="24"/>
                  <w:szCs w:val="24"/>
                </w:rPr>
                <w:t>International Review of Financial Analysis 34</w:t>
              </w:r>
              <w:r w:rsidRPr="007B4583">
                <w:rPr>
                  <w:noProof/>
                  <w:sz w:val="24"/>
                  <w:szCs w:val="24"/>
                </w:rPr>
                <w:t>, 262-274.</w:t>
              </w:r>
            </w:p>
            <w:p w14:paraId="62C95139"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Bomfim, A. N. (2022). Credit Default Swaps. </w:t>
              </w:r>
              <w:r w:rsidRPr="007B4583">
                <w:rPr>
                  <w:i/>
                  <w:iCs/>
                  <w:noProof/>
                  <w:sz w:val="24"/>
                  <w:szCs w:val="24"/>
                </w:rPr>
                <w:t>Finance and Economics Discussion Series 2022-023</w:t>
              </w:r>
              <w:r w:rsidRPr="007B4583">
                <w:rPr>
                  <w:noProof/>
                  <w:sz w:val="24"/>
                  <w:szCs w:val="24"/>
                </w:rPr>
                <w:t>. Retrieved from https://doi.org/10.17016/FEDS.2022.023</w:t>
              </w:r>
            </w:p>
            <w:p w14:paraId="603DF150"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Elliott, M. J. (2009). </w:t>
              </w:r>
              <w:r w:rsidRPr="007B4583">
                <w:rPr>
                  <w:i/>
                  <w:iCs/>
                  <w:noProof/>
                  <w:sz w:val="24"/>
                  <w:szCs w:val="24"/>
                </w:rPr>
                <w:t>Credit derivatives: systemic risks and policy options?</w:t>
              </w:r>
              <w:r w:rsidRPr="007B4583">
                <w:rPr>
                  <w:noProof/>
                  <w:sz w:val="24"/>
                  <w:szCs w:val="24"/>
                </w:rPr>
                <w:t xml:space="preserve"> International Monetary Fund.</w:t>
              </w:r>
            </w:p>
            <w:p w14:paraId="435F82B2"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Günay, S. a. (2016). Long-memory in volatilities of cds spreads: evidences from the emerging markets. </w:t>
              </w:r>
              <w:r w:rsidRPr="007B4583">
                <w:rPr>
                  <w:i/>
                  <w:iCs/>
                  <w:noProof/>
                  <w:sz w:val="24"/>
                  <w:szCs w:val="24"/>
                </w:rPr>
                <w:t>ournal for Economic Forecasting 1</w:t>
              </w:r>
              <w:r w:rsidRPr="007B4583">
                <w:rPr>
                  <w:noProof/>
                  <w:sz w:val="24"/>
                  <w:szCs w:val="24"/>
                </w:rPr>
                <w:t>, 122-137.</w:t>
              </w:r>
            </w:p>
            <w:p w14:paraId="4225D170"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Gündüz, Y. a.-H. (2011). Predicting credit default swap prices with financial and pure data-driven approaches. </w:t>
              </w:r>
              <w:r w:rsidRPr="007B4583">
                <w:rPr>
                  <w:i/>
                  <w:iCs/>
                  <w:noProof/>
                  <w:sz w:val="24"/>
                  <w:szCs w:val="24"/>
                </w:rPr>
                <w:t>Quantitative Finance 11.12</w:t>
              </w:r>
              <w:r w:rsidRPr="007B4583">
                <w:rPr>
                  <w:noProof/>
                  <w:sz w:val="24"/>
                  <w:szCs w:val="24"/>
                </w:rPr>
                <w:t>, 1709-1727.</w:t>
              </w:r>
            </w:p>
            <w:p w14:paraId="3FE0894F"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Gupta, R. G. (2020). Retrieved from https://streetfins.com/analyzing-bill-ackmans-2-6-billion-cds-trade/</w:t>
              </w:r>
            </w:p>
            <w:p w14:paraId="24006A73"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Hu, N. J.-C. (2019). </w:t>
              </w:r>
              <w:r w:rsidRPr="007B4583">
                <w:rPr>
                  <w:i/>
                  <w:iCs/>
                  <w:noProof/>
                  <w:sz w:val="24"/>
                  <w:szCs w:val="24"/>
                </w:rPr>
                <w:t>Completing the Market: Generating Shadow CDS Spreads by Machine Learning.</w:t>
              </w:r>
              <w:r w:rsidRPr="007B4583">
                <w:rPr>
                  <w:noProof/>
                  <w:sz w:val="24"/>
                  <w:szCs w:val="24"/>
                </w:rPr>
                <w:t xml:space="preserve"> International Monetary Fund.</w:t>
              </w:r>
            </w:p>
            <w:p w14:paraId="3F0093F2"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Markit, I. (2021). Retrieved from https://cdn.ihsmarkit.com/www/pdf/1221/CDS-Indices-Primer---2021.pdf</w:t>
              </w:r>
            </w:p>
            <w:p w14:paraId="14388069"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Stewart, H. (2010, March 07). Retrieved from https://www.theguardian.com/books/2010/mar/07/the-greatest-trade-ever-by-gregory-zuckerman-review-heather-stewart</w:t>
              </w:r>
            </w:p>
            <w:p w14:paraId="56A2F949"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Vukovic, D. B. (2022). Are CDS spreads predictable during the Covid-19 pandemic? Forecasting based on SVM, GMDH, LSTM and Markov switching autoregression. </w:t>
              </w:r>
              <w:r w:rsidRPr="007B4583">
                <w:rPr>
                  <w:i/>
                  <w:iCs/>
                  <w:noProof/>
                  <w:sz w:val="24"/>
                  <w:szCs w:val="24"/>
                </w:rPr>
                <w:t xml:space="preserve">Expert systems with applications </w:t>
              </w:r>
              <w:r w:rsidRPr="007B4583">
                <w:rPr>
                  <w:noProof/>
                  <w:sz w:val="24"/>
                  <w:szCs w:val="24"/>
                </w:rPr>
                <w:t>.</w:t>
              </w:r>
            </w:p>
            <w:p w14:paraId="454247C0" w14:textId="77777777" w:rsidR="00C90A88" w:rsidRPr="007B4583" w:rsidRDefault="00C90A88" w:rsidP="007B4583">
              <w:pPr>
                <w:pStyle w:val="Bibliography"/>
                <w:spacing w:line="360" w:lineRule="auto"/>
                <w:ind w:left="720" w:hanging="720"/>
                <w:rPr>
                  <w:noProof/>
                  <w:sz w:val="24"/>
                  <w:szCs w:val="24"/>
                </w:rPr>
              </w:pPr>
              <w:r w:rsidRPr="007B4583">
                <w:rPr>
                  <w:noProof/>
                  <w:sz w:val="24"/>
                  <w:szCs w:val="24"/>
                </w:rPr>
                <w:t xml:space="preserve">Zhang, T. Y. (2018). Predicting Credit Default Swap (CDS) Returns with Machine Learning. </w:t>
              </w:r>
              <w:r w:rsidRPr="007B4583">
                <w:rPr>
                  <w:i/>
                  <w:iCs/>
                  <w:noProof/>
                  <w:sz w:val="24"/>
                  <w:szCs w:val="24"/>
                </w:rPr>
                <w:t>Available at SSRN 3152143</w:t>
              </w:r>
              <w:r w:rsidRPr="007B4583">
                <w:rPr>
                  <w:noProof/>
                  <w:sz w:val="24"/>
                  <w:szCs w:val="24"/>
                </w:rPr>
                <w:t>.</w:t>
              </w:r>
            </w:p>
            <w:p w14:paraId="3CEE3F13" w14:textId="14B5D882" w:rsidR="005F6FF2" w:rsidRPr="005F6FF2" w:rsidRDefault="005F6FF2" w:rsidP="007B4583">
              <w:pPr>
                <w:pStyle w:val="Bibliography"/>
                <w:spacing w:line="360" w:lineRule="auto"/>
                <w:ind w:left="720" w:hanging="720"/>
              </w:pPr>
              <w:r w:rsidRPr="007B4583">
                <w:rPr>
                  <w:b/>
                  <w:bCs/>
                  <w:noProof/>
                  <w:sz w:val="24"/>
                  <w:szCs w:val="24"/>
                </w:rPr>
                <w:lastRenderedPageBreak/>
                <w:fldChar w:fldCharType="end"/>
              </w:r>
            </w:p>
          </w:sdtContent>
        </w:sdt>
      </w:sdtContent>
    </w:sdt>
    <w:sectPr w:rsidR="005F6FF2" w:rsidRPr="005F6FF2" w:rsidSect="009F4E7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223C2" w14:textId="77777777" w:rsidR="00DF0260" w:rsidRDefault="00DF0260" w:rsidP="00754D56">
      <w:pPr>
        <w:spacing w:after="0" w:line="240" w:lineRule="auto"/>
      </w:pPr>
      <w:r>
        <w:separator/>
      </w:r>
    </w:p>
  </w:endnote>
  <w:endnote w:type="continuationSeparator" w:id="0">
    <w:p w14:paraId="3695ECE7" w14:textId="77777777" w:rsidR="00DF0260" w:rsidRDefault="00DF0260" w:rsidP="0075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E43F" w14:textId="0F355843" w:rsidR="00754D56" w:rsidRDefault="00754D56" w:rsidP="00754D56">
    <w:pPr>
      <w:pStyle w:val="Footer"/>
      <w:jc w:val="right"/>
    </w:pPr>
    <w:r>
      <w:fldChar w:fldCharType="begin"/>
    </w:r>
    <w:r>
      <w:instrText xml:space="preserve"> PAGE   \* MERGEFORMAT </w:instrText>
    </w:r>
    <w:r>
      <w:fldChar w:fldCharType="separate"/>
    </w:r>
    <w:r w:rsidR="00765FC1">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C9892" w14:textId="77777777" w:rsidR="00DF0260" w:rsidRDefault="00DF0260" w:rsidP="00754D56">
      <w:pPr>
        <w:spacing w:after="0" w:line="240" w:lineRule="auto"/>
      </w:pPr>
      <w:r>
        <w:separator/>
      </w:r>
    </w:p>
  </w:footnote>
  <w:footnote w:type="continuationSeparator" w:id="0">
    <w:p w14:paraId="6F1B3144" w14:textId="77777777" w:rsidR="00DF0260" w:rsidRDefault="00DF0260" w:rsidP="00754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D9"/>
    <w:multiLevelType w:val="hybridMultilevel"/>
    <w:tmpl w:val="4B0A2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72244F"/>
    <w:multiLevelType w:val="multilevel"/>
    <w:tmpl w:val="5424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35FF6"/>
    <w:multiLevelType w:val="hybridMultilevel"/>
    <w:tmpl w:val="FBB63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E6835"/>
    <w:multiLevelType w:val="hybridMultilevel"/>
    <w:tmpl w:val="B2A04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433C07"/>
    <w:multiLevelType w:val="hybridMultilevel"/>
    <w:tmpl w:val="2332C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73"/>
    <w:rsid w:val="000045EB"/>
    <w:rsid w:val="00085EFB"/>
    <w:rsid w:val="00090E5B"/>
    <w:rsid w:val="000A62B7"/>
    <w:rsid w:val="000D1148"/>
    <w:rsid w:val="000D20D9"/>
    <w:rsid w:val="000E2E3E"/>
    <w:rsid w:val="000F3EC8"/>
    <w:rsid w:val="001004F0"/>
    <w:rsid w:val="00164553"/>
    <w:rsid w:val="00172446"/>
    <w:rsid w:val="00185CBA"/>
    <w:rsid w:val="00187867"/>
    <w:rsid w:val="00190EA9"/>
    <w:rsid w:val="0019310B"/>
    <w:rsid w:val="001A2F96"/>
    <w:rsid w:val="001A4F4D"/>
    <w:rsid w:val="001C3317"/>
    <w:rsid w:val="001F28F9"/>
    <w:rsid w:val="00207C99"/>
    <w:rsid w:val="00217B4F"/>
    <w:rsid w:val="00236AAF"/>
    <w:rsid w:val="0024326D"/>
    <w:rsid w:val="002457DC"/>
    <w:rsid w:val="002527D3"/>
    <w:rsid w:val="00256D62"/>
    <w:rsid w:val="0027388D"/>
    <w:rsid w:val="002B48C2"/>
    <w:rsid w:val="002D1696"/>
    <w:rsid w:val="002E7A2D"/>
    <w:rsid w:val="0034020E"/>
    <w:rsid w:val="00354BBB"/>
    <w:rsid w:val="0037360C"/>
    <w:rsid w:val="00395D00"/>
    <w:rsid w:val="00397378"/>
    <w:rsid w:val="0040659E"/>
    <w:rsid w:val="00416BC9"/>
    <w:rsid w:val="00442DE0"/>
    <w:rsid w:val="00472C01"/>
    <w:rsid w:val="00490AFF"/>
    <w:rsid w:val="004E2CD7"/>
    <w:rsid w:val="004F5FB3"/>
    <w:rsid w:val="005041C8"/>
    <w:rsid w:val="00504F90"/>
    <w:rsid w:val="005108B2"/>
    <w:rsid w:val="005128E9"/>
    <w:rsid w:val="005178AE"/>
    <w:rsid w:val="00530AED"/>
    <w:rsid w:val="00533003"/>
    <w:rsid w:val="005358FD"/>
    <w:rsid w:val="0054779C"/>
    <w:rsid w:val="00560FEE"/>
    <w:rsid w:val="005A48D4"/>
    <w:rsid w:val="005B12CC"/>
    <w:rsid w:val="005C7C81"/>
    <w:rsid w:val="005E3DB6"/>
    <w:rsid w:val="005F6FF2"/>
    <w:rsid w:val="0060507A"/>
    <w:rsid w:val="006075CE"/>
    <w:rsid w:val="00624BBA"/>
    <w:rsid w:val="0063479E"/>
    <w:rsid w:val="006376DC"/>
    <w:rsid w:val="00660F60"/>
    <w:rsid w:val="00664C82"/>
    <w:rsid w:val="00686740"/>
    <w:rsid w:val="006C228D"/>
    <w:rsid w:val="006D0187"/>
    <w:rsid w:val="006E1E40"/>
    <w:rsid w:val="00706EBA"/>
    <w:rsid w:val="00715BCF"/>
    <w:rsid w:val="007179F0"/>
    <w:rsid w:val="00740A34"/>
    <w:rsid w:val="007436AA"/>
    <w:rsid w:val="00754D56"/>
    <w:rsid w:val="00765FC1"/>
    <w:rsid w:val="00790BA0"/>
    <w:rsid w:val="007A1B97"/>
    <w:rsid w:val="007B1827"/>
    <w:rsid w:val="007B4583"/>
    <w:rsid w:val="007D4C18"/>
    <w:rsid w:val="007F6806"/>
    <w:rsid w:val="008050DE"/>
    <w:rsid w:val="0082479A"/>
    <w:rsid w:val="00850415"/>
    <w:rsid w:val="00865099"/>
    <w:rsid w:val="00865686"/>
    <w:rsid w:val="00897FF8"/>
    <w:rsid w:val="008B0FEC"/>
    <w:rsid w:val="00903D68"/>
    <w:rsid w:val="00922E1B"/>
    <w:rsid w:val="00930A9B"/>
    <w:rsid w:val="009438AD"/>
    <w:rsid w:val="0094756A"/>
    <w:rsid w:val="00950F28"/>
    <w:rsid w:val="00956C3D"/>
    <w:rsid w:val="00974DBA"/>
    <w:rsid w:val="00983529"/>
    <w:rsid w:val="009844DB"/>
    <w:rsid w:val="009B250F"/>
    <w:rsid w:val="009C2491"/>
    <w:rsid w:val="009D6AF1"/>
    <w:rsid w:val="009F44E9"/>
    <w:rsid w:val="009F4E73"/>
    <w:rsid w:val="00A07AFA"/>
    <w:rsid w:val="00A328C3"/>
    <w:rsid w:val="00A33575"/>
    <w:rsid w:val="00A34F21"/>
    <w:rsid w:val="00A4346B"/>
    <w:rsid w:val="00A44AF6"/>
    <w:rsid w:val="00A46A1E"/>
    <w:rsid w:val="00A91208"/>
    <w:rsid w:val="00AA1B7B"/>
    <w:rsid w:val="00AC784F"/>
    <w:rsid w:val="00AD1399"/>
    <w:rsid w:val="00AD5480"/>
    <w:rsid w:val="00AF10DB"/>
    <w:rsid w:val="00B13C63"/>
    <w:rsid w:val="00B45B63"/>
    <w:rsid w:val="00B6584A"/>
    <w:rsid w:val="00BA226B"/>
    <w:rsid w:val="00BD1ED7"/>
    <w:rsid w:val="00BE1DC1"/>
    <w:rsid w:val="00BF7EAB"/>
    <w:rsid w:val="00C061DA"/>
    <w:rsid w:val="00C10F85"/>
    <w:rsid w:val="00C22E48"/>
    <w:rsid w:val="00C36120"/>
    <w:rsid w:val="00C4050D"/>
    <w:rsid w:val="00C56814"/>
    <w:rsid w:val="00C6003E"/>
    <w:rsid w:val="00C60B29"/>
    <w:rsid w:val="00C61C2D"/>
    <w:rsid w:val="00C87449"/>
    <w:rsid w:val="00C90A88"/>
    <w:rsid w:val="00CA4B5C"/>
    <w:rsid w:val="00CD09E0"/>
    <w:rsid w:val="00D01EEB"/>
    <w:rsid w:val="00D16C5D"/>
    <w:rsid w:val="00D31BAF"/>
    <w:rsid w:val="00D44957"/>
    <w:rsid w:val="00D56DDF"/>
    <w:rsid w:val="00D61314"/>
    <w:rsid w:val="00D811A5"/>
    <w:rsid w:val="00DA436F"/>
    <w:rsid w:val="00DA6B47"/>
    <w:rsid w:val="00DF0260"/>
    <w:rsid w:val="00DF07F6"/>
    <w:rsid w:val="00E84D81"/>
    <w:rsid w:val="00EA471B"/>
    <w:rsid w:val="00EC6AB4"/>
    <w:rsid w:val="00ED4E26"/>
    <w:rsid w:val="00EF7429"/>
    <w:rsid w:val="00F017B1"/>
    <w:rsid w:val="00F0728F"/>
    <w:rsid w:val="00F3194F"/>
    <w:rsid w:val="00F47085"/>
    <w:rsid w:val="00F849C9"/>
    <w:rsid w:val="00FA41A3"/>
    <w:rsid w:val="00FC04A4"/>
    <w:rsid w:val="00FC7F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C114"/>
  <w15:chartTrackingRefBased/>
  <w15:docId w15:val="{7322B0C6-BD67-41E7-B8C0-1C22F59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7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F4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E73"/>
    <w:rPr>
      <w:rFonts w:eastAsiaTheme="minorEastAsia"/>
      <w:lang w:val="en-US"/>
    </w:rPr>
  </w:style>
  <w:style w:type="character" w:customStyle="1" w:styleId="Heading1Char">
    <w:name w:val="Heading 1 Char"/>
    <w:basedOn w:val="DefaultParagraphFont"/>
    <w:link w:val="Heading1"/>
    <w:uiPriority w:val="9"/>
    <w:rsid w:val="009F4E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56"/>
  </w:style>
  <w:style w:type="paragraph" w:styleId="Footer">
    <w:name w:val="footer"/>
    <w:basedOn w:val="Normal"/>
    <w:link w:val="FooterChar"/>
    <w:uiPriority w:val="99"/>
    <w:unhideWhenUsed/>
    <w:rsid w:val="00754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56"/>
  </w:style>
  <w:style w:type="paragraph" w:styleId="ListParagraph">
    <w:name w:val="List Paragraph"/>
    <w:basedOn w:val="Normal"/>
    <w:uiPriority w:val="34"/>
    <w:qFormat/>
    <w:rsid w:val="00187867"/>
    <w:pPr>
      <w:ind w:left="720"/>
      <w:contextualSpacing/>
    </w:pPr>
  </w:style>
  <w:style w:type="paragraph" w:styleId="Bibliography">
    <w:name w:val="Bibliography"/>
    <w:basedOn w:val="Normal"/>
    <w:next w:val="Normal"/>
    <w:uiPriority w:val="37"/>
    <w:unhideWhenUsed/>
    <w:rsid w:val="005F6FF2"/>
  </w:style>
  <w:style w:type="character" w:styleId="Hyperlink">
    <w:name w:val="Hyperlink"/>
    <w:basedOn w:val="DefaultParagraphFont"/>
    <w:uiPriority w:val="99"/>
    <w:unhideWhenUsed/>
    <w:rsid w:val="006D0187"/>
    <w:rPr>
      <w:color w:val="0563C1" w:themeColor="hyperlink"/>
      <w:u w:val="single"/>
    </w:rPr>
  </w:style>
  <w:style w:type="character" w:styleId="FollowedHyperlink">
    <w:name w:val="FollowedHyperlink"/>
    <w:basedOn w:val="DefaultParagraphFont"/>
    <w:uiPriority w:val="99"/>
    <w:semiHidden/>
    <w:unhideWhenUsed/>
    <w:rsid w:val="006D0187"/>
    <w:rPr>
      <w:color w:val="954F72" w:themeColor="followedHyperlink"/>
      <w:u w:val="single"/>
    </w:rPr>
  </w:style>
  <w:style w:type="character" w:customStyle="1" w:styleId="a-size-extra-large">
    <w:name w:val="a-size-extra-large"/>
    <w:basedOn w:val="DefaultParagraphFont"/>
    <w:rsid w:val="00B13C63"/>
  </w:style>
  <w:style w:type="character" w:styleId="Strong">
    <w:name w:val="Strong"/>
    <w:basedOn w:val="DefaultParagraphFont"/>
    <w:uiPriority w:val="22"/>
    <w:qFormat/>
    <w:rsid w:val="00686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8930">
      <w:bodyDiv w:val="1"/>
      <w:marLeft w:val="0"/>
      <w:marRight w:val="0"/>
      <w:marTop w:val="0"/>
      <w:marBottom w:val="0"/>
      <w:divBdr>
        <w:top w:val="none" w:sz="0" w:space="0" w:color="auto"/>
        <w:left w:val="none" w:sz="0" w:space="0" w:color="auto"/>
        <w:bottom w:val="none" w:sz="0" w:space="0" w:color="auto"/>
        <w:right w:val="none" w:sz="0" w:space="0" w:color="auto"/>
      </w:divBdr>
    </w:div>
    <w:div w:id="76099179">
      <w:bodyDiv w:val="1"/>
      <w:marLeft w:val="0"/>
      <w:marRight w:val="0"/>
      <w:marTop w:val="0"/>
      <w:marBottom w:val="0"/>
      <w:divBdr>
        <w:top w:val="none" w:sz="0" w:space="0" w:color="auto"/>
        <w:left w:val="none" w:sz="0" w:space="0" w:color="auto"/>
        <w:bottom w:val="none" w:sz="0" w:space="0" w:color="auto"/>
        <w:right w:val="none" w:sz="0" w:space="0" w:color="auto"/>
      </w:divBdr>
    </w:div>
    <w:div w:id="106896160">
      <w:bodyDiv w:val="1"/>
      <w:marLeft w:val="0"/>
      <w:marRight w:val="0"/>
      <w:marTop w:val="0"/>
      <w:marBottom w:val="0"/>
      <w:divBdr>
        <w:top w:val="none" w:sz="0" w:space="0" w:color="auto"/>
        <w:left w:val="none" w:sz="0" w:space="0" w:color="auto"/>
        <w:bottom w:val="none" w:sz="0" w:space="0" w:color="auto"/>
        <w:right w:val="none" w:sz="0" w:space="0" w:color="auto"/>
      </w:divBdr>
    </w:div>
    <w:div w:id="162211963">
      <w:bodyDiv w:val="1"/>
      <w:marLeft w:val="0"/>
      <w:marRight w:val="0"/>
      <w:marTop w:val="0"/>
      <w:marBottom w:val="0"/>
      <w:divBdr>
        <w:top w:val="none" w:sz="0" w:space="0" w:color="auto"/>
        <w:left w:val="none" w:sz="0" w:space="0" w:color="auto"/>
        <w:bottom w:val="none" w:sz="0" w:space="0" w:color="auto"/>
        <w:right w:val="none" w:sz="0" w:space="0" w:color="auto"/>
      </w:divBdr>
    </w:div>
    <w:div w:id="171576608">
      <w:bodyDiv w:val="1"/>
      <w:marLeft w:val="0"/>
      <w:marRight w:val="0"/>
      <w:marTop w:val="0"/>
      <w:marBottom w:val="0"/>
      <w:divBdr>
        <w:top w:val="none" w:sz="0" w:space="0" w:color="auto"/>
        <w:left w:val="none" w:sz="0" w:space="0" w:color="auto"/>
        <w:bottom w:val="none" w:sz="0" w:space="0" w:color="auto"/>
        <w:right w:val="none" w:sz="0" w:space="0" w:color="auto"/>
      </w:divBdr>
    </w:div>
    <w:div w:id="276253780">
      <w:bodyDiv w:val="1"/>
      <w:marLeft w:val="0"/>
      <w:marRight w:val="0"/>
      <w:marTop w:val="0"/>
      <w:marBottom w:val="0"/>
      <w:divBdr>
        <w:top w:val="none" w:sz="0" w:space="0" w:color="auto"/>
        <w:left w:val="none" w:sz="0" w:space="0" w:color="auto"/>
        <w:bottom w:val="none" w:sz="0" w:space="0" w:color="auto"/>
        <w:right w:val="none" w:sz="0" w:space="0" w:color="auto"/>
      </w:divBdr>
    </w:div>
    <w:div w:id="398332134">
      <w:bodyDiv w:val="1"/>
      <w:marLeft w:val="0"/>
      <w:marRight w:val="0"/>
      <w:marTop w:val="0"/>
      <w:marBottom w:val="0"/>
      <w:divBdr>
        <w:top w:val="none" w:sz="0" w:space="0" w:color="auto"/>
        <w:left w:val="none" w:sz="0" w:space="0" w:color="auto"/>
        <w:bottom w:val="none" w:sz="0" w:space="0" w:color="auto"/>
        <w:right w:val="none" w:sz="0" w:space="0" w:color="auto"/>
      </w:divBdr>
    </w:div>
    <w:div w:id="432045820">
      <w:bodyDiv w:val="1"/>
      <w:marLeft w:val="0"/>
      <w:marRight w:val="0"/>
      <w:marTop w:val="0"/>
      <w:marBottom w:val="0"/>
      <w:divBdr>
        <w:top w:val="none" w:sz="0" w:space="0" w:color="auto"/>
        <w:left w:val="none" w:sz="0" w:space="0" w:color="auto"/>
        <w:bottom w:val="none" w:sz="0" w:space="0" w:color="auto"/>
        <w:right w:val="none" w:sz="0" w:space="0" w:color="auto"/>
      </w:divBdr>
    </w:div>
    <w:div w:id="445349233">
      <w:bodyDiv w:val="1"/>
      <w:marLeft w:val="0"/>
      <w:marRight w:val="0"/>
      <w:marTop w:val="0"/>
      <w:marBottom w:val="0"/>
      <w:divBdr>
        <w:top w:val="none" w:sz="0" w:space="0" w:color="auto"/>
        <w:left w:val="none" w:sz="0" w:space="0" w:color="auto"/>
        <w:bottom w:val="none" w:sz="0" w:space="0" w:color="auto"/>
        <w:right w:val="none" w:sz="0" w:space="0" w:color="auto"/>
      </w:divBdr>
    </w:div>
    <w:div w:id="463432657">
      <w:bodyDiv w:val="1"/>
      <w:marLeft w:val="0"/>
      <w:marRight w:val="0"/>
      <w:marTop w:val="0"/>
      <w:marBottom w:val="0"/>
      <w:divBdr>
        <w:top w:val="none" w:sz="0" w:space="0" w:color="auto"/>
        <w:left w:val="none" w:sz="0" w:space="0" w:color="auto"/>
        <w:bottom w:val="none" w:sz="0" w:space="0" w:color="auto"/>
        <w:right w:val="none" w:sz="0" w:space="0" w:color="auto"/>
      </w:divBdr>
    </w:div>
    <w:div w:id="503782146">
      <w:bodyDiv w:val="1"/>
      <w:marLeft w:val="0"/>
      <w:marRight w:val="0"/>
      <w:marTop w:val="0"/>
      <w:marBottom w:val="0"/>
      <w:divBdr>
        <w:top w:val="none" w:sz="0" w:space="0" w:color="auto"/>
        <w:left w:val="none" w:sz="0" w:space="0" w:color="auto"/>
        <w:bottom w:val="none" w:sz="0" w:space="0" w:color="auto"/>
        <w:right w:val="none" w:sz="0" w:space="0" w:color="auto"/>
      </w:divBdr>
    </w:div>
    <w:div w:id="576942462">
      <w:bodyDiv w:val="1"/>
      <w:marLeft w:val="0"/>
      <w:marRight w:val="0"/>
      <w:marTop w:val="0"/>
      <w:marBottom w:val="0"/>
      <w:divBdr>
        <w:top w:val="none" w:sz="0" w:space="0" w:color="auto"/>
        <w:left w:val="none" w:sz="0" w:space="0" w:color="auto"/>
        <w:bottom w:val="none" w:sz="0" w:space="0" w:color="auto"/>
        <w:right w:val="none" w:sz="0" w:space="0" w:color="auto"/>
      </w:divBdr>
    </w:div>
    <w:div w:id="592325348">
      <w:bodyDiv w:val="1"/>
      <w:marLeft w:val="0"/>
      <w:marRight w:val="0"/>
      <w:marTop w:val="0"/>
      <w:marBottom w:val="0"/>
      <w:divBdr>
        <w:top w:val="none" w:sz="0" w:space="0" w:color="auto"/>
        <w:left w:val="none" w:sz="0" w:space="0" w:color="auto"/>
        <w:bottom w:val="none" w:sz="0" w:space="0" w:color="auto"/>
        <w:right w:val="none" w:sz="0" w:space="0" w:color="auto"/>
      </w:divBdr>
    </w:div>
    <w:div w:id="698355725">
      <w:bodyDiv w:val="1"/>
      <w:marLeft w:val="0"/>
      <w:marRight w:val="0"/>
      <w:marTop w:val="0"/>
      <w:marBottom w:val="0"/>
      <w:divBdr>
        <w:top w:val="none" w:sz="0" w:space="0" w:color="auto"/>
        <w:left w:val="none" w:sz="0" w:space="0" w:color="auto"/>
        <w:bottom w:val="none" w:sz="0" w:space="0" w:color="auto"/>
        <w:right w:val="none" w:sz="0" w:space="0" w:color="auto"/>
      </w:divBdr>
    </w:div>
    <w:div w:id="704062423">
      <w:bodyDiv w:val="1"/>
      <w:marLeft w:val="0"/>
      <w:marRight w:val="0"/>
      <w:marTop w:val="0"/>
      <w:marBottom w:val="0"/>
      <w:divBdr>
        <w:top w:val="none" w:sz="0" w:space="0" w:color="auto"/>
        <w:left w:val="none" w:sz="0" w:space="0" w:color="auto"/>
        <w:bottom w:val="none" w:sz="0" w:space="0" w:color="auto"/>
        <w:right w:val="none" w:sz="0" w:space="0" w:color="auto"/>
      </w:divBdr>
    </w:div>
    <w:div w:id="761298376">
      <w:bodyDiv w:val="1"/>
      <w:marLeft w:val="0"/>
      <w:marRight w:val="0"/>
      <w:marTop w:val="0"/>
      <w:marBottom w:val="0"/>
      <w:divBdr>
        <w:top w:val="none" w:sz="0" w:space="0" w:color="auto"/>
        <w:left w:val="none" w:sz="0" w:space="0" w:color="auto"/>
        <w:bottom w:val="none" w:sz="0" w:space="0" w:color="auto"/>
        <w:right w:val="none" w:sz="0" w:space="0" w:color="auto"/>
      </w:divBdr>
    </w:div>
    <w:div w:id="900095041">
      <w:bodyDiv w:val="1"/>
      <w:marLeft w:val="0"/>
      <w:marRight w:val="0"/>
      <w:marTop w:val="0"/>
      <w:marBottom w:val="0"/>
      <w:divBdr>
        <w:top w:val="none" w:sz="0" w:space="0" w:color="auto"/>
        <w:left w:val="none" w:sz="0" w:space="0" w:color="auto"/>
        <w:bottom w:val="none" w:sz="0" w:space="0" w:color="auto"/>
        <w:right w:val="none" w:sz="0" w:space="0" w:color="auto"/>
      </w:divBdr>
    </w:div>
    <w:div w:id="911349802">
      <w:bodyDiv w:val="1"/>
      <w:marLeft w:val="0"/>
      <w:marRight w:val="0"/>
      <w:marTop w:val="0"/>
      <w:marBottom w:val="0"/>
      <w:divBdr>
        <w:top w:val="none" w:sz="0" w:space="0" w:color="auto"/>
        <w:left w:val="none" w:sz="0" w:space="0" w:color="auto"/>
        <w:bottom w:val="none" w:sz="0" w:space="0" w:color="auto"/>
        <w:right w:val="none" w:sz="0" w:space="0" w:color="auto"/>
      </w:divBdr>
    </w:div>
    <w:div w:id="930352449">
      <w:bodyDiv w:val="1"/>
      <w:marLeft w:val="0"/>
      <w:marRight w:val="0"/>
      <w:marTop w:val="0"/>
      <w:marBottom w:val="0"/>
      <w:divBdr>
        <w:top w:val="none" w:sz="0" w:space="0" w:color="auto"/>
        <w:left w:val="none" w:sz="0" w:space="0" w:color="auto"/>
        <w:bottom w:val="none" w:sz="0" w:space="0" w:color="auto"/>
        <w:right w:val="none" w:sz="0" w:space="0" w:color="auto"/>
      </w:divBdr>
    </w:div>
    <w:div w:id="965427620">
      <w:bodyDiv w:val="1"/>
      <w:marLeft w:val="0"/>
      <w:marRight w:val="0"/>
      <w:marTop w:val="0"/>
      <w:marBottom w:val="0"/>
      <w:divBdr>
        <w:top w:val="none" w:sz="0" w:space="0" w:color="auto"/>
        <w:left w:val="none" w:sz="0" w:space="0" w:color="auto"/>
        <w:bottom w:val="none" w:sz="0" w:space="0" w:color="auto"/>
        <w:right w:val="none" w:sz="0" w:space="0" w:color="auto"/>
      </w:divBdr>
    </w:div>
    <w:div w:id="969869196">
      <w:bodyDiv w:val="1"/>
      <w:marLeft w:val="0"/>
      <w:marRight w:val="0"/>
      <w:marTop w:val="0"/>
      <w:marBottom w:val="0"/>
      <w:divBdr>
        <w:top w:val="none" w:sz="0" w:space="0" w:color="auto"/>
        <w:left w:val="none" w:sz="0" w:space="0" w:color="auto"/>
        <w:bottom w:val="none" w:sz="0" w:space="0" w:color="auto"/>
        <w:right w:val="none" w:sz="0" w:space="0" w:color="auto"/>
      </w:divBdr>
    </w:div>
    <w:div w:id="1005589310">
      <w:bodyDiv w:val="1"/>
      <w:marLeft w:val="0"/>
      <w:marRight w:val="0"/>
      <w:marTop w:val="0"/>
      <w:marBottom w:val="0"/>
      <w:divBdr>
        <w:top w:val="none" w:sz="0" w:space="0" w:color="auto"/>
        <w:left w:val="none" w:sz="0" w:space="0" w:color="auto"/>
        <w:bottom w:val="none" w:sz="0" w:space="0" w:color="auto"/>
        <w:right w:val="none" w:sz="0" w:space="0" w:color="auto"/>
      </w:divBdr>
    </w:div>
    <w:div w:id="1090203693">
      <w:bodyDiv w:val="1"/>
      <w:marLeft w:val="0"/>
      <w:marRight w:val="0"/>
      <w:marTop w:val="0"/>
      <w:marBottom w:val="0"/>
      <w:divBdr>
        <w:top w:val="none" w:sz="0" w:space="0" w:color="auto"/>
        <w:left w:val="none" w:sz="0" w:space="0" w:color="auto"/>
        <w:bottom w:val="none" w:sz="0" w:space="0" w:color="auto"/>
        <w:right w:val="none" w:sz="0" w:space="0" w:color="auto"/>
      </w:divBdr>
    </w:div>
    <w:div w:id="1105416338">
      <w:bodyDiv w:val="1"/>
      <w:marLeft w:val="0"/>
      <w:marRight w:val="0"/>
      <w:marTop w:val="0"/>
      <w:marBottom w:val="0"/>
      <w:divBdr>
        <w:top w:val="none" w:sz="0" w:space="0" w:color="auto"/>
        <w:left w:val="none" w:sz="0" w:space="0" w:color="auto"/>
        <w:bottom w:val="none" w:sz="0" w:space="0" w:color="auto"/>
        <w:right w:val="none" w:sz="0" w:space="0" w:color="auto"/>
      </w:divBdr>
    </w:div>
    <w:div w:id="1105613050">
      <w:bodyDiv w:val="1"/>
      <w:marLeft w:val="0"/>
      <w:marRight w:val="0"/>
      <w:marTop w:val="0"/>
      <w:marBottom w:val="0"/>
      <w:divBdr>
        <w:top w:val="none" w:sz="0" w:space="0" w:color="auto"/>
        <w:left w:val="none" w:sz="0" w:space="0" w:color="auto"/>
        <w:bottom w:val="none" w:sz="0" w:space="0" w:color="auto"/>
        <w:right w:val="none" w:sz="0" w:space="0" w:color="auto"/>
      </w:divBdr>
    </w:div>
    <w:div w:id="1110781973">
      <w:bodyDiv w:val="1"/>
      <w:marLeft w:val="0"/>
      <w:marRight w:val="0"/>
      <w:marTop w:val="0"/>
      <w:marBottom w:val="0"/>
      <w:divBdr>
        <w:top w:val="none" w:sz="0" w:space="0" w:color="auto"/>
        <w:left w:val="none" w:sz="0" w:space="0" w:color="auto"/>
        <w:bottom w:val="none" w:sz="0" w:space="0" w:color="auto"/>
        <w:right w:val="none" w:sz="0" w:space="0" w:color="auto"/>
      </w:divBdr>
    </w:div>
    <w:div w:id="1148014628">
      <w:bodyDiv w:val="1"/>
      <w:marLeft w:val="0"/>
      <w:marRight w:val="0"/>
      <w:marTop w:val="0"/>
      <w:marBottom w:val="0"/>
      <w:divBdr>
        <w:top w:val="none" w:sz="0" w:space="0" w:color="auto"/>
        <w:left w:val="none" w:sz="0" w:space="0" w:color="auto"/>
        <w:bottom w:val="none" w:sz="0" w:space="0" w:color="auto"/>
        <w:right w:val="none" w:sz="0" w:space="0" w:color="auto"/>
      </w:divBdr>
    </w:div>
    <w:div w:id="1328826504">
      <w:bodyDiv w:val="1"/>
      <w:marLeft w:val="0"/>
      <w:marRight w:val="0"/>
      <w:marTop w:val="0"/>
      <w:marBottom w:val="0"/>
      <w:divBdr>
        <w:top w:val="none" w:sz="0" w:space="0" w:color="auto"/>
        <w:left w:val="none" w:sz="0" w:space="0" w:color="auto"/>
        <w:bottom w:val="none" w:sz="0" w:space="0" w:color="auto"/>
        <w:right w:val="none" w:sz="0" w:space="0" w:color="auto"/>
      </w:divBdr>
    </w:div>
    <w:div w:id="1442606327">
      <w:bodyDiv w:val="1"/>
      <w:marLeft w:val="0"/>
      <w:marRight w:val="0"/>
      <w:marTop w:val="0"/>
      <w:marBottom w:val="0"/>
      <w:divBdr>
        <w:top w:val="none" w:sz="0" w:space="0" w:color="auto"/>
        <w:left w:val="none" w:sz="0" w:space="0" w:color="auto"/>
        <w:bottom w:val="none" w:sz="0" w:space="0" w:color="auto"/>
        <w:right w:val="none" w:sz="0" w:space="0" w:color="auto"/>
      </w:divBdr>
    </w:div>
    <w:div w:id="1444611036">
      <w:bodyDiv w:val="1"/>
      <w:marLeft w:val="0"/>
      <w:marRight w:val="0"/>
      <w:marTop w:val="0"/>
      <w:marBottom w:val="0"/>
      <w:divBdr>
        <w:top w:val="none" w:sz="0" w:space="0" w:color="auto"/>
        <w:left w:val="none" w:sz="0" w:space="0" w:color="auto"/>
        <w:bottom w:val="none" w:sz="0" w:space="0" w:color="auto"/>
        <w:right w:val="none" w:sz="0" w:space="0" w:color="auto"/>
      </w:divBdr>
    </w:div>
    <w:div w:id="1509323725">
      <w:bodyDiv w:val="1"/>
      <w:marLeft w:val="0"/>
      <w:marRight w:val="0"/>
      <w:marTop w:val="0"/>
      <w:marBottom w:val="0"/>
      <w:divBdr>
        <w:top w:val="none" w:sz="0" w:space="0" w:color="auto"/>
        <w:left w:val="none" w:sz="0" w:space="0" w:color="auto"/>
        <w:bottom w:val="none" w:sz="0" w:space="0" w:color="auto"/>
        <w:right w:val="none" w:sz="0" w:space="0" w:color="auto"/>
      </w:divBdr>
    </w:div>
    <w:div w:id="1543253454">
      <w:bodyDiv w:val="1"/>
      <w:marLeft w:val="0"/>
      <w:marRight w:val="0"/>
      <w:marTop w:val="0"/>
      <w:marBottom w:val="0"/>
      <w:divBdr>
        <w:top w:val="none" w:sz="0" w:space="0" w:color="auto"/>
        <w:left w:val="none" w:sz="0" w:space="0" w:color="auto"/>
        <w:bottom w:val="none" w:sz="0" w:space="0" w:color="auto"/>
        <w:right w:val="none" w:sz="0" w:space="0" w:color="auto"/>
      </w:divBdr>
    </w:div>
    <w:div w:id="1575314142">
      <w:bodyDiv w:val="1"/>
      <w:marLeft w:val="0"/>
      <w:marRight w:val="0"/>
      <w:marTop w:val="0"/>
      <w:marBottom w:val="0"/>
      <w:divBdr>
        <w:top w:val="none" w:sz="0" w:space="0" w:color="auto"/>
        <w:left w:val="none" w:sz="0" w:space="0" w:color="auto"/>
        <w:bottom w:val="none" w:sz="0" w:space="0" w:color="auto"/>
        <w:right w:val="none" w:sz="0" w:space="0" w:color="auto"/>
      </w:divBdr>
    </w:div>
    <w:div w:id="1621916068">
      <w:bodyDiv w:val="1"/>
      <w:marLeft w:val="0"/>
      <w:marRight w:val="0"/>
      <w:marTop w:val="0"/>
      <w:marBottom w:val="0"/>
      <w:divBdr>
        <w:top w:val="none" w:sz="0" w:space="0" w:color="auto"/>
        <w:left w:val="none" w:sz="0" w:space="0" w:color="auto"/>
        <w:bottom w:val="none" w:sz="0" w:space="0" w:color="auto"/>
        <w:right w:val="none" w:sz="0" w:space="0" w:color="auto"/>
      </w:divBdr>
    </w:div>
    <w:div w:id="1660384495">
      <w:bodyDiv w:val="1"/>
      <w:marLeft w:val="0"/>
      <w:marRight w:val="0"/>
      <w:marTop w:val="0"/>
      <w:marBottom w:val="0"/>
      <w:divBdr>
        <w:top w:val="none" w:sz="0" w:space="0" w:color="auto"/>
        <w:left w:val="none" w:sz="0" w:space="0" w:color="auto"/>
        <w:bottom w:val="none" w:sz="0" w:space="0" w:color="auto"/>
        <w:right w:val="none" w:sz="0" w:space="0" w:color="auto"/>
      </w:divBdr>
    </w:div>
    <w:div w:id="1819608833">
      <w:bodyDiv w:val="1"/>
      <w:marLeft w:val="0"/>
      <w:marRight w:val="0"/>
      <w:marTop w:val="0"/>
      <w:marBottom w:val="0"/>
      <w:divBdr>
        <w:top w:val="none" w:sz="0" w:space="0" w:color="auto"/>
        <w:left w:val="none" w:sz="0" w:space="0" w:color="auto"/>
        <w:bottom w:val="none" w:sz="0" w:space="0" w:color="auto"/>
        <w:right w:val="none" w:sz="0" w:space="0" w:color="auto"/>
      </w:divBdr>
    </w:div>
    <w:div w:id="1838686271">
      <w:bodyDiv w:val="1"/>
      <w:marLeft w:val="0"/>
      <w:marRight w:val="0"/>
      <w:marTop w:val="0"/>
      <w:marBottom w:val="0"/>
      <w:divBdr>
        <w:top w:val="none" w:sz="0" w:space="0" w:color="auto"/>
        <w:left w:val="none" w:sz="0" w:space="0" w:color="auto"/>
        <w:bottom w:val="none" w:sz="0" w:space="0" w:color="auto"/>
        <w:right w:val="none" w:sz="0" w:space="0" w:color="auto"/>
      </w:divBdr>
    </w:div>
    <w:div w:id="1888833516">
      <w:bodyDiv w:val="1"/>
      <w:marLeft w:val="0"/>
      <w:marRight w:val="0"/>
      <w:marTop w:val="0"/>
      <w:marBottom w:val="0"/>
      <w:divBdr>
        <w:top w:val="none" w:sz="0" w:space="0" w:color="auto"/>
        <w:left w:val="none" w:sz="0" w:space="0" w:color="auto"/>
        <w:bottom w:val="none" w:sz="0" w:space="0" w:color="auto"/>
        <w:right w:val="none" w:sz="0" w:space="0" w:color="auto"/>
      </w:divBdr>
    </w:div>
    <w:div w:id="1922369402">
      <w:bodyDiv w:val="1"/>
      <w:marLeft w:val="0"/>
      <w:marRight w:val="0"/>
      <w:marTop w:val="0"/>
      <w:marBottom w:val="0"/>
      <w:divBdr>
        <w:top w:val="none" w:sz="0" w:space="0" w:color="auto"/>
        <w:left w:val="none" w:sz="0" w:space="0" w:color="auto"/>
        <w:bottom w:val="none" w:sz="0" w:space="0" w:color="auto"/>
        <w:right w:val="none" w:sz="0" w:space="0" w:color="auto"/>
      </w:divBdr>
    </w:div>
    <w:div w:id="1923176795">
      <w:bodyDiv w:val="1"/>
      <w:marLeft w:val="0"/>
      <w:marRight w:val="0"/>
      <w:marTop w:val="0"/>
      <w:marBottom w:val="0"/>
      <w:divBdr>
        <w:top w:val="none" w:sz="0" w:space="0" w:color="auto"/>
        <w:left w:val="none" w:sz="0" w:space="0" w:color="auto"/>
        <w:bottom w:val="none" w:sz="0" w:space="0" w:color="auto"/>
        <w:right w:val="none" w:sz="0" w:space="0" w:color="auto"/>
      </w:divBdr>
    </w:div>
    <w:div w:id="20035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ks972633/MScFE_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31 January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Vuk22</b:Tag>
    <b:SourceType>JournalArticle</b:SourceType>
    <b:Guid>{467C5865-51F7-4CFB-A54A-F6689DF396FA}</b:Guid>
    <b:Author>
      <b:Author>
        <b:NameList>
          <b:Person>
            <b:Last>Vukovic</b:Last>
            <b:First>Darko</b:First>
            <b:Middle>B., et al.</b:Middle>
          </b:Person>
        </b:NameList>
      </b:Author>
    </b:Author>
    <b:Title>Are CDS spreads predictable during the Covid-19 pandemic? Forecasting based on SVM, GMDH, LSTM and Markov switching autoregression.</b:Title>
    <b:JournalName>Expert systems with applications </b:JournalName>
    <b:Year>2022</b:Year>
    <b:RefOrder>1</b:RefOrder>
  </b:Source>
  <b:Source>
    <b:Tag>Bom</b:Tag>
    <b:SourceType>JournalArticle</b:SourceType>
    <b:Guid>{3338EC5F-F6ED-453B-9D59-A41ECB19F227}</b:Guid>
    <b:Author>
      <b:Author>
        <b:NameList>
          <b:Person>
            <b:Last>Bomfim</b:Last>
            <b:First>Antulio</b:First>
            <b:Middle>N.</b:Middle>
          </b:Person>
        </b:NameList>
      </b:Author>
    </b:Author>
    <b:Title>Credit Default Swaps</b:Title>
    <b:JournalName>Finance and Economics Discussion Series 2022-023</b:JournalName>
    <b:Publisher>Washington: Board of Governors of the Federal Reserve System</b:Publisher>
    <b:URL>https://doi.org/10.17016/FEDS.2022.023</b:URL>
    <b:Year>2022</b:Year>
    <b:RefOrder>4</b:RefOrder>
  </b:Source>
  <b:Source>
    <b:Tag>Ell09</b:Tag>
    <b:SourceType>Report</b:SourceType>
    <b:Guid>{C40DD69C-C7AE-495D-B4B6-05B4D2EE5981}</b:Guid>
    <b:Author>
      <b:Author>
        <b:NameList>
          <b:Person>
            <b:Last>Elliott</b:Last>
            <b:First>Ms</b:First>
            <b:Middle>Jennifer A., et al</b:Middle>
          </b:Person>
        </b:NameList>
      </b:Author>
    </b:Author>
    <b:Title>Credit derivatives: systemic risks and policy options?</b:Title>
    <b:Year>2009</b:Year>
    <b:Publisher>International Monetary Fund</b:Publisher>
    <b:RefOrder>5</b:RefOrder>
  </b:Source>
  <b:Source>
    <b:Tag>Placeholder1</b:Tag>
    <b:SourceType>Report</b:SourceType>
    <b:Guid>{0DDA6546-363F-46C8-8581-94DDD2BDC5D2}</b:Guid>
    <b:RefOrder>14</b:RefOrder>
  </b:Source>
  <b:Source>
    <b:Tag>Gün11</b:Tag>
    <b:SourceType>JournalArticle</b:SourceType>
    <b:Guid>{05979672-E4B8-4D26-913D-09D9F9D16C7D}</b:Guid>
    <b:Author>
      <b:Author>
        <b:NameList>
          <b:Person>
            <b:Last>Gündüz</b:Last>
            <b:First>Yalin,</b:First>
            <b:Middle>and Marliese Uhrig-Homburg.</b:Middle>
          </b:Person>
        </b:NameList>
      </b:Author>
    </b:Author>
    <b:Title>Predicting credit default swap prices with financial and pure data-driven approaches.</b:Title>
    <b:JournalName>Quantitative Finance 11.12</b:JournalName>
    <b:Year>2011</b:Year>
    <b:Pages>1709-1727</b:Pages>
    <b:RefOrder>7</b:RefOrder>
  </b:Source>
  <b:Source>
    <b:Tag>Zha18</b:Tag>
    <b:SourceType>JournalArticle</b:SourceType>
    <b:Guid>{36B9A7AA-B08F-4D59-8942-65283FE0C4DB}</b:Guid>
    <b:Author>
      <b:Author>
        <b:NameList>
          <b:Person>
            <b:Last>Zhang</b:Last>
            <b:First>Terrence</b:First>
            <b:Middle>Y.</b:Middle>
          </b:Person>
        </b:NameList>
      </b:Author>
    </b:Author>
    <b:Title>Predicting Credit Default Swap (CDS) Returns with Machine Learning.</b:Title>
    <b:JournalName>Available at SSRN 3152143</b:JournalName>
    <b:Year>2018</b:Year>
    <b:RefOrder>8</b:RefOrder>
  </b:Source>
  <b:Source>
    <b:Tag>HuN19</b:Tag>
    <b:SourceType>Report</b:SourceType>
    <b:Guid>{9D21BF7D-D145-4601-9769-6EEC3E6A1E0E}</b:Guid>
    <b:Author>
      <b:Author>
        <b:NameList>
          <b:Person>
            <b:Last>Hu</b:Last>
            <b:First>Nan,</b:First>
            <b:Middle>Jian Li, and Alexis Meyer-Cirkel.</b:Middle>
          </b:Person>
        </b:NameList>
      </b:Author>
    </b:Author>
    <b:Title>Completing the Market: Generating Shadow CDS Spreads by Machine Learning.</b:Title>
    <b:JournalName>International Monetary Fund</b:JournalName>
    <b:Year>2019</b:Year>
    <b:Pages>2019</b:Pages>
    <b:Publisher>International Monetary Fund</b:Publisher>
    <b:RefOrder>9</b:RefOrder>
  </b:Source>
  <b:Source>
    <b:Tag>Hea</b:Tag>
    <b:SourceType>InternetSite</b:SourceType>
    <b:Guid>{05396347-87B3-44C8-81ED-9DB8380787C2}</b:Guid>
    <b:URL>https://www.theguardian.com/books/2010/mar/07/the-greatest-trade-ever-by-gregory-zuckerman-review-heather-stewart</b:URL>
    <b:Author>
      <b:Author>
        <b:NameList>
          <b:Person>
            <b:Last>Stewart</b:Last>
            <b:First>Heather</b:First>
          </b:Person>
        </b:NameList>
      </b:Author>
    </b:Author>
    <b:Year>2010</b:Year>
    <b:Month>March</b:Month>
    <b:Day>07</b:Day>
    <b:RefOrder>2</b:RefOrder>
  </b:Source>
  <b:Source>
    <b:Tag>htt7</b:Tag>
    <b:SourceType>InternetSite</b:SourceType>
    <b:Guid>{C38F8CB0-B4D1-43D6-8BA8-C483DBFD8F59}</b:Guid>
    <b:URL>https://streetfins.com/analyzing-bill-ackmans-2-6-billion-cds-trade/</b:URL>
    <b:Year>2020</b:Year>
    <b:Author>
      <b:Author>
        <b:NameList>
          <b:Person>
            <b:Last>Gupta</b:Last>
            <b:First>Rishi</b:First>
            <b:Middle>Ganupa and Rohan</b:Middle>
          </b:Person>
        </b:NameList>
      </b:Author>
    </b:Author>
    <b:RefOrder>15</b:RefOrder>
  </b:Source>
  <b:Source>
    <b:Tag>ihs21</b:Tag>
    <b:SourceType>DocumentFromInternetSite</b:SourceType>
    <b:Guid>{40350034-CD3F-4D13-8621-3DC3C597B696}</b:Guid>
    <b:Year>2021</b:Year>
    <b:URL>https://cdn.ihsmarkit.com/www/pdf/1221/CDS-Indices-Primer---2021.pdf</b:URL>
    <b:Author>
      <b:Author>
        <b:NameList>
          <b:Person>
            <b:Last>Markit</b:Last>
            <b:First>IHS</b:First>
          </b:Person>
        </b:NameList>
      </b:Author>
    </b:Author>
    <b:RefOrder>3</b:RefOrder>
  </b:Source>
  <b:Source>
    <b:Tag>Avi14</b:Tag>
    <b:SourceType>JournalArticle</b:SourceType>
    <b:Guid>{AC9CEE1C-52B6-46E1-AB47-77B05664F0A0}</b:Guid>
    <b:Title>Are CDS spreads predictable? An analysis of linear and non-linear forecasting models.</b:Title>
    <b:Year>2014</b:Year>
    <b:Author>
      <b:Author>
        <b:NameList>
          <b:Person>
            <b:Last>Avino</b:Last>
            <b:First>Davide,</b:First>
            <b:Middle>and Ogonna Nneji.</b:Middle>
          </b:Person>
        </b:NameList>
      </b:Author>
    </b:Author>
    <b:JournalName>International Review of Financial Analysis 34</b:JournalName>
    <b:Pages>262-274</b:Pages>
    <b:RefOrder>6</b:RefOrder>
  </b:Source>
  <b:Source>
    <b:Tag>Gün16</b:Tag>
    <b:SourceType>JournalArticle</b:SourceType>
    <b:Guid>{A8A326CD-887B-4D80-BBFB-BD85CD6137DB}</b:Guid>
    <b:Title>Long-memory in volatilities of cds spreads: evidences from the emerging markets.</b:Title>
    <b:Year>2016</b:Year>
    <b:Author>
      <b:Author>
        <b:NameList>
          <b:Person>
            <b:Last>Günay</b:Last>
            <b:First>Samet,</b:First>
            <b:Middle>and Yanlin Shi.</b:Middle>
          </b:Person>
        </b:NameList>
      </b:Author>
    </b:Author>
    <b:JournalName>ournal for Economic Forecasting 1</b:JournalName>
    <b:Pages>122-137</b:Pages>
    <b:RefOrder>10</b:RefOrder>
  </b:Source>
  <b:Source>
    <b:Tag>Bal22</b:Tag>
    <b:SourceType>JournalArticle</b:SourceType>
    <b:Guid>{930CFF2C-91DB-4BEC-9C12-DF0317A3068E}</b:Guid>
    <b:Author>
      <b:Author>
        <b:NameList>
          <b:Person>
            <b:Last>Balkan</b:Last>
            <b:First>Emrah,</b:First>
            <b:Middle>and Umut Uyar.</b:Middle>
          </b:Person>
        </b:NameList>
      </b:Author>
    </b:Author>
    <b:Title>The Fractal Structure of CDS Spreads: Evidence from the OECD Countries.</b:Title>
    <b:JournalName>Romanian Journal of Economic Forecasting 25.1</b:JournalName>
    <b:Year>2022</b:Year>
    <b:Pages>106</b:Pages>
    <b:RefOrder>11</b:RefOrder>
  </b:Source>
  <b:Source>
    <b:Tag>HeX14</b:Tag>
    <b:SourceType>JournalArticle</b:SourceType>
    <b:Guid>{78AF5DC6-2FFE-45AD-A04D-B2D711F22CB4}</b:Guid>
    <b:Author>
      <b:Author>
        <b:NameList>
          <b:Person>
            <b:Last>He</b:Last>
            <b:First>Xinjiang,</b:First>
            <b:Middle>and Wenting Chen.</b:Middle>
          </b:Person>
        </b:NameList>
      </b:Author>
    </b:Author>
    <b:Title>The pricing of credit default swaps under a generalized mixed fractional Brownian motion.</b:Title>
    <b:JournalName>Physica A: Statistical Mechanics and its Applications 404</b:JournalName>
    <b:Year>2014</b:Year>
    <b:Pages>26-33</b:Pages>
    <b:RefOrder>12</b:RefOrder>
  </b:Source>
  <b:Source>
    <b:Tag>She22</b:Tag>
    <b:SourceType>JournalArticle</b:SourceType>
    <b:Guid>{DFEB582D-2033-4BE9-9D93-48867BAAE3DE}</b:Guid>
    <b:Author>
      <b:Author>
        <b:NameList>
          <b:Person>
            <b:Last>Sheraz</b:Last>
            <b:First>Muhammad,</b:First>
            <b:Middle>Silvia Dedu, and Vasile Preda.</b:Middle>
          </b:Person>
        </b:NameList>
      </b:Author>
    </b:Author>
    <b:Title>Volatility Dynamics of Non-Linear Volatile Time Series and Analysis of Information Flow: Evidence from Cryptocurrency Data.</b:Title>
    <b:JournalName>Entropy 24.10</b:JournalName>
    <b:Year>2022</b:Year>
    <b:Pages>1410</b:Pages>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81ECA-AB3F-4FE6-BBD6-9A5E952C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12</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MScFE Capstone Project</dc:subject>
  <dc:creator>Laura Barnard</dc:creator>
  <cp:keywords/>
  <dc:description/>
  <cp:lastModifiedBy>Rajneesh Singh</cp:lastModifiedBy>
  <cp:revision>8</cp:revision>
  <cp:lastPrinted>2023-02-07T18:33:00Z</cp:lastPrinted>
  <dcterms:created xsi:type="dcterms:W3CDTF">2023-02-08T09:54:00Z</dcterms:created>
  <dcterms:modified xsi:type="dcterms:W3CDTF">2023-02-09T17:23:00Z</dcterms:modified>
</cp:coreProperties>
</file>