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D04" w:rsidRDefault="00C4584E" w:rsidP="008D7C63">
      <w:pPr>
        <w:pStyle w:val="Heading1"/>
        <w:tabs>
          <w:tab w:val="left" w:pos="24"/>
        </w:tabs>
        <w:adjustRightInd w:val="0"/>
        <w:snapToGrid w:val="0"/>
      </w:pPr>
      <w:r w:rsidRPr="00C4584E">
        <w:rPr>
          <w:lang w:eastAsia="ko-KR"/>
        </w:rPr>
        <w:t>Deep Learning based Forecasting and Trading of Credit Derivatives Indices</w:t>
      </w:r>
    </w:p>
    <w:p w:rsidR="00305D04" w:rsidRDefault="00305D04" w:rsidP="008D7C63">
      <w:pPr>
        <w:tabs>
          <w:tab w:val="left" w:pos="24"/>
        </w:tabs>
        <w:adjustRightInd w:val="0"/>
        <w:snapToGrid w:val="0"/>
        <w:jc w:val="center"/>
        <w:rPr>
          <w:sz w:val="22"/>
        </w:rPr>
      </w:pPr>
    </w:p>
    <w:p w:rsidR="00305D04" w:rsidRDefault="00305D04" w:rsidP="008D7C63">
      <w:pPr>
        <w:tabs>
          <w:tab w:val="left" w:pos="24"/>
        </w:tabs>
        <w:adjustRightInd w:val="0"/>
        <w:snapToGrid w:val="0"/>
        <w:jc w:val="center"/>
        <w:rPr>
          <w:sz w:val="22"/>
        </w:rPr>
      </w:pPr>
    </w:p>
    <w:p w:rsidR="00305D04" w:rsidRDefault="00282E0F" w:rsidP="008D7C63">
      <w:pPr>
        <w:tabs>
          <w:tab w:val="left" w:pos="24"/>
        </w:tabs>
        <w:adjustRightInd w:val="0"/>
        <w:snapToGrid w:val="0"/>
        <w:jc w:val="center"/>
        <w:rPr>
          <w:sz w:val="24"/>
          <w:lang w:eastAsia="ko-KR"/>
        </w:rPr>
      </w:pPr>
      <w:r>
        <w:rPr>
          <w:sz w:val="24"/>
        </w:rPr>
        <w:t>Rajneesh Kumar Singh</w:t>
      </w:r>
    </w:p>
    <w:p w:rsidR="00305D04" w:rsidRDefault="00282E0F" w:rsidP="008D7C63">
      <w:pPr>
        <w:tabs>
          <w:tab w:val="left" w:pos="24"/>
        </w:tabs>
        <w:adjustRightInd w:val="0"/>
        <w:snapToGrid w:val="0"/>
        <w:spacing w:beforeLines="50" w:before="120"/>
        <w:jc w:val="center"/>
        <w:rPr>
          <w:i/>
          <w:sz w:val="24"/>
        </w:rPr>
      </w:pPr>
      <w:r>
        <w:rPr>
          <w:i/>
          <w:sz w:val="24"/>
        </w:rPr>
        <w:t>WorldQuant University</w:t>
      </w:r>
    </w:p>
    <w:p w:rsidR="00305D04" w:rsidRDefault="00282E0F" w:rsidP="008D7C63">
      <w:pPr>
        <w:tabs>
          <w:tab w:val="left" w:pos="24"/>
        </w:tabs>
        <w:adjustRightInd w:val="0"/>
        <w:snapToGrid w:val="0"/>
        <w:jc w:val="center"/>
        <w:rPr>
          <w:i/>
          <w:sz w:val="24"/>
        </w:rPr>
      </w:pPr>
      <w:r>
        <w:rPr>
          <w:i/>
          <w:sz w:val="24"/>
        </w:rPr>
        <w:t>singhrajneesh@gmail.com</w:t>
      </w:r>
    </w:p>
    <w:p w:rsidR="00305D04" w:rsidRDefault="00305D04" w:rsidP="008D7C63">
      <w:pPr>
        <w:pStyle w:val="Heading1"/>
        <w:tabs>
          <w:tab w:val="left" w:pos="24"/>
        </w:tabs>
        <w:adjustRightInd w:val="0"/>
        <w:snapToGrid w:val="0"/>
        <w:spacing w:before="240" w:after="120"/>
        <w:rPr>
          <w:i/>
          <w:sz w:val="24"/>
        </w:rPr>
      </w:pPr>
      <w:r>
        <w:rPr>
          <w:i/>
          <w:sz w:val="24"/>
        </w:rPr>
        <w:t>Abstract</w:t>
      </w:r>
    </w:p>
    <w:p w:rsidR="00305D04" w:rsidRDefault="00694CEE" w:rsidP="004E26C3">
      <w:pPr>
        <w:pStyle w:val="BodyText"/>
        <w:tabs>
          <w:tab w:val="left" w:pos="24"/>
        </w:tabs>
        <w:adjustRightInd w:val="0"/>
        <w:snapToGrid w:val="0"/>
        <w:rPr>
          <w:lang w:eastAsia="ko-KR"/>
        </w:rPr>
      </w:pPr>
      <w:r>
        <w:t xml:space="preserve">In this paper we apply Deep Learning architecture to predict the spread of credit default swap (CDS) on the North America Investment Grade index (CDX.NA.IG). </w:t>
      </w:r>
      <w:r w:rsidR="007E3288">
        <w:t>The</w:t>
      </w:r>
      <w:r w:rsidR="005446A8">
        <w:t xml:space="preserve"> implemented</w:t>
      </w:r>
      <w:r w:rsidR="007E3288">
        <w:t xml:space="preserve"> </w:t>
      </w:r>
      <w:r w:rsidR="00E2513E">
        <w:t>Long-Short Term Memory (</w:t>
      </w:r>
      <w:r w:rsidR="007E3288">
        <w:t>LSTM</w:t>
      </w:r>
      <w:r w:rsidR="00E2513E">
        <w:t>)</w:t>
      </w:r>
      <w:r w:rsidR="005446A8">
        <w:t xml:space="preserve"> model </w:t>
      </w:r>
      <w:r w:rsidR="007E3288">
        <w:t>is compared</w:t>
      </w:r>
      <w:r w:rsidR="00ED3016">
        <w:t xml:space="preserve"> with</w:t>
      </w:r>
      <w:r w:rsidR="007E3288">
        <w:t xml:space="preserve"> </w:t>
      </w:r>
      <w:r w:rsidR="00ED3016">
        <w:t xml:space="preserve">a baseline </w:t>
      </w:r>
      <w:r w:rsidR="00066021">
        <w:t>Support Vector Machine (SVM)</w:t>
      </w:r>
      <w:r w:rsidR="00103674">
        <w:t xml:space="preserve"> </w:t>
      </w:r>
      <w:r w:rsidR="005446A8">
        <w:t xml:space="preserve">model </w:t>
      </w:r>
      <w:r w:rsidR="007E3288">
        <w:t>through the root mean squared error.</w:t>
      </w:r>
      <w:r w:rsidR="00283CAC">
        <w:t xml:space="preserve"> Simulated trading is conducted in the study a</w:t>
      </w:r>
      <w:r w:rsidR="005446A8">
        <w:t>nd the performance compared using</w:t>
      </w:r>
      <w:r w:rsidR="00283CAC">
        <w:t xml:space="preserve"> Sharpe ratio and maximum loss metrics.</w:t>
      </w:r>
    </w:p>
    <w:p w:rsidR="00BC6BC4" w:rsidRPr="002F7515" w:rsidRDefault="00BC6BC4" w:rsidP="008D7C63">
      <w:pPr>
        <w:pStyle w:val="BodyText"/>
        <w:tabs>
          <w:tab w:val="left" w:pos="24"/>
        </w:tabs>
        <w:adjustRightInd w:val="0"/>
        <w:snapToGrid w:val="0"/>
        <w:rPr>
          <w:i w:val="0"/>
          <w:lang w:eastAsia="ko-KR"/>
        </w:rPr>
      </w:pPr>
    </w:p>
    <w:p w:rsidR="00BC6BC4" w:rsidRPr="0009109B" w:rsidRDefault="00BC6BC4" w:rsidP="008D7C63">
      <w:pPr>
        <w:pStyle w:val="BodyText"/>
        <w:tabs>
          <w:tab w:val="left" w:pos="24"/>
        </w:tabs>
        <w:adjustRightInd w:val="0"/>
        <w:snapToGrid w:val="0"/>
        <w:ind w:firstLine="244"/>
        <w:rPr>
          <w:lang w:eastAsia="ko-KR"/>
        </w:rPr>
      </w:pPr>
      <w:r w:rsidRPr="00BC6BC4">
        <w:rPr>
          <w:rFonts w:hint="eastAsia"/>
          <w:b/>
          <w:lang w:eastAsia="ko-KR"/>
        </w:rPr>
        <w:t xml:space="preserve">Keywords: </w:t>
      </w:r>
      <w:r w:rsidR="004E26C3">
        <w:rPr>
          <w:lang w:eastAsia="ko-KR"/>
        </w:rPr>
        <w:t>CDS Spreads, LSTM</w:t>
      </w:r>
      <w:r w:rsidR="00CD37D2">
        <w:rPr>
          <w:lang w:eastAsia="ko-KR"/>
        </w:rPr>
        <w:t>, Hurst Exponent</w:t>
      </w:r>
      <w:r w:rsidR="00703D8B">
        <w:rPr>
          <w:lang w:eastAsia="ko-KR"/>
        </w:rPr>
        <w:t xml:space="preserve">, </w:t>
      </w:r>
      <w:r w:rsidR="00066021">
        <w:rPr>
          <w:lang w:eastAsia="ko-KR"/>
        </w:rPr>
        <w:t>SVM</w:t>
      </w:r>
    </w:p>
    <w:p w:rsidR="00305D04" w:rsidRPr="0009109B" w:rsidRDefault="00305D04" w:rsidP="008D7C63">
      <w:pPr>
        <w:tabs>
          <w:tab w:val="left" w:pos="24"/>
        </w:tabs>
        <w:adjustRightInd w:val="0"/>
        <w:snapToGrid w:val="0"/>
        <w:jc w:val="both"/>
        <w:rPr>
          <w:sz w:val="22"/>
        </w:rPr>
      </w:pPr>
    </w:p>
    <w:p w:rsidR="00305D04" w:rsidRDefault="00A85358" w:rsidP="008D7C63">
      <w:pPr>
        <w:tabs>
          <w:tab w:val="left" w:pos="24"/>
        </w:tabs>
        <w:adjustRightInd w:val="0"/>
        <w:snapToGrid w:val="0"/>
        <w:jc w:val="both"/>
        <w:rPr>
          <w:b/>
          <w:sz w:val="26"/>
        </w:rPr>
      </w:pPr>
      <w:r>
        <w:rPr>
          <w:b/>
          <w:sz w:val="26"/>
        </w:rPr>
        <w:t>1. Introduction</w:t>
      </w:r>
    </w:p>
    <w:p w:rsidR="00305D04" w:rsidRDefault="005B47E1" w:rsidP="008D7C63">
      <w:pPr>
        <w:pStyle w:val="BodyTextIndent"/>
        <w:tabs>
          <w:tab w:val="left" w:pos="24"/>
        </w:tabs>
        <w:adjustRightInd w:val="0"/>
        <w:snapToGrid w:val="0"/>
        <w:spacing w:before="120"/>
        <w:ind w:firstLine="244"/>
        <w:rPr>
          <w:spacing w:val="0"/>
        </w:rPr>
      </w:pPr>
      <w:r w:rsidRPr="005B47E1">
        <w:rPr>
          <w:spacing w:val="0"/>
        </w:rPr>
        <w:t xml:space="preserve">In his debut non-fiction book titled “The Greatest Trade Ever: How One Man Bet against the Markets and Made $20 Billion”, American journalist Gregory Zuckerman narrates behind the scenes story of how John Paulson had pulled off the greatest trade in financial history. “By piling into complex "credit default swaps" against mortgages – in effect, insurance policies that would pay out if homeowners defaulted – his fund made an unthinkable $15bn (£9.8bn) in a year, $4bn of which he took home himself </w:t>
      </w:r>
      <w:sdt>
        <w:sdtPr>
          <w:rPr>
            <w:spacing w:val="0"/>
          </w:rPr>
          <w:id w:val="-1643497895"/>
          <w:citation/>
        </w:sdtPr>
        <w:sdtEndPr/>
        <w:sdtContent>
          <w:r w:rsidRPr="005B47E1">
            <w:rPr>
              <w:spacing w:val="0"/>
            </w:rPr>
            <w:fldChar w:fldCharType="begin"/>
          </w:r>
          <w:r w:rsidRPr="005B47E1">
            <w:rPr>
              <w:spacing w:val="0"/>
            </w:rPr>
            <w:instrText xml:space="preserve"> CITATION Hea \l 1033 </w:instrText>
          </w:r>
          <w:r w:rsidRPr="005B47E1">
            <w:rPr>
              <w:spacing w:val="0"/>
            </w:rPr>
            <w:fldChar w:fldCharType="separate"/>
          </w:r>
          <w:r w:rsidRPr="005B47E1">
            <w:rPr>
              <w:spacing w:val="0"/>
            </w:rPr>
            <w:t>(Stewart, 2010)</w:t>
          </w:r>
          <w:r w:rsidRPr="005B47E1">
            <w:rPr>
              <w:spacing w:val="0"/>
            </w:rPr>
            <w:fldChar w:fldCharType="end"/>
          </w:r>
        </w:sdtContent>
      </w:sdt>
      <w:r w:rsidRPr="005B47E1">
        <w:rPr>
          <w:spacing w:val="0"/>
        </w:rPr>
        <w:t>” and that dwarfed George Soros's billion-dollar currency trade in 1992. The 2015 movie “The Big Short” is based on the same trade.</w:t>
      </w:r>
    </w:p>
    <w:p w:rsidR="005B47E1" w:rsidRDefault="005B47E1" w:rsidP="005B47E1">
      <w:pPr>
        <w:pStyle w:val="BodyTextIndent"/>
        <w:tabs>
          <w:tab w:val="left" w:pos="24"/>
        </w:tabs>
        <w:adjustRightInd w:val="0"/>
        <w:snapToGrid w:val="0"/>
        <w:spacing w:before="120"/>
        <w:ind w:firstLine="244"/>
        <w:rPr>
          <w:spacing w:val="0"/>
        </w:rPr>
      </w:pPr>
      <w:r w:rsidRPr="005B47E1">
        <w:rPr>
          <w:spacing w:val="0"/>
        </w:rPr>
        <w:t>Credit default swap (CDS) is a credit derivative instrument which is basically like an insurance on the default of the underlying reference entity. The reference entity could be a corporate or any sovereign. These are instruments which protects the buyer in case of default. In return the protection buyer pays a quarterly fee to the protection seller. Many such credit default swaps can be bundled together and form an index swap. For example CDX.NA.IG is one such portfolio of single-name credit default swaps on the 125 most liquid investment grade corporates in North America. European and other regional equivalents also trade actively. Further there are options and tranched products on these macro credit indices</w:t>
      </w:r>
      <w:sdt>
        <w:sdtPr>
          <w:rPr>
            <w:spacing w:val="0"/>
          </w:rPr>
          <w:id w:val="134994974"/>
          <w:citation/>
        </w:sdtPr>
        <w:sdtEndPr/>
        <w:sdtContent>
          <w:r w:rsidRPr="005B47E1">
            <w:rPr>
              <w:spacing w:val="0"/>
            </w:rPr>
            <w:fldChar w:fldCharType="begin"/>
          </w:r>
          <w:r w:rsidRPr="005B47E1">
            <w:rPr>
              <w:spacing w:val="0"/>
            </w:rPr>
            <w:instrText xml:space="preserve">CITATION ihs21 \l 1033 </w:instrText>
          </w:r>
          <w:r w:rsidRPr="005B47E1">
            <w:rPr>
              <w:spacing w:val="0"/>
            </w:rPr>
            <w:fldChar w:fldCharType="separate"/>
          </w:r>
          <w:r w:rsidRPr="005B47E1">
            <w:rPr>
              <w:spacing w:val="0"/>
            </w:rPr>
            <w:t xml:space="preserve"> (Markit, 2021)</w:t>
          </w:r>
          <w:r w:rsidRPr="005B47E1">
            <w:rPr>
              <w:spacing w:val="0"/>
            </w:rPr>
            <w:fldChar w:fldCharType="end"/>
          </w:r>
        </w:sdtContent>
      </w:sdt>
      <w:r w:rsidRPr="005B47E1">
        <w:rPr>
          <w:spacing w:val="0"/>
        </w:rPr>
        <w:t>. For a more detailed understanding of the credit default swaps readers are referred to the Federal Reserve Board’s discussion paper on the same</w:t>
      </w:r>
      <w:sdt>
        <w:sdtPr>
          <w:rPr>
            <w:spacing w:val="0"/>
          </w:rPr>
          <w:id w:val="-1514220703"/>
          <w:citation/>
        </w:sdtPr>
        <w:sdtEndPr/>
        <w:sdtContent>
          <w:r w:rsidRPr="005B47E1">
            <w:rPr>
              <w:spacing w:val="0"/>
            </w:rPr>
            <w:fldChar w:fldCharType="begin"/>
          </w:r>
          <w:r w:rsidRPr="005B47E1">
            <w:rPr>
              <w:spacing w:val="0"/>
            </w:rPr>
            <w:instrText xml:space="preserve">CITATION Bom \l 1033 </w:instrText>
          </w:r>
          <w:r w:rsidRPr="005B47E1">
            <w:rPr>
              <w:spacing w:val="0"/>
            </w:rPr>
            <w:fldChar w:fldCharType="separate"/>
          </w:r>
          <w:r w:rsidRPr="005B47E1">
            <w:rPr>
              <w:spacing w:val="0"/>
            </w:rPr>
            <w:t xml:space="preserve"> (Bomfim, 2022)</w:t>
          </w:r>
          <w:r w:rsidRPr="005B47E1">
            <w:rPr>
              <w:spacing w:val="0"/>
            </w:rPr>
            <w:fldChar w:fldCharType="end"/>
          </w:r>
        </w:sdtContent>
      </w:sdt>
      <w:r w:rsidRPr="005B47E1">
        <w:rPr>
          <w:spacing w:val="0"/>
        </w:rPr>
        <w:t>.</w:t>
      </w:r>
    </w:p>
    <w:p w:rsidR="00DF5C7A" w:rsidRDefault="00DF5C7A" w:rsidP="005B47E1">
      <w:pPr>
        <w:pStyle w:val="BodyTextIndent"/>
        <w:tabs>
          <w:tab w:val="left" w:pos="24"/>
        </w:tabs>
        <w:adjustRightInd w:val="0"/>
        <w:snapToGrid w:val="0"/>
        <w:spacing w:before="120"/>
        <w:ind w:firstLine="244"/>
        <w:rPr>
          <w:spacing w:val="0"/>
        </w:rPr>
      </w:pPr>
      <w:r w:rsidRPr="00DF5C7A">
        <w:rPr>
          <w:spacing w:val="0"/>
        </w:rPr>
        <w:t>Credit derivative products gained immense notoriety and have largely been blamed for the Great Financial Crisis of 2008-2009. These markets had largely been unregulated before that and is still opaque to many market participants. In an IMF working paper</w:t>
      </w:r>
      <w:sdt>
        <w:sdtPr>
          <w:rPr>
            <w:spacing w:val="0"/>
          </w:rPr>
          <w:id w:val="-674797238"/>
          <w:citation/>
        </w:sdtPr>
        <w:sdtEndPr/>
        <w:sdtContent>
          <w:r w:rsidRPr="00DF5C7A">
            <w:rPr>
              <w:spacing w:val="0"/>
            </w:rPr>
            <w:fldChar w:fldCharType="begin"/>
          </w:r>
          <w:r w:rsidRPr="00DF5C7A">
            <w:rPr>
              <w:spacing w:val="0"/>
            </w:rPr>
            <w:instrText xml:space="preserve"> CITATION Ell09 \l 1033 </w:instrText>
          </w:r>
          <w:r w:rsidRPr="00DF5C7A">
            <w:rPr>
              <w:spacing w:val="0"/>
            </w:rPr>
            <w:fldChar w:fldCharType="separate"/>
          </w:r>
          <w:r w:rsidRPr="00DF5C7A">
            <w:rPr>
              <w:spacing w:val="0"/>
            </w:rPr>
            <w:t xml:space="preserve"> (Elliott, 2009)</w:t>
          </w:r>
          <w:r w:rsidRPr="00DF5C7A">
            <w:rPr>
              <w:spacing w:val="0"/>
            </w:rPr>
            <w:fldChar w:fldCharType="end"/>
          </w:r>
        </w:sdtContent>
      </w:sdt>
      <w:r w:rsidRPr="00DF5C7A">
        <w:rPr>
          <w:spacing w:val="0"/>
        </w:rPr>
        <w:t xml:space="preserve"> the authors highlight how credit derivative markets can increase systemic risk due to the inter-connectedness of large financial institutions and how policy makers need to be aware of the “blind-spots” in this market.</w:t>
      </w:r>
    </w:p>
    <w:p w:rsidR="00D16DD7" w:rsidRDefault="00DF5C7A" w:rsidP="00D16DD7">
      <w:pPr>
        <w:pStyle w:val="BodyTextIndent"/>
        <w:tabs>
          <w:tab w:val="left" w:pos="24"/>
        </w:tabs>
        <w:adjustRightInd w:val="0"/>
        <w:snapToGrid w:val="0"/>
        <w:spacing w:before="120"/>
        <w:ind w:firstLine="244"/>
        <w:rPr>
          <w:spacing w:val="0"/>
        </w:rPr>
      </w:pPr>
      <w:r w:rsidRPr="00DF5C7A">
        <w:rPr>
          <w:spacing w:val="0"/>
        </w:rPr>
        <w:t xml:space="preserve">Recently the CDS of Russian Federation came into focus as it launched a full-fledged war against Ukraine in early 2022. </w:t>
      </w:r>
      <w:r w:rsidR="00314256">
        <w:rPr>
          <w:spacing w:val="0"/>
        </w:rPr>
        <w:t xml:space="preserve">We can in </w:t>
      </w:r>
      <w:r w:rsidR="0008678C">
        <w:rPr>
          <w:spacing w:val="0"/>
        </w:rPr>
        <w:t>F</w:t>
      </w:r>
      <w:r w:rsidRPr="00DF5C7A">
        <w:rPr>
          <w:spacing w:val="0"/>
        </w:rPr>
        <w:t xml:space="preserve">igure </w:t>
      </w:r>
      <w:r w:rsidR="0008678C">
        <w:rPr>
          <w:spacing w:val="0"/>
        </w:rPr>
        <w:t>1.</w:t>
      </w:r>
      <w:r w:rsidRPr="00DF5C7A">
        <w:rPr>
          <w:spacing w:val="0"/>
        </w:rPr>
        <w:t xml:space="preserve">how the premium on the CDS sky-rocketed as the war progressed and there were fears that the Russian state would not </w:t>
      </w:r>
      <w:r w:rsidR="00FF014A" w:rsidRPr="00DF5C7A">
        <w:rPr>
          <w:spacing w:val="0"/>
        </w:rPr>
        <w:t>honor</w:t>
      </w:r>
      <w:r w:rsidRPr="00DF5C7A">
        <w:rPr>
          <w:spacing w:val="0"/>
        </w:rPr>
        <w:t xml:space="preserve"> </w:t>
      </w:r>
      <w:r w:rsidRPr="00DF5C7A">
        <w:rPr>
          <w:spacing w:val="0"/>
        </w:rPr>
        <w:lastRenderedPageBreak/>
        <w:t>the coupon payments on their outstanding bonds. Also notice the volatility around this CDS price.</w:t>
      </w:r>
    </w:p>
    <w:p w:rsidR="00D16DD7" w:rsidRPr="00DF5C7A" w:rsidRDefault="00D16DD7" w:rsidP="00DF5C7A">
      <w:pPr>
        <w:pStyle w:val="BodyTextIndent"/>
        <w:tabs>
          <w:tab w:val="left" w:pos="24"/>
        </w:tabs>
        <w:adjustRightInd w:val="0"/>
        <w:snapToGrid w:val="0"/>
        <w:spacing w:before="120"/>
        <w:ind w:firstLine="244"/>
        <w:rPr>
          <w:spacing w:val="0"/>
        </w:rPr>
      </w:pPr>
      <w:r w:rsidRPr="007B4583">
        <w:rPr>
          <w:noProof/>
          <w:sz w:val="24"/>
          <w:szCs w:val="24"/>
          <w:lang w:val="en-GB" w:eastAsia="en-GB"/>
        </w:rPr>
        <w:drawing>
          <wp:inline distT="0" distB="0" distL="0" distR="0" wp14:anchorId="6803EE4B" wp14:editId="79D9ADFA">
            <wp:extent cx="5058410" cy="2844165"/>
            <wp:effectExtent l="19050" t="19050" r="2794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ussia 2022 cds default.png"/>
                    <pic:cNvPicPr/>
                  </pic:nvPicPr>
                  <pic:blipFill>
                    <a:blip r:embed="rId8">
                      <a:extLst>
                        <a:ext uri="{28A0092B-C50C-407E-A947-70E740481C1C}">
                          <a14:useLocalDpi xmlns:a14="http://schemas.microsoft.com/office/drawing/2010/main" val="0"/>
                        </a:ext>
                      </a:extLst>
                    </a:blip>
                    <a:stretch>
                      <a:fillRect/>
                    </a:stretch>
                  </pic:blipFill>
                  <pic:spPr>
                    <a:xfrm>
                      <a:off x="0" y="0"/>
                      <a:ext cx="5058410" cy="2844165"/>
                    </a:xfrm>
                    <a:prstGeom prst="rect">
                      <a:avLst/>
                    </a:prstGeom>
                    <a:noFill/>
                    <a:ln w="12700">
                      <a:solidFill>
                        <a:srgbClr val="000000"/>
                      </a:solidFill>
                      <a:miter lim="800000"/>
                      <a:headEnd/>
                      <a:tailEnd/>
                    </a:ln>
                  </pic:spPr>
                </pic:pic>
              </a:graphicData>
            </a:graphic>
          </wp:inline>
        </w:drawing>
      </w:r>
    </w:p>
    <w:p w:rsidR="00D16DD7" w:rsidRDefault="00D16DD7" w:rsidP="00D16DD7">
      <w:pPr>
        <w:tabs>
          <w:tab w:val="left" w:pos="24"/>
        </w:tabs>
        <w:adjustRightInd w:val="0"/>
        <w:snapToGrid w:val="0"/>
        <w:spacing w:before="120" w:after="240"/>
        <w:jc w:val="center"/>
        <w:rPr>
          <w:rFonts w:ascii="Helvetica" w:eastAsia="Malgun Gothic" w:hAnsi="Helvetica" w:cs="Helvetica"/>
          <w:b/>
          <w:sz w:val="22"/>
          <w:szCs w:val="22"/>
          <w:lang w:eastAsia="ko-KR"/>
        </w:rPr>
      </w:pPr>
    </w:p>
    <w:p w:rsidR="00D16DD7" w:rsidRPr="00192CD0" w:rsidRDefault="00D16DD7" w:rsidP="00192CD0">
      <w:pPr>
        <w:tabs>
          <w:tab w:val="left" w:pos="24"/>
        </w:tabs>
        <w:adjustRightInd w:val="0"/>
        <w:snapToGrid w:val="0"/>
        <w:spacing w:before="120" w:after="240"/>
        <w:jc w:val="center"/>
        <w:rPr>
          <w:rFonts w:ascii="Helvetica" w:eastAsia="Malgun Gothic" w:hAnsi="Helvetica" w:cs="Helvetica"/>
          <w:b/>
          <w:sz w:val="22"/>
          <w:szCs w:val="22"/>
          <w:lang w:eastAsia="ko-KR"/>
        </w:rPr>
      </w:pPr>
      <w:r w:rsidRPr="00FF10CE">
        <w:rPr>
          <w:rFonts w:ascii="Helvetica" w:eastAsia="Malgun Gothic" w:hAnsi="Helvetica" w:cs="Helvetica"/>
          <w:b/>
          <w:sz w:val="22"/>
          <w:szCs w:val="22"/>
          <w:lang w:eastAsia="ko-KR"/>
        </w:rPr>
        <w:t xml:space="preserve">Figure 1. </w:t>
      </w:r>
      <w:r>
        <w:rPr>
          <w:rFonts w:ascii="Helvetica" w:eastAsia="Malgun Gothic" w:hAnsi="Helvetica" w:cs="Helvetica"/>
          <w:b/>
          <w:sz w:val="22"/>
          <w:szCs w:val="22"/>
          <w:lang w:eastAsia="ko-KR"/>
        </w:rPr>
        <w:t>Russia CDS during Ukraine War in 2022</w:t>
      </w:r>
    </w:p>
    <w:p w:rsidR="009734C5" w:rsidRDefault="00192CD0" w:rsidP="00A85358">
      <w:pPr>
        <w:pStyle w:val="BodyTextIndent"/>
        <w:tabs>
          <w:tab w:val="left" w:pos="24"/>
        </w:tabs>
        <w:adjustRightInd w:val="0"/>
        <w:snapToGrid w:val="0"/>
        <w:spacing w:before="120"/>
        <w:ind w:firstLine="244"/>
        <w:rPr>
          <w:spacing w:val="0"/>
        </w:rPr>
      </w:pPr>
      <w:r w:rsidRPr="006A500B">
        <w:rPr>
          <w:spacing w:val="0"/>
        </w:rPr>
        <w:t xml:space="preserve">To implement a hedging and/or a trading strategy, the accurate forecasting of CDS spreads becomes important. </w:t>
      </w:r>
      <w:r w:rsidR="008232BF">
        <w:rPr>
          <w:spacing w:val="0"/>
        </w:rPr>
        <w:t xml:space="preserve">This is useful not only for investors looking to gain from the price moves, it is important for risk managers looking to hedge counterpart risk and for policy makers framing a policy response to systemic risk after global markets. </w:t>
      </w:r>
    </w:p>
    <w:p w:rsidR="00A85358" w:rsidRDefault="009734C5" w:rsidP="00A85358">
      <w:pPr>
        <w:pStyle w:val="BodyTextIndent"/>
        <w:tabs>
          <w:tab w:val="left" w:pos="24"/>
        </w:tabs>
        <w:adjustRightInd w:val="0"/>
        <w:snapToGrid w:val="0"/>
        <w:spacing w:before="120"/>
        <w:ind w:firstLine="244"/>
        <w:rPr>
          <w:spacing w:val="0"/>
        </w:rPr>
      </w:pPr>
      <w:r>
        <w:rPr>
          <w:spacing w:val="0"/>
        </w:rPr>
        <w:t>We focus our forecasting task not at individual corporate or any country CDS</w:t>
      </w:r>
      <w:r w:rsidR="00461556">
        <w:rPr>
          <w:spacing w:val="0"/>
        </w:rPr>
        <w:t xml:space="preserve"> level</w:t>
      </w:r>
      <w:r>
        <w:rPr>
          <w:spacing w:val="0"/>
        </w:rPr>
        <w:t xml:space="preserve">. Our focus is going to be credit indices which are like barometer of overall credit risk of whole economy just as </w:t>
      </w:r>
      <w:r w:rsidR="00192CD0" w:rsidRPr="006A500B">
        <w:rPr>
          <w:spacing w:val="0"/>
        </w:rPr>
        <w:t>the VIX index</w:t>
      </w:r>
      <w:r>
        <w:rPr>
          <w:spacing w:val="0"/>
        </w:rPr>
        <w:t xml:space="preserve"> represents volatility measure for macro equity index, SPX</w:t>
      </w:r>
      <w:r w:rsidR="00192CD0" w:rsidRPr="006A500B">
        <w:rPr>
          <w:spacing w:val="0"/>
        </w:rPr>
        <w:t>. While other asset classes like equity, bond and foreign exchange get lot of attention with regards to new forecasting techniques</w:t>
      </w:r>
      <w:r>
        <w:rPr>
          <w:spacing w:val="0"/>
        </w:rPr>
        <w:t xml:space="preserve"> using machine learning and deep learning</w:t>
      </w:r>
      <w:r w:rsidR="00192CD0" w:rsidRPr="006A500B">
        <w:rPr>
          <w:spacing w:val="0"/>
        </w:rPr>
        <w:t>, work on credit derivative asset class looks minimal in comparison.</w:t>
      </w:r>
      <w:r>
        <w:rPr>
          <w:spacing w:val="0"/>
        </w:rPr>
        <w:t xml:space="preserve"> We look to bridge this gap with our study.</w:t>
      </w:r>
    </w:p>
    <w:p w:rsidR="00AB2358" w:rsidRDefault="00AB2358" w:rsidP="00A85358">
      <w:pPr>
        <w:pStyle w:val="BodyTextIndent"/>
        <w:tabs>
          <w:tab w:val="left" w:pos="24"/>
        </w:tabs>
        <w:adjustRightInd w:val="0"/>
        <w:snapToGrid w:val="0"/>
        <w:spacing w:before="120"/>
        <w:ind w:firstLine="244"/>
        <w:rPr>
          <w:b/>
          <w:sz w:val="26"/>
        </w:rPr>
      </w:pPr>
    </w:p>
    <w:p w:rsidR="00192CD0" w:rsidRDefault="00192CD0" w:rsidP="00192CD0">
      <w:pPr>
        <w:tabs>
          <w:tab w:val="left" w:pos="24"/>
        </w:tabs>
        <w:adjustRightInd w:val="0"/>
        <w:snapToGrid w:val="0"/>
        <w:jc w:val="both"/>
        <w:rPr>
          <w:b/>
          <w:sz w:val="26"/>
        </w:rPr>
      </w:pPr>
      <w:r>
        <w:rPr>
          <w:b/>
          <w:sz w:val="26"/>
        </w:rPr>
        <w:t>2. Related Work</w:t>
      </w:r>
    </w:p>
    <w:p w:rsidR="006A500B" w:rsidRPr="006A500B" w:rsidRDefault="006A500B" w:rsidP="00192CD0">
      <w:pPr>
        <w:pStyle w:val="BodyTextIndent"/>
        <w:tabs>
          <w:tab w:val="left" w:pos="24"/>
        </w:tabs>
        <w:adjustRightInd w:val="0"/>
        <w:snapToGrid w:val="0"/>
        <w:spacing w:before="120"/>
        <w:ind w:firstLine="244"/>
        <w:rPr>
          <w:spacing w:val="0"/>
        </w:rPr>
      </w:pPr>
      <w:r w:rsidRPr="006A500B">
        <w:rPr>
          <w:spacing w:val="0"/>
        </w:rPr>
        <w:t xml:space="preserve">While a lot of studies has been done on the determinants of CDS spreads, the literature is sparse on price forecasting. </w:t>
      </w:r>
      <w:sdt>
        <w:sdtPr>
          <w:rPr>
            <w:spacing w:val="0"/>
          </w:rPr>
          <w:id w:val="-2134011259"/>
          <w:citation/>
        </w:sdtPr>
        <w:sdtEndPr/>
        <w:sdtContent>
          <w:r w:rsidRPr="006A500B">
            <w:rPr>
              <w:spacing w:val="0"/>
            </w:rPr>
            <w:fldChar w:fldCharType="begin"/>
          </w:r>
          <w:r w:rsidRPr="006A500B">
            <w:rPr>
              <w:spacing w:val="0"/>
            </w:rPr>
            <w:instrText xml:space="preserve">CITATION Avi14 \l 1033 </w:instrText>
          </w:r>
          <w:r w:rsidRPr="006A500B">
            <w:rPr>
              <w:spacing w:val="0"/>
            </w:rPr>
            <w:fldChar w:fldCharType="separate"/>
          </w:r>
          <w:r w:rsidRPr="006A500B">
            <w:rPr>
              <w:spacing w:val="0"/>
            </w:rPr>
            <w:t>(Avino, 2014)</w:t>
          </w:r>
          <w:r w:rsidRPr="006A500B">
            <w:rPr>
              <w:spacing w:val="0"/>
            </w:rPr>
            <w:fldChar w:fldCharType="end"/>
          </w:r>
        </w:sdtContent>
      </w:sdt>
      <w:r w:rsidRPr="006A500B">
        <w:rPr>
          <w:spacing w:val="0"/>
        </w:rPr>
        <w:t xml:space="preserve"> did an analysis of two linear forecasting models, ordinary least squares and an AR(1) model as well as a Markov regime-switching approach and found some evidence of statistical predictability. His instrument of choice was the iTraxx CDS index and the data covered the 2008 financial crisis. iTraxx index is a pool of CDS on 125 investment grade corporates in Europe. They found the Markov switching model underperforming the linear models under study.</w:t>
      </w:r>
    </w:p>
    <w:p w:rsidR="006A500B" w:rsidRPr="006A500B" w:rsidRDefault="006A500B" w:rsidP="006A500B">
      <w:pPr>
        <w:pStyle w:val="BodyTextIndent"/>
        <w:tabs>
          <w:tab w:val="left" w:pos="24"/>
        </w:tabs>
        <w:adjustRightInd w:val="0"/>
        <w:snapToGrid w:val="0"/>
        <w:spacing w:before="120"/>
        <w:ind w:firstLine="244"/>
        <w:rPr>
          <w:spacing w:val="0"/>
        </w:rPr>
      </w:pPr>
      <w:r w:rsidRPr="006A500B">
        <w:rPr>
          <w:spacing w:val="0"/>
        </w:rPr>
        <w:t xml:space="preserve">With the advent of machine learning models researchers have begun to apply them to the credit derivative markets. Support Vector Machines were applied by </w:t>
      </w:r>
      <w:sdt>
        <w:sdtPr>
          <w:rPr>
            <w:spacing w:val="0"/>
          </w:rPr>
          <w:id w:val="-1342693231"/>
          <w:citation/>
        </w:sdtPr>
        <w:sdtEndPr/>
        <w:sdtContent>
          <w:r w:rsidRPr="006A500B">
            <w:rPr>
              <w:spacing w:val="0"/>
            </w:rPr>
            <w:fldChar w:fldCharType="begin"/>
          </w:r>
          <w:r w:rsidRPr="006A500B">
            <w:rPr>
              <w:spacing w:val="0"/>
            </w:rPr>
            <w:instrText xml:space="preserve"> CITATION Gün11 \l 1033 </w:instrText>
          </w:r>
          <w:r w:rsidRPr="006A500B">
            <w:rPr>
              <w:spacing w:val="0"/>
            </w:rPr>
            <w:fldChar w:fldCharType="separate"/>
          </w:r>
          <w:r w:rsidRPr="006A500B">
            <w:rPr>
              <w:spacing w:val="0"/>
            </w:rPr>
            <w:t>(Gündüz, 2011)</w:t>
          </w:r>
          <w:r w:rsidRPr="006A500B">
            <w:rPr>
              <w:spacing w:val="0"/>
            </w:rPr>
            <w:fldChar w:fldCharType="end"/>
          </w:r>
        </w:sdtContent>
      </w:sdt>
      <w:r w:rsidRPr="006A500B">
        <w:rPr>
          <w:spacing w:val="0"/>
        </w:rPr>
        <w:t xml:space="preserve"> to single-name CDS prices and were found to outperform the Merton model.</w:t>
      </w:r>
      <w:r w:rsidR="00820F94">
        <w:rPr>
          <w:spacing w:val="0"/>
        </w:rPr>
        <w:t xml:space="preserve"> T</w:t>
      </w:r>
      <w:r w:rsidRPr="006A500B">
        <w:rPr>
          <w:spacing w:val="0"/>
        </w:rPr>
        <w:t xml:space="preserve">his study </w:t>
      </w:r>
      <w:r w:rsidR="00820F94">
        <w:rPr>
          <w:spacing w:val="0"/>
        </w:rPr>
        <w:t xml:space="preserve">is extended by </w:t>
      </w:r>
      <w:sdt>
        <w:sdtPr>
          <w:rPr>
            <w:spacing w:val="0"/>
          </w:rPr>
          <w:id w:val="2096814410"/>
          <w:citation/>
        </w:sdtPr>
        <w:sdtEndPr/>
        <w:sdtContent>
          <w:r w:rsidR="00820F94" w:rsidRPr="006A500B">
            <w:rPr>
              <w:spacing w:val="0"/>
            </w:rPr>
            <w:fldChar w:fldCharType="begin"/>
          </w:r>
          <w:r w:rsidR="00820F94" w:rsidRPr="006A500B">
            <w:rPr>
              <w:spacing w:val="0"/>
            </w:rPr>
            <w:instrText xml:space="preserve"> CITATION Zha18 \l 1033 </w:instrText>
          </w:r>
          <w:r w:rsidR="00820F94" w:rsidRPr="006A500B">
            <w:rPr>
              <w:spacing w:val="0"/>
            </w:rPr>
            <w:fldChar w:fldCharType="separate"/>
          </w:r>
          <w:r w:rsidR="00820F94" w:rsidRPr="006A500B">
            <w:rPr>
              <w:spacing w:val="0"/>
            </w:rPr>
            <w:t>(Zhang, 2018)</w:t>
          </w:r>
          <w:r w:rsidR="00820F94" w:rsidRPr="006A500B">
            <w:rPr>
              <w:spacing w:val="0"/>
            </w:rPr>
            <w:fldChar w:fldCharType="end"/>
          </w:r>
        </w:sdtContent>
      </w:sdt>
      <w:r w:rsidR="00820F94">
        <w:rPr>
          <w:spacing w:val="0"/>
        </w:rPr>
        <w:t xml:space="preserve"> where they predict</w:t>
      </w:r>
      <w:r w:rsidRPr="006A500B">
        <w:rPr>
          <w:spacing w:val="0"/>
        </w:rPr>
        <w:t xml:space="preserve"> the returns rather than the CDS prices and also adds a few features.</w:t>
      </w:r>
    </w:p>
    <w:p w:rsidR="006A500B" w:rsidRPr="006A500B" w:rsidRDefault="006A500B" w:rsidP="006A500B">
      <w:pPr>
        <w:pStyle w:val="BodyTextIndent"/>
        <w:tabs>
          <w:tab w:val="left" w:pos="24"/>
        </w:tabs>
        <w:adjustRightInd w:val="0"/>
        <w:snapToGrid w:val="0"/>
        <w:spacing w:before="120"/>
        <w:ind w:firstLine="244"/>
        <w:rPr>
          <w:spacing w:val="0"/>
        </w:rPr>
      </w:pPr>
      <w:r w:rsidRPr="006A500B">
        <w:rPr>
          <w:spacing w:val="0"/>
        </w:rPr>
        <w:lastRenderedPageBreak/>
        <w:t xml:space="preserve">In an IMF working paper by </w:t>
      </w:r>
      <w:sdt>
        <w:sdtPr>
          <w:rPr>
            <w:spacing w:val="0"/>
          </w:rPr>
          <w:id w:val="628441642"/>
          <w:citation/>
        </w:sdtPr>
        <w:sdtEndPr/>
        <w:sdtContent>
          <w:r w:rsidRPr="006A500B">
            <w:rPr>
              <w:spacing w:val="0"/>
            </w:rPr>
            <w:fldChar w:fldCharType="begin"/>
          </w:r>
          <w:r w:rsidRPr="006A500B">
            <w:rPr>
              <w:spacing w:val="0"/>
            </w:rPr>
            <w:instrText xml:space="preserve"> CITATION HuN19 \l 1033 </w:instrText>
          </w:r>
          <w:r w:rsidRPr="006A500B">
            <w:rPr>
              <w:spacing w:val="0"/>
            </w:rPr>
            <w:fldChar w:fldCharType="separate"/>
          </w:r>
          <w:r w:rsidRPr="006A500B">
            <w:rPr>
              <w:spacing w:val="0"/>
            </w:rPr>
            <w:t>(Hu, 2019)</w:t>
          </w:r>
          <w:r w:rsidRPr="006A500B">
            <w:rPr>
              <w:spacing w:val="0"/>
            </w:rPr>
            <w:fldChar w:fldCharType="end"/>
          </w:r>
        </w:sdtContent>
      </w:sdt>
      <w:r w:rsidRPr="006A500B">
        <w:rPr>
          <w:spacing w:val="0"/>
        </w:rPr>
        <w:t xml:space="preserve"> ensemble machine learning methods were applied on firm level accounting-based, market-based and macroeconomic variables to generate CDS spreads which can be helpful for arriving at CDS spreads for companies who don’t have an active CDS market. The ensemble methods used were Bagging, Gradient Boosting and Random Forest.</w:t>
      </w:r>
    </w:p>
    <w:p w:rsidR="006A500B" w:rsidRPr="006A500B" w:rsidRDefault="006A500B" w:rsidP="006A500B">
      <w:pPr>
        <w:pStyle w:val="BodyTextIndent"/>
        <w:tabs>
          <w:tab w:val="left" w:pos="24"/>
        </w:tabs>
        <w:adjustRightInd w:val="0"/>
        <w:snapToGrid w:val="0"/>
        <w:spacing w:before="120"/>
        <w:ind w:firstLine="244"/>
        <w:rPr>
          <w:spacing w:val="0"/>
        </w:rPr>
      </w:pPr>
      <w:r w:rsidRPr="006A500B">
        <w:rPr>
          <w:spacing w:val="0"/>
        </w:rPr>
        <w:t xml:space="preserve">Are CDS spreads predictable? And does efficient market hypothesis apply to the credit derivatives markets? With this dual goals </w:t>
      </w:r>
      <w:sdt>
        <w:sdtPr>
          <w:rPr>
            <w:spacing w:val="0"/>
          </w:rPr>
          <w:id w:val="2135057674"/>
          <w:citation/>
        </w:sdtPr>
        <w:sdtEndPr/>
        <w:sdtContent>
          <w:r w:rsidRPr="006A500B">
            <w:rPr>
              <w:spacing w:val="0"/>
            </w:rPr>
            <w:fldChar w:fldCharType="begin"/>
          </w:r>
          <w:r w:rsidRPr="006A500B">
            <w:rPr>
              <w:spacing w:val="0"/>
            </w:rPr>
            <w:instrText xml:space="preserve"> CITATION Vuk22 \l 1033 </w:instrText>
          </w:r>
          <w:r w:rsidRPr="006A500B">
            <w:rPr>
              <w:spacing w:val="0"/>
            </w:rPr>
            <w:fldChar w:fldCharType="separate"/>
          </w:r>
          <w:r w:rsidRPr="006A500B">
            <w:rPr>
              <w:spacing w:val="0"/>
            </w:rPr>
            <w:t>(Vukovic, 2022)</w:t>
          </w:r>
          <w:r w:rsidRPr="006A500B">
            <w:rPr>
              <w:spacing w:val="0"/>
            </w:rPr>
            <w:fldChar w:fldCharType="end"/>
          </w:r>
        </w:sdtContent>
      </w:sdt>
      <w:r w:rsidRPr="006A500B">
        <w:rPr>
          <w:spacing w:val="0"/>
        </w:rPr>
        <w:t xml:space="preserve"> investigated the daily CDS spreads for 513 leading US companies over the time-period 2009-2020. The study splits the period as pre and post Covid-19 to check if there were changes in the market efficiency. The forecasting tools they used were Support Vector Machines, Group Method of Data Handling, Long Short-Term Memory and Markov switching </w:t>
      </w:r>
      <w:r w:rsidR="002159EE" w:rsidRPr="006A500B">
        <w:rPr>
          <w:spacing w:val="0"/>
        </w:rPr>
        <w:t>auto regression</w:t>
      </w:r>
      <w:r w:rsidRPr="006A500B">
        <w:rPr>
          <w:spacing w:val="0"/>
        </w:rPr>
        <w:t>. The results show the prediction results are not very different before and during Covid-19. But they did find that the market became less efficient during the pandemic. The GMDH and MSA models outperformed SVM and LSTM.</w:t>
      </w:r>
    </w:p>
    <w:p w:rsidR="006A500B" w:rsidRPr="006A500B" w:rsidRDefault="006A500B" w:rsidP="006A500B">
      <w:pPr>
        <w:pStyle w:val="BodyTextIndent"/>
        <w:tabs>
          <w:tab w:val="left" w:pos="24"/>
        </w:tabs>
        <w:adjustRightInd w:val="0"/>
        <w:snapToGrid w:val="0"/>
        <w:spacing w:before="120"/>
        <w:ind w:firstLine="244"/>
        <w:rPr>
          <w:spacing w:val="0"/>
        </w:rPr>
      </w:pPr>
      <w:r w:rsidRPr="006A500B">
        <w:rPr>
          <w:spacing w:val="0"/>
        </w:rPr>
        <w:t>As we can see the latest machine learning and deep learning models for time series forecasting of credit default swaps spreads has been able to provide better results compared to traditional methods. This is consistent with the findings in other asset classes where researchers have been reporting superior results. This also means that efficient market hypothesis may not hold for CDS price movements and the moves may not be mere random walks. Fractal Market Hypothesis (FMH) could be an alternative for CDS prices especially during periods of market turbulence.</w:t>
      </w:r>
    </w:p>
    <w:p w:rsidR="006A500B" w:rsidRPr="006A500B" w:rsidRDefault="006A500B" w:rsidP="006A500B">
      <w:pPr>
        <w:pStyle w:val="BodyTextIndent"/>
        <w:tabs>
          <w:tab w:val="left" w:pos="24"/>
        </w:tabs>
        <w:adjustRightInd w:val="0"/>
        <w:snapToGrid w:val="0"/>
        <w:spacing w:before="120"/>
        <w:ind w:firstLine="244"/>
        <w:rPr>
          <w:spacing w:val="0"/>
        </w:rPr>
      </w:pPr>
      <w:r w:rsidRPr="006A500B">
        <w:rPr>
          <w:spacing w:val="0"/>
        </w:rPr>
        <w:t xml:space="preserve">FMH studies have been conducted on various markets using a variety of methods to establish the fractal properties of the time series. Using the CDS spreads of Turkey, Russia, South Africa and Brazil, </w:t>
      </w:r>
      <w:sdt>
        <w:sdtPr>
          <w:rPr>
            <w:spacing w:val="0"/>
          </w:rPr>
          <w:id w:val="-1526317238"/>
          <w:citation/>
        </w:sdtPr>
        <w:sdtEndPr/>
        <w:sdtContent>
          <w:r w:rsidRPr="006A500B">
            <w:rPr>
              <w:spacing w:val="0"/>
            </w:rPr>
            <w:fldChar w:fldCharType="begin"/>
          </w:r>
          <w:r w:rsidRPr="006A500B">
            <w:rPr>
              <w:spacing w:val="0"/>
            </w:rPr>
            <w:instrText xml:space="preserve"> CITATION Gün16 \l 1033 </w:instrText>
          </w:r>
          <w:r w:rsidRPr="006A500B">
            <w:rPr>
              <w:spacing w:val="0"/>
            </w:rPr>
            <w:fldChar w:fldCharType="separate"/>
          </w:r>
          <w:r w:rsidRPr="006A500B">
            <w:rPr>
              <w:spacing w:val="0"/>
            </w:rPr>
            <w:t>(Günay, 2016)</w:t>
          </w:r>
          <w:r w:rsidRPr="006A500B">
            <w:rPr>
              <w:spacing w:val="0"/>
            </w:rPr>
            <w:fldChar w:fldCharType="end"/>
          </w:r>
        </w:sdtContent>
      </w:sdt>
      <w:r w:rsidRPr="006A500B">
        <w:rPr>
          <w:spacing w:val="0"/>
        </w:rPr>
        <w:t xml:space="preserve"> examine the long-memory dependency in its volatility. Hurst Exponent Analysis was used by </w:t>
      </w:r>
      <w:sdt>
        <w:sdtPr>
          <w:rPr>
            <w:spacing w:val="0"/>
          </w:rPr>
          <w:id w:val="51435806"/>
          <w:citation/>
        </w:sdtPr>
        <w:sdtEndPr/>
        <w:sdtContent>
          <w:r w:rsidRPr="006A500B">
            <w:rPr>
              <w:spacing w:val="0"/>
            </w:rPr>
            <w:fldChar w:fldCharType="begin"/>
          </w:r>
          <w:r w:rsidRPr="006A500B">
            <w:rPr>
              <w:spacing w:val="0"/>
            </w:rPr>
            <w:instrText xml:space="preserve"> CITATION Bal22 \l 1033 </w:instrText>
          </w:r>
          <w:r w:rsidRPr="006A500B">
            <w:rPr>
              <w:spacing w:val="0"/>
            </w:rPr>
            <w:fldChar w:fldCharType="separate"/>
          </w:r>
          <w:r w:rsidRPr="006A500B">
            <w:rPr>
              <w:spacing w:val="0"/>
            </w:rPr>
            <w:t>(Balkan, 2022)</w:t>
          </w:r>
          <w:r w:rsidRPr="006A500B">
            <w:rPr>
              <w:spacing w:val="0"/>
            </w:rPr>
            <w:fldChar w:fldCharType="end"/>
          </w:r>
        </w:sdtContent>
      </w:sdt>
      <w:r w:rsidRPr="006A500B">
        <w:rPr>
          <w:spacing w:val="0"/>
        </w:rPr>
        <w:t xml:space="preserve"> on the CDS spreads for 34 OECD countries between March 2003 and February 2020. Using rescaled range analysis with four different frequencies the researchers were able to show persistency in all CDS spreads and therefore upholding the FMH. </w:t>
      </w:r>
    </w:p>
    <w:p w:rsidR="006A500B" w:rsidRPr="006A500B" w:rsidRDefault="006A500B" w:rsidP="006A500B">
      <w:pPr>
        <w:pStyle w:val="BodyTextIndent"/>
        <w:tabs>
          <w:tab w:val="left" w:pos="24"/>
        </w:tabs>
        <w:adjustRightInd w:val="0"/>
        <w:snapToGrid w:val="0"/>
        <w:spacing w:before="120"/>
        <w:ind w:firstLine="244"/>
        <w:rPr>
          <w:spacing w:val="0"/>
        </w:rPr>
      </w:pPr>
      <w:r w:rsidRPr="007B4583">
        <w:rPr>
          <w:sz w:val="24"/>
          <w:szCs w:val="24"/>
        </w:rPr>
        <w:t xml:space="preserve"> </w:t>
      </w:r>
      <w:r w:rsidRPr="006A500B">
        <w:rPr>
          <w:spacing w:val="0"/>
        </w:rPr>
        <w:t xml:space="preserve">The pricing of CDS under Generalized Mixed Fractional Brownian motion has been considered by </w:t>
      </w:r>
      <w:sdt>
        <w:sdtPr>
          <w:rPr>
            <w:spacing w:val="0"/>
          </w:rPr>
          <w:id w:val="-1221122412"/>
          <w:citation/>
        </w:sdtPr>
        <w:sdtEndPr/>
        <w:sdtContent>
          <w:r w:rsidRPr="006A500B">
            <w:rPr>
              <w:spacing w:val="0"/>
            </w:rPr>
            <w:fldChar w:fldCharType="begin"/>
          </w:r>
          <w:r w:rsidRPr="006A500B">
            <w:rPr>
              <w:spacing w:val="0"/>
            </w:rPr>
            <w:instrText xml:space="preserve"> CITATION HeX14 \l 1033 </w:instrText>
          </w:r>
          <w:r w:rsidRPr="006A500B">
            <w:rPr>
              <w:spacing w:val="0"/>
            </w:rPr>
            <w:fldChar w:fldCharType="separate"/>
          </w:r>
          <w:r w:rsidRPr="006A500B">
            <w:rPr>
              <w:spacing w:val="0"/>
            </w:rPr>
            <w:t>(He, 2014)</w:t>
          </w:r>
          <w:r w:rsidRPr="006A500B">
            <w:rPr>
              <w:spacing w:val="0"/>
            </w:rPr>
            <w:fldChar w:fldCharType="end"/>
          </w:r>
        </w:sdtContent>
      </w:sdt>
      <w:r w:rsidRPr="006A500B">
        <w:rPr>
          <w:spacing w:val="0"/>
        </w:rPr>
        <w:t xml:space="preserve"> and they provide a closed-form analytical expression for the CDS under risk-neutral assumption. The long memory in highly volatile time series of cryptocurrencies is examined using Hurst exponents of log returns in </w:t>
      </w:r>
      <w:sdt>
        <w:sdtPr>
          <w:rPr>
            <w:spacing w:val="0"/>
          </w:rPr>
          <w:id w:val="747159560"/>
          <w:citation/>
        </w:sdtPr>
        <w:sdtEndPr/>
        <w:sdtContent>
          <w:r w:rsidRPr="006A500B">
            <w:rPr>
              <w:spacing w:val="0"/>
            </w:rPr>
            <w:fldChar w:fldCharType="begin"/>
          </w:r>
          <w:r w:rsidRPr="006A500B">
            <w:rPr>
              <w:spacing w:val="0"/>
            </w:rPr>
            <w:instrText xml:space="preserve"> CITATION She22 \l 1033 </w:instrText>
          </w:r>
          <w:r w:rsidRPr="006A500B">
            <w:rPr>
              <w:spacing w:val="0"/>
            </w:rPr>
            <w:fldChar w:fldCharType="separate"/>
          </w:r>
          <w:r w:rsidRPr="006A500B">
            <w:rPr>
              <w:spacing w:val="0"/>
            </w:rPr>
            <w:t>(Sheraz, 2022)</w:t>
          </w:r>
          <w:r w:rsidRPr="006A500B">
            <w:rPr>
              <w:spacing w:val="0"/>
            </w:rPr>
            <w:fldChar w:fldCharType="end"/>
          </w:r>
        </w:sdtContent>
      </w:sdt>
      <w:r w:rsidRPr="006A500B">
        <w:rPr>
          <w:spacing w:val="0"/>
        </w:rPr>
        <w:t xml:space="preserve"> as this nascent market has demonstrated sufficient divergence from normal distribution assumption.</w:t>
      </w:r>
    </w:p>
    <w:p w:rsidR="00AB2358" w:rsidRDefault="00AB2358" w:rsidP="00AB2358">
      <w:pPr>
        <w:pStyle w:val="BodyTextIndent"/>
        <w:tabs>
          <w:tab w:val="left" w:pos="24"/>
        </w:tabs>
        <w:adjustRightInd w:val="0"/>
        <w:snapToGrid w:val="0"/>
        <w:spacing w:before="120"/>
        <w:ind w:firstLine="244"/>
        <w:rPr>
          <w:b/>
          <w:sz w:val="26"/>
        </w:rPr>
      </w:pPr>
    </w:p>
    <w:p w:rsidR="00AB2358" w:rsidRDefault="00AB2358" w:rsidP="00AB2358">
      <w:pPr>
        <w:tabs>
          <w:tab w:val="left" w:pos="24"/>
        </w:tabs>
        <w:adjustRightInd w:val="0"/>
        <w:snapToGrid w:val="0"/>
        <w:jc w:val="both"/>
        <w:rPr>
          <w:b/>
          <w:sz w:val="26"/>
        </w:rPr>
      </w:pPr>
      <w:r>
        <w:rPr>
          <w:b/>
          <w:sz w:val="26"/>
        </w:rPr>
        <w:t>3. Methodology</w:t>
      </w:r>
    </w:p>
    <w:p w:rsidR="00C35900" w:rsidRDefault="00AB2352" w:rsidP="00AB2352">
      <w:pPr>
        <w:pStyle w:val="BodyTextIndent"/>
        <w:tabs>
          <w:tab w:val="left" w:pos="24"/>
        </w:tabs>
        <w:adjustRightInd w:val="0"/>
        <w:snapToGrid w:val="0"/>
        <w:spacing w:before="120"/>
        <w:ind w:firstLine="244"/>
        <w:rPr>
          <w:spacing w:val="0"/>
        </w:rPr>
      </w:pPr>
      <w:r w:rsidRPr="006A500B">
        <w:rPr>
          <w:spacing w:val="0"/>
        </w:rPr>
        <w:t>Our literature survey</w:t>
      </w:r>
      <w:r w:rsidR="0030470E">
        <w:rPr>
          <w:spacing w:val="0"/>
        </w:rPr>
        <w:t xml:space="preserve"> has provided</w:t>
      </w:r>
      <w:r w:rsidRPr="006A500B">
        <w:rPr>
          <w:spacing w:val="0"/>
        </w:rPr>
        <w:t xml:space="preserve"> evidence of long-term memory in CDS prices from two independent approaches that researchers have taken: fractal markets and </w:t>
      </w:r>
      <w:r w:rsidR="00F41800">
        <w:rPr>
          <w:spacing w:val="0"/>
        </w:rPr>
        <w:t xml:space="preserve">using </w:t>
      </w:r>
      <w:r w:rsidRPr="006A500B">
        <w:rPr>
          <w:spacing w:val="0"/>
        </w:rPr>
        <w:t xml:space="preserve">deep learning model like LSTM. This motivates us to combine the two approaches and see if better forecasting results can be achieved. </w:t>
      </w:r>
    </w:p>
    <w:p w:rsidR="005C7BD4" w:rsidRDefault="000F6744" w:rsidP="00AB2352">
      <w:pPr>
        <w:pStyle w:val="BodyTextIndent"/>
        <w:tabs>
          <w:tab w:val="left" w:pos="24"/>
        </w:tabs>
        <w:adjustRightInd w:val="0"/>
        <w:snapToGrid w:val="0"/>
        <w:spacing w:before="120"/>
        <w:ind w:firstLine="244"/>
        <w:rPr>
          <w:spacing w:val="0"/>
        </w:rPr>
      </w:pPr>
      <w:r>
        <w:rPr>
          <w:spacing w:val="0"/>
        </w:rPr>
        <w:t xml:space="preserve">Broadly speaking we are curious to see if a data driven model like LSTM performs better than </w:t>
      </w:r>
      <w:r w:rsidR="00D23AA8">
        <w:rPr>
          <w:spacing w:val="0"/>
        </w:rPr>
        <w:t xml:space="preserve">traditional </w:t>
      </w:r>
      <w:r>
        <w:rPr>
          <w:spacing w:val="0"/>
        </w:rPr>
        <w:t xml:space="preserve">model driven </w:t>
      </w:r>
      <w:r w:rsidR="002E6C77">
        <w:rPr>
          <w:spacing w:val="0"/>
        </w:rPr>
        <w:t>SVM</w:t>
      </w:r>
      <w:r>
        <w:rPr>
          <w:spacing w:val="0"/>
        </w:rPr>
        <w:t xml:space="preserve"> and if Hurst Exponent Analysis on CDS spreads helps with forecasting accuracy. </w:t>
      </w:r>
      <w:r w:rsidR="003B4C19" w:rsidRPr="006A500B">
        <w:rPr>
          <w:spacing w:val="0"/>
        </w:rPr>
        <w:t>To our knowledge there are no study using Hurst Exponent and machine learning/deep learning at the same time.</w:t>
      </w:r>
      <w:r w:rsidR="003B4C19">
        <w:rPr>
          <w:spacing w:val="0"/>
        </w:rPr>
        <w:t xml:space="preserve"> </w:t>
      </w:r>
      <w:r w:rsidR="00D23AA8">
        <w:rPr>
          <w:spacing w:val="0"/>
        </w:rPr>
        <w:t>With this dual objectives in mind</w:t>
      </w:r>
      <w:r w:rsidR="001D7B4D">
        <w:rPr>
          <w:spacing w:val="0"/>
        </w:rPr>
        <w:t xml:space="preserve"> </w:t>
      </w:r>
      <w:r w:rsidR="00D23AA8">
        <w:rPr>
          <w:spacing w:val="0"/>
        </w:rPr>
        <w:t xml:space="preserve">we </w:t>
      </w:r>
      <w:r w:rsidR="005C7BD4">
        <w:rPr>
          <w:spacing w:val="0"/>
        </w:rPr>
        <w:t xml:space="preserve">would like to test </w:t>
      </w:r>
      <w:r w:rsidR="001D7B4D">
        <w:rPr>
          <w:spacing w:val="0"/>
        </w:rPr>
        <w:t xml:space="preserve">a </w:t>
      </w:r>
      <w:r w:rsidR="00D23AA8">
        <w:rPr>
          <w:spacing w:val="0"/>
        </w:rPr>
        <w:t xml:space="preserve">couple of </w:t>
      </w:r>
      <w:r w:rsidR="001D7B4D">
        <w:rPr>
          <w:spacing w:val="0"/>
        </w:rPr>
        <w:t>hypotheses</w:t>
      </w:r>
      <w:r w:rsidR="00D23AA8">
        <w:rPr>
          <w:spacing w:val="0"/>
        </w:rPr>
        <w:t xml:space="preserve"> as below</w:t>
      </w:r>
      <w:r w:rsidR="005C7BD4">
        <w:rPr>
          <w:spacing w:val="0"/>
        </w:rPr>
        <w:t>.</w:t>
      </w:r>
    </w:p>
    <w:p w:rsidR="001D7B4D" w:rsidRDefault="005C7BD4" w:rsidP="00AB2352">
      <w:pPr>
        <w:pStyle w:val="BodyTextIndent"/>
        <w:tabs>
          <w:tab w:val="left" w:pos="24"/>
        </w:tabs>
        <w:adjustRightInd w:val="0"/>
        <w:snapToGrid w:val="0"/>
        <w:spacing w:before="120"/>
        <w:ind w:firstLine="244"/>
        <w:rPr>
          <w:spacing w:val="0"/>
        </w:rPr>
      </w:pPr>
      <w:r w:rsidRPr="001D7B4D">
        <w:rPr>
          <w:b/>
          <w:spacing w:val="0"/>
        </w:rPr>
        <w:t xml:space="preserve"> </w:t>
      </w:r>
      <w:r w:rsidR="001D7B4D" w:rsidRPr="001D7B4D">
        <w:rPr>
          <w:b/>
          <w:spacing w:val="0"/>
        </w:rPr>
        <w:t>Hypothesis I:</w:t>
      </w:r>
      <w:r w:rsidR="001D7B4D">
        <w:rPr>
          <w:spacing w:val="0"/>
        </w:rPr>
        <w:t xml:space="preserve"> LSTM </w:t>
      </w:r>
      <w:r w:rsidR="00E9032C">
        <w:rPr>
          <w:spacing w:val="0"/>
        </w:rPr>
        <w:t xml:space="preserve">model </w:t>
      </w:r>
      <w:r w:rsidR="001D7B4D">
        <w:rPr>
          <w:spacing w:val="0"/>
        </w:rPr>
        <w:t>perform</w:t>
      </w:r>
      <w:r w:rsidR="00E9032C">
        <w:rPr>
          <w:spacing w:val="0"/>
        </w:rPr>
        <w:t>s</w:t>
      </w:r>
      <w:r w:rsidR="001D7B4D">
        <w:rPr>
          <w:spacing w:val="0"/>
        </w:rPr>
        <w:t xml:space="preserve"> better than traditional </w:t>
      </w:r>
      <w:r w:rsidR="002E6C77">
        <w:rPr>
          <w:spacing w:val="0"/>
        </w:rPr>
        <w:t>SVM</w:t>
      </w:r>
      <w:r w:rsidR="001D7B4D">
        <w:rPr>
          <w:spacing w:val="0"/>
        </w:rPr>
        <w:t xml:space="preserve"> in predicting CDS spreads.</w:t>
      </w:r>
    </w:p>
    <w:p w:rsidR="001D7B4D" w:rsidRDefault="001D7B4D" w:rsidP="001D7B4D">
      <w:pPr>
        <w:pStyle w:val="BodyTextIndent"/>
        <w:tabs>
          <w:tab w:val="left" w:pos="24"/>
        </w:tabs>
        <w:adjustRightInd w:val="0"/>
        <w:snapToGrid w:val="0"/>
        <w:spacing w:before="120"/>
        <w:ind w:firstLine="244"/>
        <w:rPr>
          <w:spacing w:val="0"/>
        </w:rPr>
      </w:pPr>
      <w:r w:rsidRPr="001D7B4D">
        <w:rPr>
          <w:b/>
          <w:spacing w:val="0"/>
        </w:rPr>
        <w:lastRenderedPageBreak/>
        <w:t>Hypothesis II:</w:t>
      </w:r>
      <w:r w:rsidR="00E9032C">
        <w:rPr>
          <w:spacing w:val="0"/>
        </w:rPr>
        <w:t xml:space="preserve"> T</w:t>
      </w:r>
      <w:r w:rsidR="0021368D">
        <w:rPr>
          <w:spacing w:val="0"/>
        </w:rPr>
        <w:t>he forecast</w:t>
      </w:r>
      <w:r w:rsidR="00E9032C">
        <w:rPr>
          <w:spacing w:val="0"/>
        </w:rPr>
        <w:t xml:space="preserve"> accuracy</w:t>
      </w:r>
      <w:r w:rsidR="0021368D">
        <w:rPr>
          <w:spacing w:val="0"/>
        </w:rPr>
        <w:t xml:space="preserve"> improve</w:t>
      </w:r>
      <w:r w:rsidR="00E9032C">
        <w:rPr>
          <w:spacing w:val="0"/>
        </w:rPr>
        <w:t>s</w:t>
      </w:r>
      <w:r w:rsidR="0021368D">
        <w:rPr>
          <w:spacing w:val="0"/>
        </w:rPr>
        <w:t xml:space="preserve"> when we incorporate a rolling</w:t>
      </w:r>
      <w:r>
        <w:rPr>
          <w:spacing w:val="0"/>
        </w:rPr>
        <w:t xml:space="preserve"> Hurst Exponent </w:t>
      </w:r>
      <w:r w:rsidR="0021368D">
        <w:rPr>
          <w:spacing w:val="0"/>
        </w:rPr>
        <w:t>series</w:t>
      </w:r>
      <w:r w:rsidR="00103674">
        <w:rPr>
          <w:spacing w:val="0"/>
        </w:rPr>
        <w:t xml:space="preserve"> as an additional input feature</w:t>
      </w:r>
      <w:r>
        <w:rPr>
          <w:spacing w:val="0"/>
        </w:rPr>
        <w:t>.</w:t>
      </w:r>
    </w:p>
    <w:p w:rsidR="001D7B4D" w:rsidRDefault="001D7B4D" w:rsidP="00AB2352">
      <w:pPr>
        <w:pStyle w:val="BodyTextIndent"/>
        <w:tabs>
          <w:tab w:val="left" w:pos="24"/>
        </w:tabs>
        <w:adjustRightInd w:val="0"/>
        <w:snapToGrid w:val="0"/>
        <w:spacing w:before="120"/>
        <w:ind w:firstLine="244"/>
        <w:rPr>
          <w:spacing w:val="0"/>
        </w:rPr>
      </w:pPr>
    </w:p>
    <w:p w:rsidR="006B18F5" w:rsidRDefault="005B0DC2" w:rsidP="00AB2352">
      <w:pPr>
        <w:pStyle w:val="BodyTextIndent"/>
        <w:tabs>
          <w:tab w:val="left" w:pos="24"/>
        </w:tabs>
        <w:adjustRightInd w:val="0"/>
        <w:snapToGrid w:val="0"/>
        <w:spacing w:before="120"/>
        <w:ind w:firstLine="244"/>
        <w:rPr>
          <w:spacing w:val="0"/>
        </w:rPr>
      </w:pPr>
      <w:r>
        <w:rPr>
          <w:spacing w:val="0"/>
        </w:rPr>
        <w:t>This paper is organized as follows</w:t>
      </w:r>
      <w:r w:rsidR="00B83AEA">
        <w:rPr>
          <w:spacing w:val="0"/>
        </w:rPr>
        <w:t>: in the next section, we review our dataset and present a statistical summary of the CDX.NA.IG CDS spreads; we describe our methods: LSTM</w:t>
      </w:r>
      <w:r w:rsidR="00B24C52">
        <w:rPr>
          <w:spacing w:val="0"/>
        </w:rPr>
        <w:t xml:space="preserve"> and the</w:t>
      </w:r>
      <w:r w:rsidR="00B83AEA">
        <w:rPr>
          <w:spacing w:val="0"/>
        </w:rPr>
        <w:t xml:space="preserve"> baseline </w:t>
      </w:r>
      <w:r w:rsidR="002E6C77">
        <w:rPr>
          <w:spacing w:val="0"/>
        </w:rPr>
        <w:t>SVM</w:t>
      </w:r>
      <w:r w:rsidR="00B24C52">
        <w:rPr>
          <w:spacing w:val="0"/>
        </w:rPr>
        <w:t xml:space="preserve"> </w:t>
      </w:r>
      <w:r w:rsidR="00B83AEA">
        <w:rPr>
          <w:spacing w:val="0"/>
        </w:rPr>
        <w:t>model; next we will present our forecasting results with various error estimates and demonstrate the performance of each model</w:t>
      </w:r>
      <w:r w:rsidR="00B24C52">
        <w:rPr>
          <w:spacing w:val="0"/>
        </w:rPr>
        <w:t>; and lastly we will provide the</w:t>
      </w:r>
      <w:r w:rsidR="00B83AEA">
        <w:rPr>
          <w:spacing w:val="0"/>
        </w:rPr>
        <w:t xml:space="preserve"> summary and concluding remarks of our study.</w:t>
      </w:r>
    </w:p>
    <w:p w:rsidR="005B0DC2" w:rsidRDefault="005B0DC2" w:rsidP="00AB2352">
      <w:pPr>
        <w:pStyle w:val="BodyTextIndent"/>
        <w:tabs>
          <w:tab w:val="left" w:pos="24"/>
        </w:tabs>
        <w:adjustRightInd w:val="0"/>
        <w:snapToGrid w:val="0"/>
        <w:spacing w:before="120"/>
        <w:ind w:firstLine="244"/>
        <w:rPr>
          <w:spacing w:val="0"/>
        </w:rPr>
      </w:pPr>
    </w:p>
    <w:p w:rsidR="006B18F5" w:rsidRDefault="006B18F5" w:rsidP="006B18F5">
      <w:pPr>
        <w:tabs>
          <w:tab w:val="left" w:pos="24"/>
        </w:tabs>
        <w:adjustRightInd w:val="0"/>
        <w:snapToGrid w:val="0"/>
        <w:jc w:val="both"/>
        <w:rPr>
          <w:b/>
          <w:sz w:val="22"/>
          <w:lang w:eastAsia="ko-KR"/>
        </w:rPr>
      </w:pPr>
      <w:r>
        <w:rPr>
          <w:b/>
          <w:sz w:val="22"/>
        </w:rPr>
        <w:t>3.1. Data</w:t>
      </w:r>
    </w:p>
    <w:p w:rsidR="00BA3666" w:rsidRDefault="00171C89" w:rsidP="00731898">
      <w:pPr>
        <w:pStyle w:val="BodyTextIndent"/>
        <w:tabs>
          <w:tab w:val="left" w:pos="24"/>
        </w:tabs>
        <w:adjustRightInd w:val="0"/>
        <w:snapToGrid w:val="0"/>
        <w:spacing w:before="120"/>
        <w:ind w:firstLine="244"/>
        <w:rPr>
          <w:spacing w:val="0"/>
        </w:rPr>
      </w:pPr>
      <w:r>
        <w:rPr>
          <w:spacing w:val="0"/>
        </w:rPr>
        <w:t xml:space="preserve">CDX.NA.IG index consists of 125 most liquidly traded CDSs in North America. We source the 5Y spread on this index for the last 10 years using Bloomberg terminal. </w:t>
      </w:r>
      <w:r w:rsidR="00D40783">
        <w:rPr>
          <w:spacing w:val="0"/>
        </w:rPr>
        <w:t>O</w:t>
      </w:r>
      <w:r>
        <w:rPr>
          <w:spacing w:val="0"/>
        </w:rPr>
        <w:t xml:space="preserve">ur </w:t>
      </w:r>
      <w:r w:rsidR="00D2793C">
        <w:rPr>
          <w:spacing w:val="0"/>
        </w:rPr>
        <w:t xml:space="preserve">data covers the </w:t>
      </w:r>
      <w:r>
        <w:rPr>
          <w:spacing w:val="0"/>
        </w:rPr>
        <w:t xml:space="preserve">period </w:t>
      </w:r>
      <w:r w:rsidR="00D2793C">
        <w:rPr>
          <w:spacing w:val="0"/>
        </w:rPr>
        <w:t>from</w:t>
      </w:r>
      <w:r>
        <w:rPr>
          <w:spacing w:val="0"/>
        </w:rPr>
        <w:t xml:space="preserve"> January 2012 to December 2022</w:t>
      </w:r>
      <w:r w:rsidR="002751FD">
        <w:rPr>
          <w:spacing w:val="0"/>
        </w:rPr>
        <w:t xml:space="preserve"> and </w:t>
      </w:r>
      <w:r w:rsidR="00D40783">
        <w:rPr>
          <w:spacing w:val="0"/>
        </w:rPr>
        <w:t>4018 observations in total</w:t>
      </w:r>
      <w:r>
        <w:rPr>
          <w:spacing w:val="0"/>
        </w:rPr>
        <w:t>.</w:t>
      </w:r>
      <w:r w:rsidR="008D4754">
        <w:rPr>
          <w:spacing w:val="0"/>
        </w:rPr>
        <w:t xml:space="preserve"> We will do a detailed study of the data patterns to check the suitability of using our proposed </w:t>
      </w:r>
      <w:r w:rsidR="00436FF1">
        <w:rPr>
          <w:spacing w:val="0"/>
        </w:rPr>
        <w:t xml:space="preserve">LSTM and </w:t>
      </w:r>
      <w:r w:rsidR="00A15EB4">
        <w:rPr>
          <w:spacing w:val="0"/>
        </w:rPr>
        <w:t>SVM</w:t>
      </w:r>
      <w:r w:rsidR="00436FF1">
        <w:rPr>
          <w:spacing w:val="0"/>
        </w:rPr>
        <w:t xml:space="preserve"> </w:t>
      </w:r>
      <w:r w:rsidR="008D4754">
        <w:rPr>
          <w:spacing w:val="0"/>
        </w:rPr>
        <w:t>algorithms. Our exploratory data analysis will focus on identifying the time series properties of the data set. In particular statistical analysis will be done for identifying presence/absence of trends, cycles, seasonality and clustering in the data.</w:t>
      </w:r>
      <w:r w:rsidR="00267D9D">
        <w:rPr>
          <w:spacing w:val="0"/>
        </w:rPr>
        <w:t xml:space="preserve"> We will test the time series of stationarity as well.</w:t>
      </w:r>
    </w:p>
    <w:p w:rsidR="00567F36" w:rsidRDefault="00567F36" w:rsidP="00731898">
      <w:pPr>
        <w:pStyle w:val="BodyTextIndent"/>
        <w:tabs>
          <w:tab w:val="left" w:pos="24"/>
        </w:tabs>
        <w:adjustRightInd w:val="0"/>
        <w:snapToGrid w:val="0"/>
        <w:spacing w:before="120"/>
        <w:ind w:firstLine="244"/>
        <w:rPr>
          <w:spacing w:val="0"/>
        </w:rPr>
      </w:pPr>
    </w:p>
    <w:p w:rsidR="00171C89" w:rsidRDefault="008D4754" w:rsidP="00731898">
      <w:pPr>
        <w:pStyle w:val="BodyTextIndent"/>
        <w:tabs>
          <w:tab w:val="left" w:pos="24"/>
        </w:tabs>
        <w:adjustRightInd w:val="0"/>
        <w:snapToGrid w:val="0"/>
        <w:spacing w:before="120"/>
        <w:ind w:firstLine="244"/>
        <w:rPr>
          <w:spacing w:val="0"/>
        </w:rPr>
      </w:pPr>
      <w:r>
        <w:rPr>
          <w:spacing w:val="0"/>
        </w:rPr>
        <w:t xml:space="preserve">  </w:t>
      </w:r>
    </w:p>
    <w:p w:rsidR="00BA3666" w:rsidRDefault="00BA3666" w:rsidP="00731898">
      <w:pPr>
        <w:pStyle w:val="BodyTextIndent"/>
        <w:tabs>
          <w:tab w:val="left" w:pos="24"/>
        </w:tabs>
        <w:adjustRightInd w:val="0"/>
        <w:snapToGrid w:val="0"/>
        <w:spacing w:before="120"/>
        <w:ind w:firstLine="244"/>
        <w:rPr>
          <w:spacing w:val="0"/>
        </w:rPr>
      </w:pPr>
      <w:r>
        <w:rPr>
          <w:noProof/>
          <w:lang w:val="en-GB" w:eastAsia="en-GB"/>
        </w:rPr>
        <w:drawing>
          <wp:inline distT="0" distB="0" distL="0" distR="0" wp14:anchorId="0F46025C" wp14:editId="28F5AD23">
            <wp:extent cx="5058410" cy="316357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8410" cy="3163570"/>
                    </a:xfrm>
                    <a:prstGeom prst="rect">
                      <a:avLst/>
                    </a:prstGeom>
                  </pic:spPr>
                </pic:pic>
              </a:graphicData>
            </a:graphic>
          </wp:inline>
        </w:drawing>
      </w:r>
    </w:p>
    <w:p w:rsidR="006B18F5" w:rsidRDefault="006B18F5" w:rsidP="00731898">
      <w:pPr>
        <w:pStyle w:val="BodyTextIndent"/>
        <w:tabs>
          <w:tab w:val="left" w:pos="24"/>
        </w:tabs>
        <w:adjustRightInd w:val="0"/>
        <w:snapToGrid w:val="0"/>
        <w:spacing w:before="120"/>
        <w:ind w:firstLine="244"/>
        <w:rPr>
          <w:spacing w:val="0"/>
        </w:rPr>
      </w:pPr>
    </w:p>
    <w:p w:rsidR="00BA3666" w:rsidRPr="00192CD0" w:rsidRDefault="00BA3666" w:rsidP="00BA3666">
      <w:pPr>
        <w:tabs>
          <w:tab w:val="left" w:pos="24"/>
        </w:tabs>
        <w:adjustRightInd w:val="0"/>
        <w:snapToGrid w:val="0"/>
        <w:spacing w:before="120" w:after="240"/>
        <w:jc w:val="center"/>
        <w:rPr>
          <w:rFonts w:ascii="Helvetica" w:eastAsia="Malgun Gothic" w:hAnsi="Helvetica" w:cs="Helvetica"/>
          <w:b/>
          <w:sz w:val="22"/>
          <w:szCs w:val="22"/>
          <w:lang w:eastAsia="ko-KR"/>
        </w:rPr>
      </w:pPr>
      <w:r w:rsidRPr="00FF10CE">
        <w:rPr>
          <w:rFonts w:ascii="Helvetica" w:eastAsia="Malgun Gothic" w:hAnsi="Helvetica" w:cs="Helvetica"/>
          <w:b/>
          <w:sz w:val="22"/>
          <w:szCs w:val="22"/>
          <w:lang w:eastAsia="ko-KR"/>
        </w:rPr>
        <w:t xml:space="preserve">Figure </w:t>
      </w:r>
      <w:r>
        <w:rPr>
          <w:rFonts w:ascii="Helvetica" w:eastAsia="Malgun Gothic" w:hAnsi="Helvetica" w:cs="Helvetica"/>
          <w:b/>
          <w:sz w:val="22"/>
          <w:szCs w:val="22"/>
          <w:lang w:eastAsia="ko-KR"/>
        </w:rPr>
        <w:t>2</w:t>
      </w:r>
      <w:r w:rsidRPr="00FF10CE">
        <w:rPr>
          <w:rFonts w:ascii="Helvetica" w:eastAsia="Malgun Gothic" w:hAnsi="Helvetica" w:cs="Helvetica"/>
          <w:b/>
          <w:sz w:val="22"/>
          <w:szCs w:val="22"/>
          <w:lang w:eastAsia="ko-KR"/>
        </w:rPr>
        <w:t xml:space="preserve">. </w:t>
      </w:r>
      <w:r>
        <w:rPr>
          <w:rFonts w:ascii="Helvetica" w:eastAsia="Malgun Gothic" w:hAnsi="Helvetica" w:cs="Helvetica"/>
          <w:b/>
          <w:sz w:val="22"/>
          <w:szCs w:val="22"/>
          <w:lang w:eastAsia="ko-KR"/>
        </w:rPr>
        <w:t>CDX.NA.IG Historical Spread</w:t>
      </w:r>
    </w:p>
    <w:p w:rsidR="00A44D66" w:rsidRPr="00F14974" w:rsidRDefault="00A44D66" w:rsidP="00F14974">
      <w:pPr>
        <w:pStyle w:val="BodyTextIndent"/>
        <w:tabs>
          <w:tab w:val="left" w:pos="24"/>
        </w:tabs>
        <w:adjustRightInd w:val="0"/>
        <w:snapToGrid w:val="0"/>
        <w:spacing w:before="120"/>
        <w:ind w:firstLine="244"/>
        <w:rPr>
          <w:spacing w:val="0"/>
        </w:rPr>
      </w:pPr>
      <w:r w:rsidRPr="00F14974">
        <w:rPr>
          <w:spacing w:val="0"/>
        </w:rPr>
        <w:t>We find higher volatility in CDX.NA.IG returns compared to the S&amp;P 500, while volatile market periods are notable in both, as shown in Figure 3</w:t>
      </w:r>
      <w:r w:rsidR="00E85347" w:rsidRPr="00F14974">
        <w:rPr>
          <w:spacing w:val="0"/>
        </w:rPr>
        <w:t>. At the same time Figure 4 do tend to show that the returns deviate from normal distribution.</w:t>
      </w:r>
    </w:p>
    <w:p w:rsidR="00BA3666" w:rsidRDefault="00A44D66" w:rsidP="00731898">
      <w:pPr>
        <w:pStyle w:val="BodyTextIndent"/>
        <w:tabs>
          <w:tab w:val="left" w:pos="24"/>
        </w:tabs>
        <w:adjustRightInd w:val="0"/>
        <w:snapToGrid w:val="0"/>
        <w:spacing w:before="120"/>
        <w:ind w:firstLine="244"/>
        <w:rPr>
          <w:spacing w:val="0"/>
        </w:rPr>
      </w:pPr>
      <w:r w:rsidRPr="00A44D66">
        <w:rPr>
          <w:noProof/>
          <w:spacing w:val="0"/>
          <w:lang w:val="en-GB" w:eastAsia="en-GB"/>
        </w:rPr>
        <w:lastRenderedPageBreak/>
        <w:drawing>
          <wp:inline distT="0" distB="0" distL="0" distR="0" wp14:anchorId="6C605394" wp14:editId="7F5B459A">
            <wp:extent cx="5058410" cy="379984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8410" cy="3799840"/>
                    </a:xfrm>
                    <a:prstGeom prst="rect">
                      <a:avLst/>
                    </a:prstGeom>
                  </pic:spPr>
                </pic:pic>
              </a:graphicData>
            </a:graphic>
          </wp:inline>
        </w:drawing>
      </w:r>
    </w:p>
    <w:p w:rsidR="00A44D66" w:rsidRPr="00192CD0" w:rsidRDefault="00A44D66" w:rsidP="00A44D66">
      <w:pPr>
        <w:tabs>
          <w:tab w:val="left" w:pos="24"/>
        </w:tabs>
        <w:adjustRightInd w:val="0"/>
        <w:snapToGrid w:val="0"/>
        <w:spacing w:before="120" w:after="240"/>
        <w:jc w:val="center"/>
        <w:rPr>
          <w:rFonts w:ascii="Helvetica" w:eastAsia="Malgun Gothic" w:hAnsi="Helvetica" w:cs="Helvetica"/>
          <w:b/>
          <w:sz w:val="22"/>
          <w:szCs w:val="22"/>
          <w:lang w:eastAsia="ko-KR"/>
        </w:rPr>
      </w:pPr>
      <w:r w:rsidRPr="00FF10CE">
        <w:rPr>
          <w:rFonts w:ascii="Helvetica" w:eastAsia="Malgun Gothic" w:hAnsi="Helvetica" w:cs="Helvetica"/>
          <w:b/>
          <w:sz w:val="22"/>
          <w:szCs w:val="22"/>
          <w:lang w:eastAsia="ko-KR"/>
        </w:rPr>
        <w:t xml:space="preserve">Figure </w:t>
      </w:r>
      <w:r>
        <w:rPr>
          <w:rFonts w:ascii="Helvetica" w:eastAsia="Malgun Gothic" w:hAnsi="Helvetica" w:cs="Helvetica"/>
          <w:b/>
          <w:sz w:val="22"/>
          <w:szCs w:val="22"/>
          <w:lang w:eastAsia="ko-KR"/>
        </w:rPr>
        <w:t>3</w:t>
      </w:r>
      <w:r w:rsidRPr="00FF10CE">
        <w:rPr>
          <w:rFonts w:ascii="Helvetica" w:eastAsia="Malgun Gothic" w:hAnsi="Helvetica" w:cs="Helvetica"/>
          <w:b/>
          <w:sz w:val="22"/>
          <w:szCs w:val="22"/>
          <w:lang w:eastAsia="ko-KR"/>
        </w:rPr>
        <w:t xml:space="preserve">. </w:t>
      </w:r>
      <w:r>
        <w:rPr>
          <w:rFonts w:ascii="Helvetica" w:eastAsia="Malgun Gothic" w:hAnsi="Helvetica" w:cs="Helvetica"/>
          <w:b/>
          <w:sz w:val="22"/>
          <w:szCs w:val="22"/>
          <w:lang w:eastAsia="ko-KR"/>
        </w:rPr>
        <w:t>CDX.NA.IG vs S&amp;P Index Returns Volatility</w:t>
      </w:r>
    </w:p>
    <w:p w:rsidR="00A44D66" w:rsidRDefault="00EF4F86" w:rsidP="00731898">
      <w:pPr>
        <w:pStyle w:val="BodyTextIndent"/>
        <w:tabs>
          <w:tab w:val="left" w:pos="24"/>
        </w:tabs>
        <w:adjustRightInd w:val="0"/>
        <w:snapToGrid w:val="0"/>
        <w:spacing w:before="120"/>
        <w:ind w:firstLine="244"/>
        <w:rPr>
          <w:spacing w:val="0"/>
        </w:rPr>
      </w:pPr>
      <w:r w:rsidRPr="00EF4F86">
        <w:rPr>
          <w:noProof/>
          <w:spacing w:val="0"/>
          <w:lang w:val="en-GB" w:eastAsia="en-GB"/>
        </w:rPr>
        <w:drawing>
          <wp:inline distT="0" distB="0" distL="0" distR="0" wp14:anchorId="5D5BEF95" wp14:editId="73063859">
            <wp:extent cx="5058410" cy="3650615"/>
            <wp:effectExtent l="0" t="0" r="889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8410" cy="3650615"/>
                    </a:xfrm>
                    <a:prstGeom prst="rect">
                      <a:avLst/>
                    </a:prstGeom>
                  </pic:spPr>
                </pic:pic>
              </a:graphicData>
            </a:graphic>
          </wp:inline>
        </w:drawing>
      </w:r>
    </w:p>
    <w:p w:rsidR="00EF4F86" w:rsidRDefault="00EF4F86" w:rsidP="00EF4F86">
      <w:pPr>
        <w:tabs>
          <w:tab w:val="left" w:pos="24"/>
        </w:tabs>
        <w:adjustRightInd w:val="0"/>
        <w:snapToGrid w:val="0"/>
        <w:spacing w:before="120" w:after="240"/>
        <w:jc w:val="center"/>
        <w:rPr>
          <w:rFonts w:ascii="Helvetica" w:eastAsia="Malgun Gothic" w:hAnsi="Helvetica" w:cs="Helvetica"/>
          <w:b/>
          <w:sz w:val="22"/>
          <w:szCs w:val="22"/>
          <w:lang w:eastAsia="ko-KR"/>
        </w:rPr>
      </w:pPr>
      <w:r w:rsidRPr="00FF10CE">
        <w:rPr>
          <w:rFonts w:ascii="Helvetica" w:eastAsia="Malgun Gothic" w:hAnsi="Helvetica" w:cs="Helvetica"/>
          <w:b/>
          <w:sz w:val="22"/>
          <w:szCs w:val="22"/>
          <w:lang w:eastAsia="ko-KR"/>
        </w:rPr>
        <w:t xml:space="preserve">Figure </w:t>
      </w:r>
      <w:r>
        <w:rPr>
          <w:rFonts w:ascii="Helvetica" w:eastAsia="Malgun Gothic" w:hAnsi="Helvetica" w:cs="Helvetica"/>
          <w:b/>
          <w:sz w:val="22"/>
          <w:szCs w:val="22"/>
          <w:lang w:eastAsia="ko-KR"/>
        </w:rPr>
        <w:t>4</w:t>
      </w:r>
      <w:r w:rsidRPr="00FF10CE">
        <w:rPr>
          <w:rFonts w:ascii="Helvetica" w:eastAsia="Malgun Gothic" w:hAnsi="Helvetica" w:cs="Helvetica"/>
          <w:b/>
          <w:sz w:val="22"/>
          <w:szCs w:val="22"/>
          <w:lang w:eastAsia="ko-KR"/>
        </w:rPr>
        <w:t xml:space="preserve">. </w:t>
      </w:r>
      <w:r>
        <w:rPr>
          <w:rFonts w:ascii="Helvetica" w:eastAsia="Malgun Gothic" w:hAnsi="Helvetica" w:cs="Helvetica"/>
          <w:b/>
          <w:sz w:val="22"/>
          <w:szCs w:val="22"/>
          <w:lang w:eastAsia="ko-KR"/>
        </w:rPr>
        <w:t>CDX.NA.IG Returns Distribution</w:t>
      </w:r>
    </w:p>
    <w:p w:rsidR="00F80184" w:rsidRDefault="00F80184" w:rsidP="00EF4F86">
      <w:pPr>
        <w:tabs>
          <w:tab w:val="left" w:pos="24"/>
        </w:tabs>
        <w:adjustRightInd w:val="0"/>
        <w:snapToGrid w:val="0"/>
        <w:spacing w:before="120" w:after="240"/>
        <w:jc w:val="center"/>
        <w:rPr>
          <w:rFonts w:ascii="Helvetica" w:eastAsia="Malgun Gothic" w:hAnsi="Helvetica" w:cs="Helvetica"/>
          <w:b/>
          <w:sz w:val="22"/>
          <w:szCs w:val="22"/>
          <w:lang w:eastAsia="ko-KR"/>
        </w:rPr>
      </w:pPr>
    </w:p>
    <w:p w:rsidR="00567F36" w:rsidRDefault="00567F36" w:rsidP="00567F36">
      <w:pPr>
        <w:pStyle w:val="BodyTextIndent"/>
        <w:tabs>
          <w:tab w:val="left" w:pos="24"/>
        </w:tabs>
        <w:adjustRightInd w:val="0"/>
        <w:snapToGrid w:val="0"/>
        <w:spacing w:before="120"/>
        <w:ind w:firstLine="244"/>
        <w:jc w:val="center"/>
        <w:rPr>
          <w:spacing w:val="0"/>
        </w:rPr>
      </w:pPr>
      <w:r w:rsidRPr="00167FB8">
        <w:rPr>
          <w:noProof/>
          <w:spacing w:val="0"/>
          <w:lang w:val="en-GB" w:eastAsia="en-GB"/>
        </w:rPr>
        <w:lastRenderedPageBreak/>
        <w:drawing>
          <wp:inline distT="0" distB="0" distL="0" distR="0" wp14:anchorId="688DDDFC" wp14:editId="2589F766">
            <wp:extent cx="2200582" cy="146705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0582" cy="1467055"/>
                    </a:xfrm>
                    <a:prstGeom prst="rect">
                      <a:avLst/>
                    </a:prstGeom>
                  </pic:spPr>
                </pic:pic>
              </a:graphicData>
            </a:graphic>
          </wp:inline>
        </w:drawing>
      </w:r>
    </w:p>
    <w:p w:rsidR="00567F36" w:rsidRDefault="00567F36" w:rsidP="00567F36">
      <w:pPr>
        <w:tabs>
          <w:tab w:val="left" w:pos="24"/>
        </w:tabs>
        <w:adjustRightInd w:val="0"/>
        <w:snapToGrid w:val="0"/>
        <w:spacing w:before="120" w:after="240"/>
        <w:jc w:val="center"/>
        <w:rPr>
          <w:rFonts w:ascii="Helvetica" w:eastAsia="Malgun Gothic" w:hAnsi="Helvetica" w:cs="Helvetica"/>
          <w:b/>
          <w:sz w:val="22"/>
          <w:szCs w:val="22"/>
          <w:lang w:eastAsia="ko-KR"/>
        </w:rPr>
      </w:pPr>
    </w:p>
    <w:p w:rsidR="00567F36" w:rsidRPr="00192CD0" w:rsidRDefault="00567F36" w:rsidP="00567F36">
      <w:pPr>
        <w:tabs>
          <w:tab w:val="left" w:pos="24"/>
        </w:tabs>
        <w:adjustRightInd w:val="0"/>
        <w:snapToGrid w:val="0"/>
        <w:spacing w:before="120" w:after="240"/>
        <w:jc w:val="center"/>
        <w:rPr>
          <w:rFonts w:ascii="Helvetica" w:eastAsia="Malgun Gothic" w:hAnsi="Helvetica" w:cs="Helvetica"/>
          <w:b/>
          <w:sz w:val="22"/>
          <w:szCs w:val="22"/>
          <w:lang w:eastAsia="ko-KR"/>
        </w:rPr>
      </w:pPr>
      <w:r>
        <w:rPr>
          <w:rFonts w:ascii="Helvetica" w:eastAsia="Malgun Gothic" w:hAnsi="Helvetica" w:cs="Helvetica"/>
          <w:b/>
          <w:sz w:val="22"/>
          <w:szCs w:val="22"/>
          <w:lang w:eastAsia="ko-KR"/>
        </w:rPr>
        <w:t>Table</w:t>
      </w:r>
      <w:r w:rsidRPr="00FF10CE">
        <w:rPr>
          <w:rFonts w:ascii="Helvetica" w:eastAsia="Malgun Gothic" w:hAnsi="Helvetica" w:cs="Helvetica"/>
          <w:b/>
          <w:sz w:val="22"/>
          <w:szCs w:val="22"/>
          <w:lang w:eastAsia="ko-KR"/>
        </w:rPr>
        <w:t xml:space="preserve"> </w:t>
      </w:r>
      <w:r>
        <w:rPr>
          <w:rFonts w:ascii="Helvetica" w:eastAsia="Malgun Gothic" w:hAnsi="Helvetica" w:cs="Helvetica"/>
          <w:b/>
          <w:sz w:val="22"/>
          <w:szCs w:val="22"/>
          <w:lang w:eastAsia="ko-KR"/>
        </w:rPr>
        <w:t>1</w:t>
      </w:r>
      <w:r w:rsidRPr="00FF10CE">
        <w:rPr>
          <w:rFonts w:ascii="Helvetica" w:eastAsia="Malgun Gothic" w:hAnsi="Helvetica" w:cs="Helvetica"/>
          <w:b/>
          <w:sz w:val="22"/>
          <w:szCs w:val="22"/>
          <w:lang w:eastAsia="ko-KR"/>
        </w:rPr>
        <w:t xml:space="preserve">. </w:t>
      </w:r>
      <w:r>
        <w:rPr>
          <w:rFonts w:ascii="Helvetica" w:eastAsia="Malgun Gothic" w:hAnsi="Helvetica" w:cs="Helvetica"/>
          <w:b/>
          <w:sz w:val="22"/>
          <w:szCs w:val="22"/>
          <w:lang w:eastAsia="ko-KR"/>
        </w:rPr>
        <w:t>Summary statistics for the historical CDX.NA.IG spreads</w:t>
      </w:r>
    </w:p>
    <w:p w:rsidR="00567F36" w:rsidRDefault="00567F36" w:rsidP="00F14974">
      <w:pPr>
        <w:pStyle w:val="BodyTextIndent"/>
        <w:tabs>
          <w:tab w:val="left" w:pos="24"/>
        </w:tabs>
        <w:adjustRightInd w:val="0"/>
        <w:snapToGrid w:val="0"/>
        <w:spacing w:before="120"/>
        <w:ind w:firstLine="244"/>
        <w:rPr>
          <w:spacing w:val="0"/>
        </w:rPr>
      </w:pPr>
    </w:p>
    <w:p w:rsidR="003C3DB0" w:rsidRPr="00F14974" w:rsidRDefault="00295EAD" w:rsidP="00295EAD">
      <w:pPr>
        <w:pStyle w:val="BodyTextIndent"/>
        <w:tabs>
          <w:tab w:val="left" w:pos="24"/>
        </w:tabs>
        <w:adjustRightInd w:val="0"/>
        <w:snapToGrid w:val="0"/>
        <w:spacing w:before="120"/>
        <w:ind w:firstLine="244"/>
        <w:rPr>
          <w:spacing w:val="0"/>
        </w:rPr>
      </w:pPr>
      <w:r>
        <w:rPr>
          <w:spacing w:val="0"/>
        </w:rPr>
        <w:t>We perform an Augmented Dickey-Fuller (ADF) test for s</w:t>
      </w:r>
      <w:r w:rsidR="003C3DB0" w:rsidRPr="00F14974">
        <w:rPr>
          <w:spacing w:val="0"/>
        </w:rPr>
        <w:t xml:space="preserve">tationarity </w:t>
      </w:r>
      <w:r w:rsidR="006A53E6">
        <w:rPr>
          <w:spacing w:val="0"/>
        </w:rPr>
        <w:t>in</w:t>
      </w:r>
      <w:r w:rsidR="007F6B5E">
        <w:rPr>
          <w:spacing w:val="0"/>
        </w:rPr>
        <w:t xml:space="preserve"> spread and</w:t>
      </w:r>
      <w:r w:rsidR="006A53E6">
        <w:rPr>
          <w:spacing w:val="0"/>
        </w:rPr>
        <w:t xml:space="preserve"> returns series</w:t>
      </w:r>
      <w:r>
        <w:rPr>
          <w:spacing w:val="0"/>
        </w:rPr>
        <w:t>. As seen in Figure 5 our p-value comes less than 0.05 which means we reject the null hypothesis that the data does not have a unit root and is therefore stationary.</w:t>
      </w:r>
    </w:p>
    <w:p w:rsidR="00F80184" w:rsidRDefault="00F80184" w:rsidP="00EF4F86">
      <w:pPr>
        <w:tabs>
          <w:tab w:val="left" w:pos="24"/>
        </w:tabs>
        <w:adjustRightInd w:val="0"/>
        <w:snapToGrid w:val="0"/>
        <w:spacing w:before="120" w:after="240"/>
        <w:jc w:val="center"/>
        <w:rPr>
          <w:rFonts w:ascii="Helvetica" w:eastAsia="Malgun Gothic" w:hAnsi="Helvetica" w:cs="Helvetica"/>
          <w:b/>
          <w:sz w:val="22"/>
          <w:szCs w:val="22"/>
          <w:lang w:eastAsia="ko-KR"/>
        </w:rPr>
      </w:pPr>
    </w:p>
    <w:p w:rsidR="00F80184" w:rsidRDefault="007F6B5E" w:rsidP="00EF4F86">
      <w:pPr>
        <w:tabs>
          <w:tab w:val="left" w:pos="24"/>
        </w:tabs>
        <w:adjustRightInd w:val="0"/>
        <w:snapToGrid w:val="0"/>
        <w:spacing w:before="120" w:after="240"/>
        <w:jc w:val="center"/>
        <w:rPr>
          <w:rFonts w:ascii="Helvetica" w:eastAsia="Malgun Gothic" w:hAnsi="Helvetica" w:cs="Helvetica"/>
          <w:b/>
          <w:sz w:val="22"/>
          <w:szCs w:val="22"/>
          <w:lang w:eastAsia="ko-KR"/>
        </w:rPr>
      </w:pPr>
      <w:r w:rsidRPr="007F6B5E">
        <w:rPr>
          <w:rFonts w:ascii="Helvetica" w:eastAsia="Malgun Gothic" w:hAnsi="Helvetica" w:cs="Helvetica"/>
          <w:b/>
          <w:noProof/>
          <w:sz w:val="22"/>
          <w:szCs w:val="22"/>
          <w:lang w:val="en-GB" w:eastAsia="en-GB"/>
        </w:rPr>
        <w:drawing>
          <wp:inline distT="0" distB="0" distL="0" distR="0" wp14:anchorId="15C921A3" wp14:editId="3F4A84A1">
            <wp:extent cx="5058410" cy="320357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8410" cy="3203575"/>
                    </a:xfrm>
                    <a:prstGeom prst="rect">
                      <a:avLst/>
                    </a:prstGeom>
                  </pic:spPr>
                </pic:pic>
              </a:graphicData>
            </a:graphic>
          </wp:inline>
        </w:drawing>
      </w:r>
    </w:p>
    <w:p w:rsidR="00F80184" w:rsidRDefault="00F80184" w:rsidP="00F80184">
      <w:pPr>
        <w:tabs>
          <w:tab w:val="left" w:pos="24"/>
        </w:tabs>
        <w:adjustRightInd w:val="0"/>
        <w:snapToGrid w:val="0"/>
        <w:spacing w:before="120" w:after="240"/>
        <w:jc w:val="center"/>
        <w:rPr>
          <w:rFonts w:ascii="Helvetica" w:eastAsia="Malgun Gothic" w:hAnsi="Helvetica" w:cs="Helvetica"/>
          <w:b/>
          <w:sz w:val="22"/>
          <w:szCs w:val="22"/>
          <w:lang w:eastAsia="ko-KR"/>
        </w:rPr>
      </w:pPr>
      <w:r w:rsidRPr="00FF10CE">
        <w:rPr>
          <w:rFonts w:ascii="Helvetica" w:eastAsia="Malgun Gothic" w:hAnsi="Helvetica" w:cs="Helvetica"/>
          <w:b/>
          <w:sz w:val="22"/>
          <w:szCs w:val="22"/>
          <w:lang w:eastAsia="ko-KR"/>
        </w:rPr>
        <w:t xml:space="preserve">Figure </w:t>
      </w:r>
      <w:r>
        <w:rPr>
          <w:rFonts w:ascii="Helvetica" w:eastAsia="Malgun Gothic" w:hAnsi="Helvetica" w:cs="Helvetica"/>
          <w:b/>
          <w:sz w:val="22"/>
          <w:szCs w:val="22"/>
          <w:lang w:eastAsia="ko-KR"/>
        </w:rPr>
        <w:t>5</w:t>
      </w:r>
      <w:r w:rsidRPr="00FF10CE">
        <w:rPr>
          <w:rFonts w:ascii="Helvetica" w:eastAsia="Malgun Gothic" w:hAnsi="Helvetica" w:cs="Helvetica"/>
          <w:b/>
          <w:sz w:val="22"/>
          <w:szCs w:val="22"/>
          <w:lang w:eastAsia="ko-KR"/>
        </w:rPr>
        <w:t xml:space="preserve">. </w:t>
      </w:r>
      <w:r w:rsidR="00FB2C04">
        <w:rPr>
          <w:rFonts w:ascii="Helvetica" w:eastAsia="Malgun Gothic" w:hAnsi="Helvetica" w:cs="Helvetica"/>
          <w:b/>
          <w:sz w:val="22"/>
          <w:szCs w:val="22"/>
          <w:lang w:eastAsia="ko-KR"/>
        </w:rPr>
        <w:t xml:space="preserve">Code snippet for testing Stationarity of </w:t>
      </w:r>
      <w:r>
        <w:rPr>
          <w:rFonts w:ascii="Helvetica" w:eastAsia="Malgun Gothic" w:hAnsi="Helvetica" w:cs="Helvetica"/>
          <w:b/>
          <w:sz w:val="22"/>
          <w:szCs w:val="22"/>
          <w:lang w:eastAsia="ko-KR"/>
        </w:rPr>
        <w:t>CDX.NA.IG</w:t>
      </w:r>
      <w:r w:rsidR="00FB2C04">
        <w:rPr>
          <w:rFonts w:ascii="Helvetica" w:eastAsia="Malgun Gothic" w:hAnsi="Helvetica" w:cs="Helvetica"/>
          <w:b/>
          <w:sz w:val="22"/>
          <w:szCs w:val="22"/>
          <w:lang w:eastAsia="ko-KR"/>
        </w:rPr>
        <w:t xml:space="preserve"> spreds</w:t>
      </w:r>
      <w:r>
        <w:rPr>
          <w:rFonts w:ascii="Helvetica" w:eastAsia="Malgun Gothic" w:hAnsi="Helvetica" w:cs="Helvetica"/>
          <w:b/>
          <w:sz w:val="22"/>
          <w:szCs w:val="22"/>
          <w:lang w:eastAsia="ko-KR"/>
        </w:rPr>
        <w:t xml:space="preserve"> </w:t>
      </w:r>
    </w:p>
    <w:p w:rsidR="00F80184" w:rsidRPr="00F14974" w:rsidRDefault="00F14974" w:rsidP="00F14974">
      <w:pPr>
        <w:pStyle w:val="BodyTextIndent"/>
        <w:tabs>
          <w:tab w:val="left" w:pos="24"/>
        </w:tabs>
        <w:adjustRightInd w:val="0"/>
        <w:snapToGrid w:val="0"/>
        <w:spacing w:before="120"/>
        <w:ind w:firstLine="244"/>
        <w:rPr>
          <w:spacing w:val="0"/>
        </w:rPr>
      </w:pPr>
      <w:r>
        <w:rPr>
          <w:spacing w:val="0"/>
        </w:rPr>
        <w:t xml:space="preserve">Since our ADF test shows that the </w:t>
      </w:r>
      <w:r w:rsidR="00877C3C">
        <w:rPr>
          <w:spacing w:val="0"/>
        </w:rPr>
        <w:t xml:space="preserve">returns of the </w:t>
      </w:r>
      <w:r>
        <w:rPr>
          <w:spacing w:val="0"/>
        </w:rPr>
        <w:t>time series is s</w:t>
      </w:r>
      <w:r w:rsidRPr="00F14974">
        <w:rPr>
          <w:spacing w:val="0"/>
        </w:rPr>
        <w:t>tationarity</w:t>
      </w:r>
      <w:r>
        <w:rPr>
          <w:spacing w:val="0"/>
        </w:rPr>
        <w:t xml:space="preserve"> we proceed with the next step to check the autocorrelation. This is correlation with a lagged version of the time series. The Autocorrelation Function (ACF) plot in Figure 6 can help find the order of autocorrelation in the time series.</w:t>
      </w:r>
    </w:p>
    <w:p w:rsidR="00EF4F86" w:rsidRDefault="00621787" w:rsidP="00BE13F2">
      <w:pPr>
        <w:pStyle w:val="BodyTextIndent"/>
        <w:tabs>
          <w:tab w:val="left" w:pos="24"/>
        </w:tabs>
        <w:adjustRightInd w:val="0"/>
        <w:snapToGrid w:val="0"/>
        <w:spacing w:before="120"/>
        <w:ind w:firstLine="244"/>
        <w:jc w:val="center"/>
        <w:rPr>
          <w:spacing w:val="0"/>
        </w:rPr>
      </w:pPr>
      <w:r w:rsidRPr="00621787">
        <w:rPr>
          <w:noProof/>
          <w:spacing w:val="0"/>
          <w:lang w:val="en-GB" w:eastAsia="en-GB"/>
        </w:rPr>
        <w:lastRenderedPageBreak/>
        <w:drawing>
          <wp:inline distT="0" distB="0" distL="0" distR="0" wp14:anchorId="333540C7" wp14:editId="08E2C2F5">
            <wp:extent cx="5058410" cy="347027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8410" cy="3470275"/>
                    </a:xfrm>
                    <a:prstGeom prst="rect">
                      <a:avLst/>
                    </a:prstGeom>
                  </pic:spPr>
                </pic:pic>
              </a:graphicData>
            </a:graphic>
          </wp:inline>
        </w:drawing>
      </w:r>
    </w:p>
    <w:p w:rsidR="00EF4F86" w:rsidRDefault="00EF4F86" w:rsidP="00EF4F86">
      <w:pPr>
        <w:tabs>
          <w:tab w:val="left" w:pos="24"/>
        </w:tabs>
        <w:adjustRightInd w:val="0"/>
        <w:snapToGrid w:val="0"/>
        <w:spacing w:before="120" w:after="240"/>
        <w:jc w:val="center"/>
        <w:rPr>
          <w:rFonts w:ascii="Helvetica" w:eastAsia="Malgun Gothic" w:hAnsi="Helvetica" w:cs="Helvetica"/>
          <w:b/>
          <w:sz w:val="22"/>
          <w:szCs w:val="22"/>
          <w:lang w:eastAsia="ko-KR"/>
        </w:rPr>
      </w:pPr>
    </w:p>
    <w:p w:rsidR="00EF4F86" w:rsidRDefault="00EF4F86" w:rsidP="00EF4F86">
      <w:pPr>
        <w:tabs>
          <w:tab w:val="left" w:pos="24"/>
        </w:tabs>
        <w:adjustRightInd w:val="0"/>
        <w:snapToGrid w:val="0"/>
        <w:spacing w:before="120" w:after="240"/>
        <w:jc w:val="center"/>
        <w:rPr>
          <w:rFonts w:ascii="Helvetica" w:eastAsia="Malgun Gothic" w:hAnsi="Helvetica" w:cs="Helvetica"/>
          <w:b/>
          <w:sz w:val="22"/>
          <w:szCs w:val="22"/>
          <w:lang w:eastAsia="ko-KR"/>
        </w:rPr>
      </w:pPr>
      <w:r w:rsidRPr="00FF10CE">
        <w:rPr>
          <w:rFonts w:ascii="Helvetica" w:eastAsia="Malgun Gothic" w:hAnsi="Helvetica" w:cs="Helvetica"/>
          <w:b/>
          <w:sz w:val="22"/>
          <w:szCs w:val="22"/>
          <w:lang w:eastAsia="ko-KR"/>
        </w:rPr>
        <w:t xml:space="preserve">Figure </w:t>
      </w:r>
      <w:r w:rsidR="003C3DB0">
        <w:rPr>
          <w:rFonts w:ascii="Helvetica" w:eastAsia="Malgun Gothic" w:hAnsi="Helvetica" w:cs="Helvetica"/>
          <w:b/>
          <w:sz w:val="22"/>
          <w:szCs w:val="22"/>
          <w:lang w:eastAsia="ko-KR"/>
        </w:rPr>
        <w:t>6</w:t>
      </w:r>
      <w:r w:rsidRPr="00FF10CE">
        <w:rPr>
          <w:rFonts w:ascii="Helvetica" w:eastAsia="Malgun Gothic" w:hAnsi="Helvetica" w:cs="Helvetica"/>
          <w:b/>
          <w:sz w:val="22"/>
          <w:szCs w:val="22"/>
          <w:lang w:eastAsia="ko-KR"/>
        </w:rPr>
        <w:t xml:space="preserve">. </w:t>
      </w:r>
      <w:r w:rsidR="00FB2C04">
        <w:rPr>
          <w:rFonts w:ascii="Helvetica" w:eastAsia="Malgun Gothic" w:hAnsi="Helvetica" w:cs="Helvetica"/>
          <w:b/>
          <w:sz w:val="22"/>
          <w:szCs w:val="22"/>
          <w:lang w:eastAsia="ko-KR"/>
        </w:rPr>
        <w:t xml:space="preserve">Code Snippet for Testing </w:t>
      </w:r>
      <w:r>
        <w:rPr>
          <w:rFonts w:ascii="Helvetica" w:eastAsia="Malgun Gothic" w:hAnsi="Helvetica" w:cs="Helvetica"/>
          <w:b/>
          <w:sz w:val="22"/>
          <w:szCs w:val="22"/>
          <w:lang w:eastAsia="ko-KR"/>
        </w:rPr>
        <w:t>Autocorrelation of CDX.NA.IG Returns</w:t>
      </w:r>
    </w:p>
    <w:p w:rsidR="00CE710F" w:rsidRDefault="00EF4F86" w:rsidP="00AD28B5">
      <w:pPr>
        <w:rPr>
          <w:sz w:val="22"/>
        </w:rPr>
      </w:pPr>
      <w:r w:rsidRPr="00EF4F86">
        <w:rPr>
          <w:sz w:val="22"/>
        </w:rPr>
        <w:t xml:space="preserve">We </w:t>
      </w:r>
      <w:r w:rsidR="00724D79">
        <w:rPr>
          <w:sz w:val="22"/>
        </w:rPr>
        <w:t xml:space="preserve">do not </w:t>
      </w:r>
      <w:r w:rsidRPr="00EF4F86">
        <w:rPr>
          <w:sz w:val="22"/>
        </w:rPr>
        <w:t xml:space="preserve">find </w:t>
      </w:r>
      <w:r w:rsidR="00724D79">
        <w:rPr>
          <w:sz w:val="22"/>
        </w:rPr>
        <w:t>strong</w:t>
      </w:r>
      <w:r w:rsidRPr="00EF4F86">
        <w:rPr>
          <w:sz w:val="22"/>
        </w:rPr>
        <w:t xml:space="preserve"> </w:t>
      </w:r>
      <w:r w:rsidR="00E22B0B">
        <w:rPr>
          <w:sz w:val="22"/>
        </w:rPr>
        <w:t xml:space="preserve">evidence of </w:t>
      </w:r>
      <w:r w:rsidRPr="00EF4F86">
        <w:rPr>
          <w:sz w:val="22"/>
        </w:rPr>
        <w:t xml:space="preserve">autocorrelation of the </w:t>
      </w:r>
      <w:r>
        <w:rPr>
          <w:sz w:val="22"/>
        </w:rPr>
        <w:t>CDX.NA.IG spread</w:t>
      </w:r>
      <w:r w:rsidR="00724D79">
        <w:rPr>
          <w:sz w:val="22"/>
        </w:rPr>
        <w:t xml:space="preserve"> returns</w:t>
      </w:r>
      <w:r w:rsidR="00E22B0B">
        <w:rPr>
          <w:sz w:val="22"/>
        </w:rPr>
        <w:t xml:space="preserve"> from the ACF and PACF plots in F</w:t>
      </w:r>
      <w:r w:rsidR="00CE710F">
        <w:rPr>
          <w:sz w:val="22"/>
        </w:rPr>
        <w:t>igure 6 but at the same time a visual inspection of the spread changes time series do show clustering of returns</w:t>
      </w:r>
      <w:r w:rsidR="007E173B">
        <w:rPr>
          <w:sz w:val="22"/>
        </w:rPr>
        <w:t>. As noted from Figure 7 we can see large spread changes are clustered around few macroeconomic events of which the COVID-19 period stands out.</w:t>
      </w:r>
    </w:p>
    <w:p w:rsidR="00AD28B5" w:rsidRDefault="00AD28B5" w:rsidP="00AD28B5"/>
    <w:p w:rsidR="00CE710F" w:rsidRDefault="00CE710F" w:rsidP="00731898">
      <w:pPr>
        <w:pStyle w:val="BodyTextIndent"/>
        <w:tabs>
          <w:tab w:val="left" w:pos="24"/>
        </w:tabs>
        <w:adjustRightInd w:val="0"/>
        <w:snapToGrid w:val="0"/>
        <w:spacing w:before="120"/>
        <w:ind w:firstLine="244"/>
        <w:rPr>
          <w:spacing w:val="0"/>
        </w:rPr>
      </w:pPr>
      <w:r w:rsidRPr="00CE710F">
        <w:rPr>
          <w:noProof/>
          <w:spacing w:val="0"/>
          <w:lang w:val="en-GB" w:eastAsia="en-GB"/>
        </w:rPr>
        <w:drawing>
          <wp:inline distT="0" distB="0" distL="0" distR="0" wp14:anchorId="63CB0751" wp14:editId="099E0E39">
            <wp:extent cx="5058410" cy="162115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8410" cy="1621155"/>
                    </a:xfrm>
                    <a:prstGeom prst="rect">
                      <a:avLst/>
                    </a:prstGeom>
                  </pic:spPr>
                </pic:pic>
              </a:graphicData>
            </a:graphic>
          </wp:inline>
        </w:drawing>
      </w:r>
    </w:p>
    <w:p w:rsidR="00CE710F" w:rsidRDefault="00CE710F" w:rsidP="00E4048B">
      <w:pPr>
        <w:tabs>
          <w:tab w:val="left" w:pos="24"/>
        </w:tabs>
        <w:adjustRightInd w:val="0"/>
        <w:snapToGrid w:val="0"/>
        <w:spacing w:before="120" w:after="240"/>
        <w:jc w:val="center"/>
      </w:pPr>
      <w:r w:rsidRPr="00FF10CE">
        <w:rPr>
          <w:rFonts w:ascii="Helvetica" w:eastAsia="Malgun Gothic" w:hAnsi="Helvetica" w:cs="Helvetica"/>
          <w:b/>
          <w:sz w:val="22"/>
          <w:szCs w:val="22"/>
          <w:lang w:eastAsia="ko-KR"/>
        </w:rPr>
        <w:t xml:space="preserve">Figure </w:t>
      </w:r>
      <w:r>
        <w:rPr>
          <w:rFonts w:ascii="Helvetica" w:eastAsia="Malgun Gothic" w:hAnsi="Helvetica" w:cs="Helvetica"/>
          <w:b/>
          <w:sz w:val="22"/>
          <w:szCs w:val="22"/>
          <w:lang w:eastAsia="ko-KR"/>
        </w:rPr>
        <w:t>7</w:t>
      </w:r>
      <w:r w:rsidRPr="00FF10CE">
        <w:rPr>
          <w:rFonts w:ascii="Helvetica" w:eastAsia="Malgun Gothic" w:hAnsi="Helvetica" w:cs="Helvetica"/>
          <w:b/>
          <w:sz w:val="22"/>
          <w:szCs w:val="22"/>
          <w:lang w:eastAsia="ko-KR"/>
        </w:rPr>
        <w:t xml:space="preserve">. </w:t>
      </w:r>
      <w:r>
        <w:rPr>
          <w:rFonts w:ascii="Helvetica" w:eastAsia="Malgun Gothic" w:hAnsi="Helvetica" w:cs="Helvetica"/>
          <w:b/>
          <w:sz w:val="22"/>
          <w:szCs w:val="22"/>
          <w:lang w:eastAsia="ko-KR"/>
        </w:rPr>
        <w:t>Clustering of CDX.NA.IG Returns</w:t>
      </w:r>
    </w:p>
    <w:p w:rsidR="00CE710F" w:rsidRDefault="005B1091" w:rsidP="00731898">
      <w:pPr>
        <w:pStyle w:val="BodyTextIndent"/>
        <w:tabs>
          <w:tab w:val="left" w:pos="24"/>
        </w:tabs>
        <w:adjustRightInd w:val="0"/>
        <w:snapToGrid w:val="0"/>
        <w:spacing w:before="120"/>
        <w:ind w:firstLine="244"/>
        <w:rPr>
          <w:spacing w:val="0"/>
        </w:rPr>
      </w:pPr>
      <w:r>
        <w:rPr>
          <w:spacing w:val="0"/>
        </w:rPr>
        <w:t>After doing a sub-period study for seasonality, we find little evidence of it as seen in the Figure 8.</w:t>
      </w:r>
    </w:p>
    <w:p w:rsidR="005B1091" w:rsidRDefault="005B1091" w:rsidP="00731898">
      <w:pPr>
        <w:pStyle w:val="BodyTextIndent"/>
        <w:tabs>
          <w:tab w:val="left" w:pos="24"/>
        </w:tabs>
        <w:adjustRightInd w:val="0"/>
        <w:snapToGrid w:val="0"/>
        <w:spacing w:before="120"/>
        <w:ind w:firstLine="244"/>
        <w:rPr>
          <w:spacing w:val="0"/>
        </w:rPr>
      </w:pPr>
      <w:r w:rsidRPr="005B1091">
        <w:rPr>
          <w:noProof/>
          <w:spacing w:val="0"/>
          <w:lang w:val="en-GB" w:eastAsia="en-GB"/>
        </w:rPr>
        <w:lastRenderedPageBreak/>
        <w:drawing>
          <wp:inline distT="0" distB="0" distL="0" distR="0" wp14:anchorId="6B9242DA" wp14:editId="06D3CDB0">
            <wp:extent cx="5058410" cy="3578225"/>
            <wp:effectExtent l="0" t="0" r="889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8410" cy="3578225"/>
                    </a:xfrm>
                    <a:prstGeom prst="rect">
                      <a:avLst/>
                    </a:prstGeom>
                  </pic:spPr>
                </pic:pic>
              </a:graphicData>
            </a:graphic>
          </wp:inline>
        </w:drawing>
      </w:r>
    </w:p>
    <w:p w:rsidR="005B1091" w:rsidRDefault="005B1091" w:rsidP="005B1091">
      <w:pPr>
        <w:tabs>
          <w:tab w:val="left" w:pos="24"/>
        </w:tabs>
        <w:adjustRightInd w:val="0"/>
        <w:snapToGrid w:val="0"/>
        <w:spacing w:before="120" w:after="240"/>
        <w:jc w:val="center"/>
      </w:pPr>
      <w:r w:rsidRPr="00FF10CE">
        <w:rPr>
          <w:rFonts w:ascii="Helvetica" w:eastAsia="Malgun Gothic" w:hAnsi="Helvetica" w:cs="Helvetica"/>
          <w:b/>
          <w:sz w:val="22"/>
          <w:szCs w:val="22"/>
          <w:lang w:eastAsia="ko-KR"/>
        </w:rPr>
        <w:t xml:space="preserve">Figure </w:t>
      </w:r>
      <w:r>
        <w:rPr>
          <w:rFonts w:ascii="Helvetica" w:eastAsia="Malgun Gothic" w:hAnsi="Helvetica" w:cs="Helvetica"/>
          <w:b/>
          <w:sz w:val="22"/>
          <w:szCs w:val="22"/>
          <w:lang w:eastAsia="ko-KR"/>
        </w:rPr>
        <w:t>8</w:t>
      </w:r>
      <w:r w:rsidRPr="00FF10CE">
        <w:rPr>
          <w:rFonts w:ascii="Helvetica" w:eastAsia="Malgun Gothic" w:hAnsi="Helvetica" w:cs="Helvetica"/>
          <w:b/>
          <w:sz w:val="22"/>
          <w:szCs w:val="22"/>
          <w:lang w:eastAsia="ko-KR"/>
        </w:rPr>
        <w:t xml:space="preserve">. </w:t>
      </w:r>
      <w:r>
        <w:rPr>
          <w:rFonts w:ascii="Helvetica" w:eastAsia="Malgun Gothic" w:hAnsi="Helvetica" w:cs="Helvetica"/>
          <w:b/>
          <w:sz w:val="22"/>
          <w:szCs w:val="22"/>
          <w:lang w:eastAsia="ko-KR"/>
        </w:rPr>
        <w:t>Seasonality of CDX.NA.IG Returns</w:t>
      </w:r>
    </w:p>
    <w:p w:rsidR="005B1091" w:rsidRDefault="005B1091" w:rsidP="00731898">
      <w:pPr>
        <w:pStyle w:val="BodyTextIndent"/>
        <w:tabs>
          <w:tab w:val="left" w:pos="24"/>
        </w:tabs>
        <w:adjustRightInd w:val="0"/>
        <w:snapToGrid w:val="0"/>
        <w:spacing w:before="120"/>
        <w:ind w:firstLine="244"/>
        <w:rPr>
          <w:spacing w:val="0"/>
        </w:rPr>
      </w:pPr>
    </w:p>
    <w:p w:rsidR="005B1091" w:rsidRDefault="005B1091" w:rsidP="00731898">
      <w:pPr>
        <w:pStyle w:val="BodyTextIndent"/>
        <w:tabs>
          <w:tab w:val="left" w:pos="24"/>
        </w:tabs>
        <w:adjustRightInd w:val="0"/>
        <w:snapToGrid w:val="0"/>
        <w:spacing w:before="120"/>
        <w:ind w:firstLine="244"/>
        <w:rPr>
          <w:spacing w:val="0"/>
        </w:rPr>
      </w:pPr>
    </w:p>
    <w:p w:rsidR="006B18F5" w:rsidRDefault="006B18F5" w:rsidP="006B18F5">
      <w:pPr>
        <w:tabs>
          <w:tab w:val="left" w:pos="24"/>
        </w:tabs>
        <w:adjustRightInd w:val="0"/>
        <w:snapToGrid w:val="0"/>
        <w:jc w:val="both"/>
        <w:rPr>
          <w:b/>
          <w:sz w:val="22"/>
        </w:rPr>
      </w:pPr>
      <w:r>
        <w:rPr>
          <w:b/>
          <w:sz w:val="22"/>
        </w:rPr>
        <w:t>3.2. Models and Training</w:t>
      </w:r>
    </w:p>
    <w:p w:rsidR="006B18F5" w:rsidRDefault="006B18F5" w:rsidP="006B18F5">
      <w:pPr>
        <w:tabs>
          <w:tab w:val="left" w:pos="24"/>
        </w:tabs>
        <w:adjustRightInd w:val="0"/>
        <w:snapToGrid w:val="0"/>
        <w:jc w:val="both"/>
        <w:rPr>
          <w:b/>
          <w:sz w:val="22"/>
          <w:lang w:eastAsia="ko-KR"/>
        </w:rPr>
      </w:pPr>
    </w:p>
    <w:p w:rsidR="00D83E7B" w:rsidRDefault="001C052C" w:rsidP="00731898">
      <w:pPr>
        <w:pStyle w:val="BodyTextIndent"/>
        <w:tabs>
          <w:tab w:val="left" w:pos="24"/>
        </w:tabs>
        <w:adjustRightInd w:val="0"/>
        <w:snapToGrid w:val="0"/>
        <w:spacing w:before="120"/>
        <w:ind w:firstLine="244"/>
        <w:rPr>
          <w:spacing w:val="0"/>
        </w:rPr>
      </w:pPr>
      <w:r w:rsidRPr="001C052C">
        <w:rPr>
          <w:spacing w:val="0"/>
        </w:rPr>
        <w:t xml:space="preserve">We apply </w:t>
      </w:r>
      <w:r w:rsidR="00D83E7B">
        <w:rPr>
          <w:spacing w:val="0"/>
        </w:rPr>
        <w:t xml:space="preserve">a </w:t>
      </w:r>
      <w:r w:rsidR="00214156">
        <w:rPr>
          <w:spacing w:val="0"/>
        </w:rPr>
        <w:t xml:space="preserve">deep learning </w:t>
      </w:r>
      <w:r w:rsidRPr="001C052C">
        <w:rPr>
          <w:spacing w:val="0"/>
        </w:rPr>
        <w:t>based architecture</w:t>
      </w:r>
      <w:r w:rsidR="00214156">
        <w:rPr>
          <w:spacing w:val="0"/>
        </w:rPr>
        <w:t>, LSTM model,</w:t>
      </w:r>
      <w:r w:rsidRPr="001C052C">
        <w:rPr>
          <w:spacing w:val="0"/>
        </w:rPr>
        <w:t xml:space="preserve"> to the prediction </w:t>
      </w:r>
      <w:r w:rsidR="00D83E7B">
        <w:rPr>
          <w:spacing w:val="0"/>
        </w:rPr>
        <w:t>of CDS spreads of the CDX.NA.IG index</w:t>
      </w:r>
      <w:r w:rsidRPr="001C052C">
        <w:rPr>
          <w:spacing w:val="0"/>
        </w:rPr>
        <w:t xml:space="preserve"> and investigate model performance</w:t>
      </w:r>
      <w:r w:rsidR="00D83E7B">
        <w:rPr>
          <w:spacing w:val="0"/>
        </w:rPr>
        <w:t xml:space="preserve"> versus</w:t>
      </w:r>
      <w:r w:rsidRPr="001C052C">
        <w:rPr>
          <w:spacing w:val="0"/>
        </w:rPr>
        <w:t xml:space="preserve"> a benc</w:t>
      </w:r>
      <w:r w:rsidR="00D83E7B">
        <w:rPr>
          <w:spacing w:val="0"/>
        </w:rPr>
        <w:t xml:space="preserve">hmark </w:t>
      </w:r>
      <w:r w:rsidR="00A15EB4">
        <w:rPr>
          <w:spacing w:val="0"/>
        </w:rPr>
        <w:t>SVM</w:t>
      </w:r>
      <w:r w:rsidR="00D83E7B">
        <w:rPr>
          <w:spacing w:val="0"/>
        </w:rPr>
        <w:t xml:space="preserve"> model</w:t>
      </w:r>
      <w:r w:rsidRPr="001C052C">
        <w:rPr>
          <w:spacing w:val="0"/>
        </w:rPr>
        <w:t>.</w:t>
      </w:r>
      <w:r w:rsidR="00D83E7B">
        <w:rPr>
          <w:spacing w:val="0"/>
        </w:rPr>
        <w:t xml:space="preserve"> We will use</w:t>
      </w:r>
      <w:r w:rsidRPr="001C052C">
        <w:rPr>
          <w:spacing w:val="0"/>
        </w:rPr>
        <w:t xml:space="preserve"> Mean Squared Error (MSE) </w:t>
      </w:r>
      <w:r w:rsidR="00D83E7B">
        <w:rPr>
          <w:spacing w:val="0"/>
        </w:rPr>
        <w:t>as</w:t>
      </w:r>
      <w:r w:rsidRPr="001C052C">
        <w:rPr>
          <w:spacing w:val="0"/>
        </w:rPr>
        <w:t xml:space="preserve"> the primary performance metric</w:t>
      </w:r>
      <w:r w:rsidR="00D83E7B">
        <w:rPr>
          <w:spacing w:val="0"/>
        </w:rPr>
        <w:t xml:space="preserve"> and will also</w:t>
      </w:r>
      <w:r w:rsidRPr="001C052C">
        <w:rPr>
          <w:spacing w:val="0"/>
        </w:rPr>
        <w:t xml:space="preserve"> report Mean Absolute Error (MAE) as well as Mean Absolute Percentage Error (MAPE) as additional metrics. </w:t>
      </w:r>
      <w:r w:rsidR="00D83E7B" w:rsidRPr="001C052C">
        <w:rPr>
          <w:spacing w:val="0"/>
        </w:rPr>
        <w:t>We use MSE as loss function because we strive to minimize the difference between predicted return and true return.</w:t>
      </w:r>
    </w:p>
    <w:p w:rsidR="00D83E7B" w:rsidRDefault="00214156" w:rsidP="00D83E7B">
      <w:pPr>
        <w:pStyle w:val="BodyTextIndent"/>
        <w:tabs>
          <w:tab w:val="left" w:pos="24"/>
        </w:tabs>
        <w:adjustRightInd w:val="0"/>
        <w:snapToGrid w:val="0"/>
        <w:spacing w:before="120"/>
        <w:ind w:firstLine="244"/>
        <w:rPr>
          <w:spacing w:val="0"/>
        </w:rPr>
      </w:pPr>
      <w:r>
        <w:rPr>
          <w:spacing w:val="0"/>
        </w:rPr>
        <w:t xml:space="preserve">We will </w:t>
      </w:r>
      <w:r w:rsidR="00346776">
        <w:rPr>
          <w:spacing w:val="0"/>
        </w:rPr>
        <w:t xml:space="preserve">also </w:t>
      </w:r>
      <w:r>
        <w:rPr>
          <w:spacing w:val="0"/>
        </w:rPr>
        <w:t>focus attention on our hyper parameter optimization to arrive at the optimal values for</w:t>
      </w:r>
      <w:r w:rsidR="00D83E7B">
        <w:rPr>
          <w:spacing w:val="0"/>
        </w:rPr>
        <w:t xml:space="preserve"> the LSTM model parameters:</w:t>
      </w:r>
      <w:r>
        <w:rPr>
          <w:spacing w:val="0"/>
        </w:rPr>
        <w:t xml:space="preserve"> number of epochs, learning rate, decay rate, batch si</w:t>
      </w:r>
      <w:r w:rsidR="00D83E7B">
        <w:rPr>
          <w:spacing w:val="0"/>
        </w:rPr>
        <w:t>ze and look-back window</w:t>
      </w:r>
      <w:r>
        <w:rPr>
          <w:spacing w:val="0"/>
        </w:rPr>
        <w:t>.</w:t>
      </w:r>
      <w:r w:rsidRPr="001C052C">
        <w:rPr>
          <w:spacing w:val="0"/>
        </w:rPr>
        <w:t xml:space="preserve"> </w:t>
      </w:r>
      <w:r w:rsidR="00D83E7B" w:rsidRPr="001C052C">
        <w:rPr>
          <w:spacing w:val="0"/>
        </w:rPr>
        <w:t xml:space="preserve">Adam is </w:t>
      </w:r>
      <w:r w:rsidR="00D83E7B">
        <w:rPr>
          <w:spacing w:val="0"/>
        </w:rPr>
        <w:t>our choice of optimizer in the LSTM algorithm.</w:t>
      </w:r>
    </w:p>
    <w:p w:rsidR="00402745" w:rsidRDefault="00402745" w:rsidP="00D83E7B">
      <w:pPr>
        <w:pStyle w:val="BodyTextIndent"/>
        <w:tabs>
          <w:tab w:val="left" w:pos="24"/>
        </w:tabs>
        <w:adjustRightInd w:val="0"/>
        <w:snapToGrid w:val="0"/>
        <w:spacing w:before="120"/>
        <w:ind w:firstLine="244"/>
        <w:rPr>
          <w:spacing w:val="0"/>
        </w:rPr>
      </w:pPr>
      <w:r>
        <w:rPr>
          <w:spacing w:val="0"/>
        </w:rPr>
        <w:t xml:space="preserve">In order to test our two hypotheses we plan to conduct </w:t>
      </w:r>
      <w:r w:rsidR="00035591">
        <w:rPr>
          <w:spacing w:val="0"/>
        </w:rPr>
        <w:t>two</w:t>
      </w:r>
      <w:r>
        <w:rPr>
          <w:spacing w:val="0"/>
        </w:rPr>
        <w:t xml:space="preserve"> set of prediction tasks:</w:t>
      </w:r>
    </w:p>
    <w:p w:rsidR="00402745" w:rsidRDefault="00402745" w:rsidP="00402745">
      <w:pPr>
        <w:pStyle w:val="BodyTextIndent"/>
        <w:numPr>
          <w:ilvl w:val="0"/>
          <w:numId w:val="14"/>
        </w:numPr>
        <w:tabs>
          <w:tab w:val="left" w:pos="24"/>
        </w:tabs>
        <w:adjustRightInd w:val="0"/>
        <w:snapToGrid w:val="0"/>
        <w:spacing w:before="120"/>
        <w:rPr>
          <w:spacing w:val="0"/>
        </w:rPr>
      </w:pPr>
      <w:r>
        <w:rPr>
          <w:spacing w:val="0"/>
        </w:rPr>
        <w:t xml:space="preserve">LSTM </w:t>
      </w:r>
      <w:r w:rsidR="00035591">
        <w:rPr>
          <w:spacing w:val="0"/>
        </w:rPr>
        <w:t xml:space="preserve">and </w:t>
      </w:r>
      <w:r w:rsidR="00A15EB4">
        <w:rPr>
          <w:spacing w:val="0"/>
        </w:rPr>
        <w:t>SVM</w:t>
      </w:r>
      <w:r w:rsidR="00035591">
        <w:rPr>
          <w:spacing w:val="0"/>
        </w:rPr>
        <w:t xml:space="preserve"> forecasting </w:t>
      </w:r>
      <w:r>
        <w:rPr>
          <w:spacing w:val="0"/>
        </w:rPr>
        <w:t>with just the CDX.NA.IG time series data</w:t>
      </w:r>
      <w:r w:rsidR="00035591">
        <w:rPr>
          <w:spacing w:val="0"/>
        </w:rPr>
        <w:t xml:space="preserve"> input.</w:t>
      </w:r>
    </w:p>
    <w:p w:rsidR="00402745" w:rsidRDefault="00402745" w:rsidP="00402745">
      <w:pPr>
        <w:pStyle w:val="BodyTextIndent"/>
        <w:numPr>
          <w:ilvl w:val="0"/>
          <w:numId w:val="14"/>
        </w:numPr>
        <w:tabs>
          <w:tab w:val="left" w:pos="24"/>
        </w:tabs>
        <w:adjustRightInd w:val="0"/>
        <w:snapToGrid w:val="0"/>
        <w:spacing w:before="120"/>
        <w:rPr>
          <w:spacing w:val="0"/>
        </w:rPr>
      </w:pPr>
      <w:r>
        <w:rPr>
          <w:spacing w:val="0"/>
        </w:rPr>
        <w:t xml:space="preserve">LSTM </w:t>
      </w:r>
      <w:r w:rsidR="00035591">
        <w:rPr>
          <w:spacing w:val="0"/>
        </w:rPr>
        <w:t xml:space="preserve">and </w:t>
      </w:r>
      <w:r w:rsidR="00A15EB4">
        <w:rPr>
          <w:spacing w:val="0"/>
        </w:rPr>
        <w:t>SVM</w:t>
      </w:r>
      <w:r w:rsidR="00035591">
        <w:rPr>
          <w:spacing w:val="0"/>
        </w:rPr>
        <w:t xml:space="preserve"> forecasting </w:t>
      </w:r>
      <w:r>
        <w:rPr>
          <w:spacing w:val="0"/>
        </w:rPr>
        <w:t>with a time series of rolling Hurst Exponent values</w:t>
      </w:r>
      <w:r w:rsidR="00035591">
        <w:rPr>
          <w:spacing w:val="0"/>
        </w:rPr>
        <w:t xml:space="preserve"> as an additional input feature.</w:t>
      </w:r>
    </w:p>
    <w:p w:rsidR="00214156" w:rsidRDefault="00214156" w:rsidP="00731898">
      <w:pPr>
        <w:pStyle w:val="BodyTextIndent"/>
        <w:tabs>
          <w:tab w:val="left" w:pos="24"/>
        </w:tabs>
        <w:adjustRightInd w:val="0"/>
        <w:snapToGrid w:val="0"/>
        <w:spacing w:before="120"/>
        <w:ind w:firstLine="244"/>
        <w:rPr>
          <w:spacing w:val="0"/>
        </w:rPr>
      </w:pPr>
    </w:p>
    <w:p w:rsidR="00A60749" w:rsidRDefault="00AF367A" w:rsidP="00731898">
      <w:pPr>
        <w:pStyle w:val="BodyTextIndent"/>
        <w:tabs>
          <w:tab w:val="left" w:pos="24"/>
        </w:tabs>
        <w:adjustRightInd w:val="0"/>
        <w:snapToGrid w:val="0"/>
        <w:spacing w:before="120"/>
        <w:ind w:firstLine="244"/>
        <w:rPr>
          <w:spacing w:val="0"/>
        </w:rPr>
      </w:pPr>
      <w:r>
        <w:rPr>
          <w:spacing w:val="0"/>
        </w:rPr>
        <w:t>The pseudo code for calculation of Hurst Exponent time series is presented in the appendix.</w:t>
      </w:r>
      <w:r w:rsidR="00DC6EAA">
        <w:rPr>
          <w:spacing w:val="0"/>
        </w:rPr>
        <w:t xml:space="preserve"> A rolling time series of the Hurt Exponent will be appended to the CDX.NA.IG time series and will serve as additional input feature.</w:t>
      </w:r>
    </w:p>
    <w:p w:rsidR="00602F43" w:rsidRDefault="00602F43" w:rsidP="00731898">
      <w:pPr>
        <w:pStyle w:val="BodyTextIndent"/>
        <w:tabs>
          <w:tab w:val="left" w:pos="24"/>
        </w:tabs>
        <w:adjustRightInd w:val="0"/>
        <w:snapToGrid w:val="0"/>
        <w:spacing w:before="120"/>
        <w:ind w:firstLine="244"/>
        <w:rPr>
          <w:spacing w:val="0"/>
        </w:rPr>
      </w:pPr>
    </w:p>
    <w:p w:rsidR="00602F43" w:rsidRDefault="00602F43" w:rsidP="00602F43">
      <w:pPr>
        <w:pStyle w:val="BodyTextIndent"/>
        <w:tabs>
          <w:tab w:val="left" w:pos="24"/>
        </w:tabs>
        <w:adjustRightInd w:val="0"/>
        <w:snapToGrid w:val="0"/>
        <w:ind w:firstLine="0"/>
        <w:rPr>
          <w:spacing w:val="0"/>
        </w:rPr>
      </w:pPr>
      <w:r>
        <w:rPr>
          <w:b/>
          <w:spacing w:val="0"/>
        </w:rPr>
        <w:lastRenderedPageBreak/>
        <w:t>3</w:t>
      </w:r>
      <w:r w:rsidRPr="00FF10CE">
        <w:rPr>
          <w:b/>
          <w:spacing w:val="0"/>
        </w:rPr>
        <w:t>.</w:t>
      </w:r>
      <w:r>
        <w:rPr>
          <w:b/>
          <w:spacing w:val="0"/>
        </w:rPr>
        <w:t>2</w:t>
      </w:r>
      <w:r w:rsidRPr="00FF10CE">
        <w:rPr>
          <w:b/>
          <w:spacing w:val="0"/>
        </w:rPr>
        <w:t xml:space="preserve">.1. </w:t>
      </w:r>
      <w:r>
        <w:rPr>
          <w:b/>
          <w:spacing w:val="0"/>
        </w:rPr>
        <w:t>Support Vector Machines</w:t>
      </w:r>
      <w:r w:rsidRPr="00FF10CE">
        <w:rPr>
          <w:b/>
          <w:spacing w:val="0"/>
        </w:rPr>
        <w:t>:</w:t>
      </w:r>
      <w:r w:rsidRPr="00FF10CE">
        <w:rPr>
          <w:spacing w:val="0"/>
        </w:rPr>
        <w:t xml:space="preserve"> </w:t>
      </w:r>
      <w:r w:rsidR="003A78F3">
        <w:rPr>
          <w:spacing w:val="0"/>
        </w:rPr>
        <w:t>SVM is a class of supervised machine learning and is often used for regression analysis. The basic idea behind SVM is to find a hyperplane that maximizes the distance between classes. It is very useful for classification tasks.</w:t>
      </w:r>
    </w:p>
    <w:p w:rsidR="00602F43" w:rsidRDefault="00602F43" w:rsidP="00602F43">
      <w:pPr>
        <w:pStyle w:val="BodyTextIndent"/>
        <w:tabs>
          <w:tab w:val="left" w:pos="24"/>
        </w:tabs>
        <w:adjustRightInd w:val="0"/>
        <w:snapToGrid w:val="0"/>
        <w:ind w:firstLine="0"/>
        <w:rPr>
          <w:spacing w:val="0"/>
          <w:lang w:eastAsia="ko-KR"/>
        </w:rPr>
      </w:pPr>
    </w:p>
    <w:p w:rsidR="0000663A" w:rsidRPr="0033569F" w:rsidRDefault="0000663A" w:rsidP="00602F43">
      <w:pPr>
        <w:pStyle w:val="BodyTextIndent"/>
        <w:tabs>
          <w:tab w:val="left" w:pos="24"/>
        </w:tabs>
        <w:adjustRightInd w:val="0"/>
        <w:snapToGrid w:val="0"/>
        <w:ind w:firstLine="0"/>
        <w:rPr>
          <w:color w:val="FF0000"/>
          <w:spacing w:val="0"/>
          <w:lang w:eastAsia="ko-KR"/>
        </w:rPr>
      </w:pPr>
      <w:r w:rsidRPr="0033569F">
        <w:rPr>
          <w:color w:val="FF0000"/>
          <w:spacing w:val="0"/>
          <w:lang w:eastAsia="ko-KR"/>
        </w:rPr>
        <w:t>MORE MODEL DETAILS TO FOLLOW</w:t>
      </w:r>
    </w:p>
    <w:p w:rsidR="0000663A" w:rsidRDefault="0000663A" w:rsidP="00602F43">
      <w:pPr>
        <w:pStyle w:val="BodyTextIndent"/>
        <w:tabs>
          <w:tab w:val="left" w:pos="24"/>
        </w:tabs>
        <w:adjustRightInd w:val="0"/>
        <w:snapToGrid w:val="0"/>
        <w:ind w:firstLine="0"/>
        <w:rPr>
          <w:spacing w:val="0"/>
          <w:lang w:eastAsia="ko-KR"/>
        </w:rPr>
      </w:pPr>
    </w:p>
    <w:p w:rsidR="0000663A" w:rsidRDefault="0000663A" w:rsidP="00602F43">
      <w:pPr>
        <w:pStyle w:val="BodyTextIndent"/>
        <w:tabs>
          <w:tab w:val="left" w:pos="24"/>
        </w:tabs>
        <w:adjustRightInd w:val="0"/>
        <w:snapToGrid w:val="0"/>
        <w:ind w:firstLine="0"/>
        <w:rPr>
          <w:spacing w:val="0"/>
          <w:lang w:eastAsia="ko-KR"/>
        </w:rPr>
      </w:pPr>
    </w:p>
    <w:p w:rsidR="009B398D" w:rsidRDefault="00602F43" w:rsidP="00602F43">
      <w:pPr>
        <w:pStyle w:val="BodyTextIndent"/>
        <w:tabs>
          <w:tab w:val="left" w:pos="24"/>
        </w:tabs>
        <w:adjustRightInd w:val="0"/>
        <w:snapToGrid w:val="0"/>
        <w:ind w:firstLine="0"/>
        <w:rPr>
          <w:spacing w:val="0"/>
        </w:rPr>
      </w:pPr>
      <w:r>
        <w:rPr>
          <w:b/>
          <w:spacing w:val="0"/>
        </w:rPr>
        <w:t>3</w:t>
      </w:r>
      <w:r w:rsidRPr="00FF10CE">
        <w:rPr>
          <w:b/>
          <w:spacing w:val="0"/>
        </w:rPr>
        <w:t>.</w:t>
      </w:r>
      <w:r>
        <w:rPr>
          <w:b/>
          <w:spacing w:val="0"/>
        </w:rPr>
        <w:t>2</w:t>
      </w:r>
      <w:r w:rsidRPr="00FF10CE">
        <w:rPr>
          <w:b/>
          <w:spacing w:val="0"/>
        </w:rPr>
        <w:t xml:space="preserve">.1. </w:t>
      </w:r>
      <w:r>
        <w:rPr>
          <w:b/>
          <w:spacing w:val="0"/>
        </w:rPr>
        <w:t>Long Short-Term Memory</w:t>
      </w:r>
      <w:r w:rsidRPr="00FF10CE">
        <w:rPr>
          <w:b/>
          <w:spacing w:val="0"/>
        </w:rPr>
        <w:t>:</w:t>
      </w:r>
      <w:r w:rsidRPr="00602F43">
        <w:rPr>
          <w:b/>
          <w:spacing w:val="0"/>
        </w:rPr>
        <w:t xml:space="preserve"> </w:t>
      </w:r>
      <w:r w:rsidR="003A78F3">
        <w:rPr>
          <w:spacing w:val="0"/>
        </w:rPr>
        <w:t xml:space="preserve">LSTM is a type of Recurrent Neural Network where dependency on the past data can be modelled. </w:t>
      </w:r>
      <w:r w:rsidR="00F252C1">
        <w:rPr>
          <w:spacing w:val="0"/>
        </w:rPr>
        <w:t>Unlike the usual feedforward neural network</w:t>
      </w:r>
      <w:r w:rsidR="009E2BAE">
        <w:rPr>
          <w:spacing w:val="0"/>
        </w:rPr>
        <w:t>,</w:t>
      </w:r>
      <w:r w:rsidR="00F252C1">
        <w:rPr>
          <w:spacing w:val="0"/>
        </w:rPr>
        <w:t xml:space="preserve"> LSTM models have a feedback connection which </w:t>
      </w:r>
      <w:r w:rsidR="009E2BAE">
        <w:rPr>
          <w:spacing w:val="0"/>
        </w:rPr>
        <w:t>can learn time dependent relationship in the data and are therefore more suitable for time-series data modelling.</w:t>
      </w:r>
      <w:r w:rsidR="008B71E2">
        <w:rPr>
          <w:spacing w:val="0"/>
        </w:rPr>
        <w:t xml:space="preserve"> Another advantage of these class of models is its ability to overcome the vanishing gradient problems seen in traditional neural networks. Currently LSTM dominates forecasting problems in most of the asset classes and we intend to study its utility to credit derivatives through this study.</w:t>
      </w:r>
    </w:p>
    <w:p w:rsidR="009B398D" w:rsidRPr="009B398D" w:rsidRDefault="009B398D" w:rsidP="009B398D">
      <w:pPr>
        <w:pStyle w:val="BodyTextIndent"/>
        <w:tabs>
          <w:tab w:val="left" w:pos="24"/>
        </w:tabs>
        <w:adjustRightInd w:val="0"/>
        <w:snapToGrid w:val="0"/>
        <w:spacing w:before="120"/>
        <w:ind w:firstLine="244"/>
        <w:rPr>
          <w:spacing w:val="0"/>
        </w:rPr>
      </w:pPr>
      <w:r>
        <w:rPr>
          <w:spacing w:val="0"/>
        </w:rPr>
        <w:t>Figure 9 details a single unit of a LSTM architecture</w:t>
      </w:r>
      <w:r>
        <w:rPr>
          <w:spacing w:val="0"/>
        </w:rPr>
        <w:t>.</w:t>
      </w:r>
      <w:r>
        <w:rPr>
          <w:spacing w:val="0"/>
        </w:rPr>
        <w:t xml:space="preserve"> In the context of modelling LSTM for time-series data each timestamp is a single LSTM unit which takes the input at time </w:t>
      </w:r>
      <w:r>
        <w:rPr>
          <w:i/>
          <w:spacing w:val="0"/>
        </w:rPr>
        <w:t xml:space="preserve">t </w:t>
      </w:r>
      <w:r>
        <w:rPr>
          <w:spacing w:val="0"/>
        </w:rPr>
        <w:t xml:space="preserve">and process the data and passes on the output to the next LSTM unit. </w:t>
      </w:r>
      <w:r w:rsidR="00F4422C">
        <w:rPr>
          <w:spacing w:val="0"/>
        </w:rPr>
        <w:t xml:space="preserve">The forget gate controls what information doesn’t </w:t>
      </w:r>
      <w:r w:rsidR="00692F48">
        <w:rPr>
          <w:spacing w:val="0"/>
        </w:rPr>
        <w:t>get passed to the next unit and the input gate stores the information deemed to be important.</w:t>
      </w:r>
      <w:bookmarkStart w:id="0" w:name="_GoBack"/>
      <w:bookmarkEnd w:id="0"/>
    </w:p>
    <w:p w:rsidR="009B398D" w:rsidRDefault="009B398D" w:rsidP="00602F43">
      <w:pPr>
        <w:pStyle w:val="BodyTextIndent"/>
        <w:tabs>
          <w:tab w:val="left" w:pos="24"/>
        </w:tabs>
        <w:adjustRightInd w:val="0"/>
        <w:snapToGrid w:val="0"/>
        <w:ind w:firstLine="0"/>
        <w:rPr>
          <w:spacing w:val="0"/>
        </w:rPr>
      </w:pPr>
    </w:p>
    <w:p w:rsidR="00602F43" w:rsidRPr="00602F43" w:rsidRDefault="00602F43" w:rsidP="00602F43">
      <w:pPr>
        <w:pStyle w:val="BodyTextIndent"/>
        <w:tabs>
          <w:tab w:val="left" w:pos="24"/>
        </w:tabs>
        <w:adjustRightInd w:val="0"/>
        <w:snapToGrid w:val="0"/>
        <w:ind w:firstLine="0"/>
        <w:rPr>
          <w:b/>
          <w:spacing w:val="0"/>
        </w:rPr>
      </w:pPr>
    </w:p>
    <w:p w:rsidR="00A60749" w:rsidRDefault="00A60749" w:rsidP="00731898">
      <w:pPr>
        <w:pStyle w:val="BodyTextIndent"/>
        <w:tabs>
          <w:tab w:val="left" w:pos="24"/>
        </w:tabs>
        <w:adjustRightInd w:val="0"/>
        <w:snapToGrid w:val="0"/>
        <w:spacing w:before="120"/>
        <w:ind w:firstLine="244"/>
        <w:rPr>
          <w:spacing w:val="0"/>
        </w:rPr>
      </w:pPr>
    </w:p>
    <w:p w:rsidR="00A60749" w:rsidRDefault="00586282" w:rsidP="00F4422C">
      <w:pPr>
        <w:pStyle w:val="BodyTextIndent"/>
        <w:tabs>
          <w:tab w:val="left" w:pos="24"/>
        </w:tabs>
        <w:adjustRightInd w:val="0"/>
        <w:snapToGrid w:val="0"/>
        <w:spacing w:before="120"/>
        <w:ind w:firstLine="244"/>
        <w:jc w:val="center"/>
        <w:rPr>
          <w:spacing w:val="0"/>
        </w:rPr>
      </w:pPr>
      <w:r>
        <w:rPr>
          <w:noProof/>
          <w:lang w:val="en-GB" w:eastAsia="en-GB"/>
        </w:rPr>
        <w:lastRenderedPageBreak/>
        <w:drawing>
          <wp:inline distT="0" distB="0" distL="0" distR="0">
            <wp:extent cx="3666226" cy="5065543"/>
            <wp:effectExtent l="0" t="0" r="0" b="1905"/>
            <wp:docPr id="9" name="Picture 9" descr="https://miro.medium.com/v2/resize:fit:700/1*Zrht4QBK5_hAxif17ED4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Zrht4QBK5_hAxif17ED4e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3803" cy="5089828"/>
                    </a:xfrm>
                    <a:prstGeom prst="rect">
                      <a:avLst/>
                    </a:prstGeom>
                    <a:noFill/>
                    <a:ln>
                      <a:noFill/>
                    </a:ln>
                  </pic:spPr>
                </pic:pic>
              </a:graphicData>
            </a:graphic>
          </wp:inline>
        </w:drawing>
      </w:r>
    </w:p>
    <w:p w:rsidR="00586282" w:rsidRDefault="00586282" w:rsidP="00586282">
      <w:pPr>
        <w:tabs>
          <w:tab w:val="left" w:pos="24"/>
        </w:tabs>
        <w:adjustRightInd w:val="0"/>
        <w:snapToGrid w:val="0"/>
        <w:spacing w:before="120" w:after="240"/>
        <w:jc w:val="center"/>
        <w:rPr>
          <w:rFonts w:ascii="Helvetica" w:eastAsia="Malgun Gothic" w:hAnsi="Helvetica" w:cs="Helvetica"/>
          <w:b/>
          <w:sz w:val="22"/>
          <w:szCs w:val="22"/>
          <w:lang w:eastAsia="ko-KR"/>
        </w:rPr>
      </w:pPr>
      <w:r w:rsidRPr="00FF10CE">
        <w:rPr>
          <w:rFonts w:ascii="Helvetica" w:eastAsia="Malgun Gothic" w:hAnsi="Helvetica" w:cs="Helvetica"/>
          <w:b/>
          <w:sz w:val="22"/>
          <w:szCs w:val="22"/>
          <w:lang w:eastAsia="ko-KR"/>
        </w:rPr>
        <w:t xml:space="preserve">Figure </w:t>
      </w:r>
      <w:r w:rsidR="009B398D">
        <w:rPr>
          <w:rFonts w:ascii="Helvetica" w:eastAsia="Malgun Gothic" w:hAnsi="Helvetica" w:cs="Helvetica"/>
          <w:b/>
          <w:sz w:val="22"/>
          <w:szCs w:val="22"/>
          <w:lang w:eastAsia="ko-KR"/>
        </w:rPr>
        <w:t>9</w:t>
      </w:r>
      <w:r w:rsidRPr="00FF10CE">
        <w:rPr>
          <w:rFonts w:ascii="Helvetica" w:eastAsia="Malgun Gothic" w:hAnsi="Helvetica" w:cs="Helvetica"/>
          <w:b/>
          <w:sz w:val="22"/>
          <w:szCs w:val="22"/>
          <w:lang w:eastAsia="ko-KR"/>
        </w:rPr>
        <w:t xml:space="preserve">. </w:t>
      </w:r>
      <w:r>
        <w:rPr>
          <w:rFonts w:ascii="Helvetica" w:eastAsia="Malgun Gothic" w:hAnsi="Helvetica" w:cs="Helvetica"/>
          <w:b/>
          <w:sz w:val="22"/>
          <w:szCs w:val="22"/>
          <w:lang w:eastAsia="ko-KR"/>
        </w:rPr>
        <w:t>A single LSTM recurrent unit</w:t>
      </w:r>
      <w:sdt>
        <w:sdtPr>
          <w:rPr>
            <w:rFonts w:ascii="Helvetica" w:eastAsia="Malgun Gothic" w:hAnsi="Helvetica" w:cs="Helvetica"/>
            <w:b/>
            <w:sz w:val="22"/>
            <w:szCs w:val="22"/>
            <w:lang w:eastAsia="ko-KR"/>
          </w:rPr>
          <w:id w:val="-578522279"/>
          <w:citation/>
        </w:sdtPr>
        <w:sdtContent>
          <w:r w:rsidR="009B398D">
            <w:rPr>
              <w:rFonts w:ascii="Helvetica" w:eastAsia="Malgun Gothic" w:hAnsi="Helvetica" w:cs="Helvetica"/>
              <w:b/>
              <w:sz w:val="22"/>
              <w:szCs w:val="22"/>
              <w:lang w:eastAsia="ko-KR"/>
            </w:rPr>
            <w:fldChar w:fldCharType="begin"/>
          </w:r>
          <w:r w:rsidR="009B398D">
            <w:rPr>
              <w:rFonts w:ascii="Helvetica" w:eastAsia="Malgun Gothic" w:hAnsi="Helvetica" w:cs="Helvetica"/>
              <w:b/>
              <w:sz w:val="22"/>
              <w:szCs w:val="22"/>
              <w:lang w:eastAsia="ko-KR"/>
            </w:rPr>
            <w:instrText xml:space="preserve"> CITATION Sau22 \l 1033 </w:instrText>
          </w:r>
          <w:r w:rsidR="009B398D">
            <w:rPr>
              <w:rFonts w:ascii="Helvetica" w:eastAsia="Malgun Gothic" w:hAnsi="Helvetica" w:cs="Helvetica"/>
              <w:b/>
              <w:sz w:val="22"/>
              <w:szCs w:val="22"/>
              <w:lang w:eastAsia="ko-KR"/>
            </w:rPr>
            <w:fldChar w:fldCharType="separate"/>
          </w:r>
          <w:r w:rsidR="009B398D">
            <w:rPr>
              <w:rFonts w:ascii="Helvetica" w:eastAsia="Malgun Gothic" w:hAnsi="Helvetica" w:cs="Helvetica"/>
              <w:b/>
              <w:noProof/>
              <w:sz w:val="22"/>
              <w:szCs w:val="22"/>
              <w:lang w:eastAsia="ko-KR"/>
            </w:rPr>
            <w:t xml:space="preserve"> </w:t>
          </w:r>
          <w:r w:rsidR="009B398D" w:rsidRPr="009B398D">
            <w:rPr>
              <w:rFonts w:ascii="Helvetica" w:eastAsia="Malgun Gothic" w:hAnsi="Helvetica" w:cs="Helvetica"/>
              <w:noProof/>
              <w:sz w:val="22"/>
              <w:szCs w:val="22"/>
              <w:lang w:eastAsia="ko-KR"/>
            </w:rPr>
            <w:t>(Dobilas, 2022)</w:t>
          </w:r>
          <w:r w:rsidR="009B398D">
            <w:rPr>
              <w:rFonts w:ascii="Helvetica" w:eastAsia="Malgun Gothic" w:hAnsi="Helvetica" w:cs="Helvetica"/>
              <w:b/>
              <w:sz w:val="22"/>
              <w:szCs w:val="22"/>
              <w:lang w:eastAsia="ko-KR"/>
            </w:rPr>
            <w:fldChar w:fldCharType="end"/>
          </w:r>
        </w:sdtContent>
      </w:sdt>
    </w:p>
    <w:p w:rsidR="00586282" w:rsidRDefault="00586282" w:rsidP="00731898">
      <w:pPr>
        <w:pStyle w:val="BodyTextIndent"/>
        <w:tabs>
          <w:tab w:val="left" w:pos="24"/>
        </w:tabs>
        <w:adjustRightInd w:val="0"/>
        <w:snapToGrid w:val="0"/>
        <w:spacing w:before="120"/>
        <w:ind w:firstLine="244"/>
        <w:rPr>
          <w:spacing w:val="0"/>
        </w:rPr>
      </w:pPr>
    </w:p>
    <w:p w:rsidR="0000663A" w:rsidRPr="0033569F" w:rsidRDefault="0000663A" w:rsidP="0000663A">
      <w:pPr>
        <w:pStyle w:val="BodyTextIndent"/>
        <w:tabs>
          <w:tab w:val="left" w:pos="24"/>
        </w:tabs>
        <w:adjustRightInd w:val="0"/>
        <w:snapToGrid w:val="0"/>
        <w:ind w:firstLine="0"/>
        <w:rPr>
          <w:color w:val="FF0000"/>
          <w:spacing w:val="0"/>
          <w:lang w:eastAsia="ko-KR"/>
        </w:rPr>
      </w:pPr>
      <w:r w:rsidRPr="0033569F">
        <w:rPr>
          <w:color w:val="FF0000"/>
          <w:spacing w:val="0"/>
          <w:lang w:eastAsia="ko-KR"/>
        </w:rPr>
        <w:t>MORE MODEL DETAILS TO FOLLOW</w:t>
      </w:r>
    </w:p>
    <w:p w:rsidR="00A60749" w:rsidRDefault="00A60749" w:rsidP="00731898">
      <w:pPr>
        <w:pStyle w:val="BodyTextIndent"/>
        <w:tabs>
          <w:tab w:val="left" w:pos="24"/>
        </w:tabs>
        <w:adjustRightInd w:val="0"/>
        <w:snapToGrid w:val="0"/>
        <w:spacing w:before="120"/>
        <w:ind w:firstLine="244"/>
        <w:rPr>
          <w:spacing w:val="0"/>
        </w:rPr>
      </w:pPr>
    </w:p>
    <w:p w:rsidR="00FE36CD" w:rsidRDefault="00FE36CD" w:rsidP="00731898">
      <w:pPr>
        <w:pStyle w:val="BodyTextIndent"/>
        <w:tabs>
          <w:tab w:val="left" w:pos="24"/>
        </w:tabs>
        <w:adjustRightInd w:val="0"/>
        <w:snapToGrid w:val="0"/>
        <w:spacing w:before="120"/>
        <w:ind w:firstLine="244"/>
        <w:rPr>
          <w:spacing w:val="0"/>
        </w:rPr>
      </w:pPr>
    </w:p>
    <w:p w:rsidR="00FE36CD" w:rsidRDefault="00FE36CD" w:rsidP="00731898">
      <w:pPr>
        <w:pStyle w:val="BodyTextIndent"/>
        <w:tabs>
          <w:tab w:val="left" w:pos="24"/>
        </w:tabs>
        <w:adjustRightInd w:val="0"/>
        <w:snapToGrid w:val="0"/>
        <w:spacing w:before="120"/>
        <w:ind w:firstLine="244"/>
        <w:rPr>
          <w:spacing w:val="0"/>
        </w:rPr>
      </w:pPr>
    </w:p>
    <w:p w:rsidR="00A60749" w:rsidRDefault="00A60749" w:rsidP="00731898">
      <w:pPr>
        <w:pStyle w:val="BodyTextIndent"/>
        <w:tabs>
          <w:tab w:val="left" w:pos="24"/>
        </w:tabs>
        <w:adjustRightInd w:val="0"/>
        <w:snapToGrid w:val="0"/>
        <w:spacing w:before="120"/>
        <w:ind w:firstLine="244"/>
        <w:rPr>
          <w:spacing w:val="0"/>
        </w:rPr>
      </w:pPr>
    </w:p>
    <w:p w:rsidR="00AB2358" w:rsidRDefault="00AB2358" w:rsidP="00AB2358">
      <w:pPr>
        <w:pStyle w:val="BodyTextIndent"/>
        <w:tabs>
          <w:tab w:val="left" w:pos="24"/>
        </w:tabs>
        <w:adjustRightInd w:val="0"/>
        <w:snapToGrid w:val="0"/>
        <w:spacing w:before="120"/>
        <w:ind w:firstLine="244"/>
        <w:rPr>
          <w:b/>
          <w:sz w:val="26"/>
        </w:rPr>
      </w:pPr>
    </w:p>
    <w:p w:rsidR="00AB2358" w:rsidRDefault="00AB2358" w:rsidP="00AB2358">
      <w:pPr>
        <w:tabs>
          <w:tab w:val="left" w:pos="24"/>
        </w:tabs>
        <w:adjustRightInd w:val="0"/>
        <w:snapToGrid w:val="0"/>
        <w:jc w:val="both"/>
        <w:rPr>
          <w:b/>
          <w:sz w:val="26"/>
        </w:rPr>
      </w:pPr>
      <w:r>
        <w:rPr>
          <w:b/>
          <w:sz w:val="26"/>
        </w:rPr>
        <w:t>4. Results</w:t>
      </w:r>
    </w:p>
    <w:p w:rsidR="00AB2358" w:rsidRDefault="00AB2358" w:rsidP="00AB2358">
      <w:pPr>
        <w:pStyle w:val="BodyTextIndent"/>
        <w:tabs>
          <w:tab w:val="left" w:pos="24"/>
        </w:tabs>
        <w:adjustRightInd w:val="0"/>
        <w:snapToGrid w:val="0"/>
        <w:spacing w:before="120"/>
        <w:ind w:firstLine="244"/>
        <w:rPr>
          <w:b/>
          <w:sz w:val="26"/>
        </w:rPr>
      </w:pPr>
    </w:p>
    <w:p w:rsidR="0000663A" w:rsidRPr="0033569F" w:rsidRDefault="0000663A" w:rsidP="0000663A">
      <w:pPr>
        <w:pStyle w:val="BodyTextIndent"/>
        <w:tabs>
          <w:tab w:val="left" w:pos="24"/>
        </w:tabs>
        <w:adjustRightInd w:val="0"/>
        <w:snapToGrid w:val="0"/>
        <w:ind w:firstLine="0"/>
        <w:rPr>
          <w:color w:val="FF0000"/>
          <w:spacing w:val="0"/>
          <w:lang w:eastAsia="ko-KR"/>
        </w:rPr>
      </w:pPr>
      <w:r w:rsidRPr="0033569F">
        <w:rPr>
          <w:color w:val="FF0000"/>
          <w:spacing w:val="0"/>
          <w:lang w:eastAsia="ko-KR"/>
        </w:rPr>
        <w:t>RESULTS TO FOLLOW</w:t>
      </w:r>
    </w:p>
    <w:p w:rsidR="00FE36CD" w:rsidRDefault="00FE36CD" w:rsidP="00AB2358">
      <w:pPr>
        <w:pStyle w:val="BodyTextIndent"/>
        <w:tabs>
          <w:tab w:val="left" w:pos="24"/>
        </w:tabs>
        <w:adjustRightInd w:val="0"/>
        <w:snapToGrid w:val="0"/>
        <w:spacing w:before="120"/>
        <w:ind w:firstLine="244"/>
        <w:rPr>
          <w:b/>
          <w:sz w:val="26"/>
        </w:rPr>
      </w:pPr>
    </w:p>
    <w:p w:rsidR="00FE36CD" w:rsidRDefault="00FE36CD" w:rsidP="00AB2358">
      <w:pPr>
        <w:pStyle w:val="BodyTextIndent"/>
        <w:tabs>
          <w:tab w:val="left" w:pos="24"/>
        </w:tabs>
        <w:adjustRightInd w:val="0"/>
        <w:snapToGrid w:val="0"/>
        <w:spacing w:before="120"/>
        <w:ind w:firstLine="244"/>
        <w:rPr>
          <w:b/>
          <w:sz w:val="26"/>
        </w:rPr>
      </w:pPr>
    </w:p>
    <w:p w:rsidR="00FE36CD" w:rsidRDefault="00FE36CD" w:rsidP="00AB2358">
      <w:pPr>
        <w:pStyle w:val="BodyTextIndent"/>
        <w:tabs>
          <w:tab w:val="left" w:pos="24"/>
        </w:tabs>
        <w:adjustRightInd w:val="0"/>
        <w:snapToGrid w:val="0"/>
        <w:spacing w:before="120"/>
        <w:ind w:firstLine="244"/>
        <w:rPr>
          <w:b/>
          <w:sz w:val="26"/>
        </w:rPr>
      </w:pPr>
    </w:p>
    <w:p w:rsidR="00AB2358" w:rsidRDefault="00AB2358" w:rsidP="00AB2358">
      <w:pPr>
        <w:tabs>
          <w:tab w:val="left" w:pos="24"/>
        </w:tabs>
        <w:adjustRightInd w:val="0"/>
        <w:snapToGrid w:val="0"/>
        <w:jc w:val="both"/>
        <w:rPr>
          <w:b/>
          <w:sz w:val="26"/>
        </w:rPr>
      </w:pPr>
      <w:r>
        <w:rPr>
          <w:b/>
          <w:sz w:val="26"/>
        </w:rPr>
        <w:lastRenderedPageBreak/>
        <w:t>5. Discussion</w:t>
      </w:r>
    </w:p>
    <w:p w:rsidR="00731898" w:rsidRDefault="00731898" w:rsidP="00AB2358">
      <w:pPr>
        <w:pStyle w:val="BodyTextIndent"/>
        <w:tabs>
          <w:tab w:val="left" w:pos="24"/>
        </w:tabs>
        <w:adjustRightInd w:val="0"/>
        <w:snapToGrid w:val="0"/>
        <w:spacing w:before="120"/>
        <w:ind w:firstLine="244"/>
        <w:rPr>
          <w:spacing w:val="0"/>
        </w:rPr>
      </w:pPr>
    </w:p>
    <w:p w:rsidR="0000663A" w:rsidRPr="0033569F" w:rsidRDefault="0000663A" w:rsidP="0000663A">
      <w:pPr>
        <w:pStyle w:val="BodyTextIndent"/>
        <w:tabs>
          <w:tab w:val="left" w:pos="24"/>
        </w:tabs>
        <w:adjustRightInd w:val="0"/>
        <w:snapToGrid w:val="0"/>
        <w:ind w:firstLine="0"/>
        <w:rPr>
          <w:color w:val="FF0000"/>
          <w:spacing w:val="0"/>
          <w:lang w:eastAsia="ko-KR"/>
        </w:rPr>
      </w:pPr>
      <w:r w:rsidRPr="0033569F">
        <w:rPr>
          <w:color w:val="FF0000"/>
          <w:spacing w:val="0"/>
          <w:lang w:eastAsia="ko-KR"/>
        </w:rPr>
        <w:t>DISCUSSION TO FOLLOW</w:t>
      </w:r>
    </w:p>
    <w:p w:rsidR="00FE36CD" w:rsidRDefault="00FE36CD" w:rsidP="00AB2358">
      <w:pPr>
        <w:pStyle w:val="BodyTextIndent"/>
        <w:tabs>
          <w:tab w:val="left" w:pos="24"/>
        </w:tabs>
        <w:adjustRightInd w:val="0"/>
        <w:snapToGrid w:val="0"/>
        <w:spacing w:before="120"/>
        <w:ind w:firstLine="244"/>
        <w:rPr>
          <w:spacing w:val="0"/>
        </w:rPr>
      </w:pPr>
    </w:p>
    <w:p w:rsidR="00FE36CD" w:rsidRDefault="00FE36CD" w:rsidP="00AB2358">
      <w:pPr>
        <w:pStyle w:val="BodyTextIndent"/>
        <w:tabs>
          <w:tab w:val="left" w:pos="24"/>
        </w:tabs>
        <w:adjustRightInd w:val="0"/>
        <w:snapToGrid w:val="0"/>
        <w:spacing w:before="120"/>
        <w:ind w:firstLine="244"/>
        <w:rPr>
          <w:spacing w:val="0"/>
        </w:rPr>
      </w:pPr>
    </w:p>
    <w:p w:rsidR="00FE36CD" w:rsidRDefault="00FE36CD" w:rsidP="00AB2358">
      <w:pPr>
        <w:pStyle w:val="BodyTextIndent"/>
        <w:tabs>
          <w:tab w:val="left" w:pos="24"/>
        </w:tabs>
        <w:adjustRightInd w:val="0"/>
        <w:snapToGrid w:val="0"/>
        <w:spacing w:before="120"/>
        <w:ind w:firstLine="244"/>
        <w:rPr>
          <w:spacing w:val="0"/>
        </w:rPr>
      </w:pPr>
    </w:p>
    <w:p w:rsidR="00AB2358" w:rsidRDefault="00AB2358" w:rsidP="00AB2358">
      <w:pPr>
        <w:tabs>
          <w:tab w:val="left" w:pos="24"/>
        </w:tabs>
        <w:adjustRightInd w:val="0"/>
        <w:snapToGrid w:val="0"/>
        <w:jc w:val="both"/>
        <w:rPr>
          <w:b/>
          <w:sz w:val="26"/>
        </w:rPr>
      </w:pPr>
      <w:r>
        <w:rPr>
          <w:b/>
          <w:sz w:val="26"/>
        </w:rPr>
        <w:t>6. Conclusion</w:t>
      </w:r>
    </w:p>
    <w:p w:rsidR="009720C4" w:rsidRDefault="009720C4" w:rsidP="009720C4">
      <w:pPr>
        <w:pStyle w:val="Heading1"/>
        <w:adjustRightInd w:val="0"/>
        <w:snapToGrid w:val="0"/>
        <w:jc w:val="left"/>
        <w:rPr>
          <w:bCs/>
          <w:sz w:val="26"/>
          <w:szCs w:val="26"/>
        </w:rPr>
      </w:pPr>
    </w:p>
    <w:p w:rsidR="00FE36CD" w:rsidRDefault="00FE36CD" w:rsidP="00FE36CD"/>
    <w:p w:rsidR="00FE36CD" w:rsidRDefault="00FE36CD" w:rsidP="00FE36CD"/>
    <w:p w:rsidR="0000663A" w:rsidRPr="0033569F" w:rsidRDefault="0000663A" w:rsidP="0000663A">
      <w:pPr>
        <w:pStyle w:val="BodyTextIndent"/>
        <w:tabs>
          <w:tab w:val="left" w:pos="24"/>
        </w:tabs>
        <w:adjustRightInd w:val="0"/>
        <w:snapToGrid w:val="0"/>
        <w:ind w:firstLine="0"/>
        <w:rPr>
          <w:color w:val="FF0000"/>
          <w:spacing w:val="0"/>
          <w:lang w:eastAsia="ko-KR"/>
        </w:rPr>
      </w:pPr>
      <w:r w:rsidRPr="0033569F">
        <w:rPr>
          <w:color w:val="FF0000"/>
          <w:spacing w:val="0"/>
          <w:lang w:eastAsia="ko-KR"/>
        </w:rPr>
        <w:t>CONCLUSION TO FOLLOW</w:t>
      </w:r>
    </w:p>
    <w:p w:rsidR="00FE36CD" w:rsidRDefault="00FE36CD" w:rsidP="00FE36CD"/>
    <w:p w:rsidR="00FE36CD" w:rsidRDefault="00FE36CD" w:rsidP="00FE36CD"/>
    <w:p w:rsidR="00FE36CD" w:rsidRDefault="00FE36CD" w:rsidP="00FE36CD"/>
    <w:p w:rsidR="00FE36CD" w:rsidRDefault="00FE36CD" w:rsidP="00FE36CD"/>
    <w:p w:rsidR="00FE36CD" w:rsidRDefault="000B1DFB" w:rsidP="00FE36CD">
      <w:r w:rsidRPr="000B1DFB">
        <w:rPr>
          <w:noProof/>
          <w:lang w:val="en-GB" w:eastAsia="en-GB"/>
        </w:rPr>
        <w:drawing>
          <wp:inline distT="0" distB="0" distL="0" distR="0" wp14:anchorId="39D196F0" wp14:editId="08DB79D2">
            <wp:extent cx="5058410" cy="2566035"/>
            <wp:effectExtent l="0" t="0" r="889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58410" cy="2566035"/>
                    </a:xfrm>
                    <a:prstGeom prst="rect">
                      <a:avLst/>
                    </a:prstGeom>
                  </pic:spPr>
                </pic:pic>
              </a:graphicData>
            </a:graphic>
          </wp:inline>
        </w:drawing>
      </w:r>
    </w:p>
    <w:p w:rsidR="00FE36CD" w:rsidRDefault="00FE36CD" w:rsidP="00FE36CD"/>
    <w:p w:rsidR="00FE36CD" w:rsidRDefault="00FE36CD" w:rsidP="00FE36CD"/>
    <w:p w:rsidR="009720C4" w:rsidRPr="009720C4" w:rsidRDefault="009720C4" w:rsidP="009720C4">
      <w:pPr>
        <w:pStyle w:val="Heading1"/>
        <w:adjustRightInd w:val="0"/>
        <w:snapToGrid w:val="0"/>
        <w:jc w:val="left"/>
        <w:rPr>
          <w:sz w:val="26"/>
          <w:szCs w:val="26"/>
          <w:lang w:eastAsia="ko-KR"/>
        </w:rPr>
      </w:pPr>
      <w:r>
        <w:rPr>
          <w:bCs/>
          <w:sz w:val="26"/>
          <w:szCs w:val="26"/>
        </w:rPr>
        <w:t>Appendix</w:t>
      </w:r>
    </w:p>
    <w:p w:rsidR="00AB2358" w:rsidRDefault="00AB2358" w:rsidP="00AB2358">
      <w:pPr>
        <w:pStyle w:val="BodyTextIndent"/>
        <w:tabs>
          <w:tab w:val="left" w:pos="24"/>
        </w:tabs>
        <w:adjustRightInd w:val="0"/>
        <w:snapToGrid w:val="0"/>
        <w:spacing w:before="120"/>
        <w:ind w:firstLine="244"/>
        <w:rPr>
          <w:spacing w:val="0"/>
        </w:rPr>
      </w:pPr>
    </w:p>
    <w:p w:rsidR="009720C4" w:rsidRDefault="009720C4" w:rsidP="009720C4">
      <w:pPr>
        <w:tabs>
          <w:tab w:val="left" w:pos="24"/>
        </w:tabs>
        <w:adjustRightInd w:val="0"/>
        <w:snapToGrid w:val="0"/>
        <w:jc w:val="both"/>
      </w:pPr>
      <w:r w:rsidRPr="009720C4">
        <w:rPr>
          <w:b/>
          <w:sz w:val="22"/>
          <w:szCs w:val="22"/>
        </w:rPr>
        <w:t>A. GitHub Repository</w:t>
      </w:r>
    </w:p>
    <w:p w:rsidR="009720C4" w:rsidRDefault="009720C4" w:rsidP="009720C4">
      <w:pPr>
        <w:pStyle w:val="BodyTextIndent"/>
        <w:tabs>
          <w:tab w:val="left" w:pos="24"/>
        </w:tabs>
        <w:adjustRightInd w:val="0"/>
        <w:snapToGrid w:val="0"/>
        <w:spacing w:before="120"/>
        <w:ind w:firstLine="244"/>
        <w:rPr>
          <w:spacing w:val="0"/>
        </w:rPr>
      </w:pPr>
      <w:r w:rsidRPr="009720C4">
        <w:rPr>
          <w:spacing w:val="0"/>
        </w:rPr>
        <w:t>An online repository for the current project is publicly available at the below GitHub address.</w:t>
      </w:r>
      <w:r>
        <w:rPr>
          <w:spacing w:val="0"/>
        </w:rPr>
        <w:t xml:space="preserve"> </w:t>
      </w:r>
      <w:r w:rsidRPr="009720C4">
        <w:rPr>
          <w:spacing w:val="0"/>
        </w:rPr>
        <w:t>The plan is to provide all the files and working codes to the online repository.</w:t>
      </w:r>
      <w:r w:rsidR="0033569F">
        <w:rPr>
          <w:spacing w:val="0"/>
        </w:rPr>
        <w:t xml:space="preserve"> Currently four python notebooks are posted to the repository together with input data for replication of reported results.</w:t>
      </w:r>
    </w:p>
    <w:p w:rsidR="009720C4" w:rsidRPr="00660E5A" w:rsidRDefault="00CE20B9" w:rsidP="009720C4">
      <w:pPr>
        <w:pStyle w:val="BodyTextIndent"/>
        <w:tabs>
          <w:tab w:val="left" w:pos="24"/>
        </w:tabs>
        <w:adjustRightInd w:val="0"/>
        <w:snapToGrid w:val="0"/>
        <w:spacing w:before="120"/>
        <w:ind w:firstLine="244"/>
        <w:rPr>
          <w:color w:val="0070C0"/>
          <w:spacing w:val="0"/>
        </w:rPr>
      </w:pPr>
      <w:hyperlink r:id="rId19" w:history="1">
        <w:r w:rsidR="009720C4" w:rsidRPr="00660E5A">
          <w:rPr>
            <w:color w:val="0070C0"/>
            <w:spacing w:val="0"/>
          </w:rPr>
          <w:t>https://github.com/rks972633/MScFE_Capstone</w:t>
        </w:r>
      </w:hyperlink>
    </w:p>
    <w:p w:rsidR="0033569F" w:rsidRDefault="0033569F" w:rsidP="009720C4">
      <w:pPr>
        <w:pStyle w:val="BodyTextIndent"/>
        <w:tabs>
          <w:tab w:val="left" w:pos="24"/>
        </w:tabs>
        <w:adjustRightInd w:val="0"/>
        <w:snapToGrid w:val="0"/>
        <w:spacing w:before="120"/>
        <w:ind w:firstLine="244"/>
        <w:rPr>
          <w:spacing w:val="0"/>
        </w:rPr>
      </w:pPr>
    </w:p>
    <w:p w:rsidR="009720C4" w:rsidRDefault="0033569F" w:rsidP="009720C4">
      <w:pPr>
        <w:pStyle w:val="BodyTextIndent"/>
        <w:tabs>
          <w:tab w:val="left" w:pos="24"/>
        </w:tabs>
        <w:adjustRightInd w:val="0"/>
        <w:snapToGrid w:val="0"/>
        <w:spacing w:before="120"/>
        <w:ind w:firstLine="244"/>
        <w:rPr>
          <w:spacing w:val="0"/>
        </w:rPr>
      </w:pPr>
      <w:r w:rsidRPr="0033569F">
        <w:rPr>
          <w:noProof/>
          <w:spacing w:val="0"/>
          <w:lang w:val="en-GB" w:eastAsia="en-GB"/>
        </w:rPr>
        <w:lastRenderedPageBreak/>
        <w:drawing>
          <wp:inline distT="0" distB="0" distL="0" distR="0" wp14:anchorId="3A5CCD61" wp14:editId="4AD6FDD1">
            <wp:extent cx="5058410" cy="1403350"/>
            <wp:effectExtent l="0" t="0" r="889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8410" cy="1403350"/>
                    </a:xfrm>
                    <a:prstGeom prst="rect">
                      <a:avLst/>
                    </a:prstGeom>
                  </pic:spPr>
                </pic:pic>
              </a:graphicData>
            </a:graphic>
          </wp:inline>
        </w:drawing>
      </w:r>
    </w:p>
    <w:p w:rsidR="0033569F" w:rsidRPr="009720C4" w:rsidRDefault="0033569F" w:rsidP="009720C4">
      <w:pPr>
        <w:pStyle w:val="BodyTextIndent"/>
        <w:tabs>
          <w:tab w:val="left" w:pos="24"/>
        </w:tabs>
        <w:adjustRightInd w:val="0"/>
        <w:snapToGrid w:val="0"/>
        <w:spacing w:before="120"/>
        <w:ind w:firstLine="244"/>
        <w:rPr>
          <w:spacing w:val="0"/>
        </w:rPr>
      </w:pPr>
    </w:p>
    <w:p w:rsidR="009720C4" w:rsidRDefault="009720C4" w:rsidP="009720C4">
      <w:pPr>
        <w:tabs>
          <w:tab w:val="left" w:pos="24"/>
        </w:tabs>
        <w:adjustRightInd w:val="0"/>
        <w:snapToGrid w:val="0"/>
        <w:jc w:val="both"/>
        <w:rPr>
          <w:b/>
          <w:sz w:val="22"/>
          <w:szCs w:val="22"/>
        </w:rPr>
      </w:pPr>
      <w:r>
        <w:rPr>
          <w:b/>
          <w:sz w:val="22"/>
          <w:szCs w:val="22"/>
        </w:rPr>
        <w:t xml:space="preserve">B. </w:t>
      </w:r>
      <w:r w:rsidRPr="009720C4">
        <w:rPr>
          <w:b/>
          <w:sz w:val="22"/>
          <w:szCs w:val="22"/>
        </w:rPr>
        <w:t>Pseudocode</w:t>
      </w:r>
    </w:p>
    <w:p w:rsidR="009720C4" w:rsidRPr="009720C4" w:rsidRDefault="009720C4" w:rsidP="009720C4">
      <w:pPr>
        <w:pStyle w:val="ListParagraph"/>
        <w:rPr>
          <w:b/>
          <w:sz w:val="22"/>
          <w:szCs w:val="22"/>
        </w:rPr>
      </w:pPr>
    </w:p>
    <w:p w:rsidR="009720C4" w:rsidRPr="009720C4" w:rsidRDefault="009720C4" w:rsidP="009720C4">
      <w:pPr>
        <w:ind w:firstLine="244"/>
        <w:rPr>
          <w:sz w:val="22"/>
        </w:rPr>
      </w:pPr>
      <w:r w:rsidRPr="009720C4">
        <w:rPr>
          <w:sz w:val="22"/>
        </w:rPr>
        <w:t xml:space="preserve">Below algorithm for calculation of Hurst Exponent is motivated from </w:t>
      </w:r>
      <w:sdt>
        <w:sdtPr>
          <w:rPr>
            <w:sz w:val="22"/>
          </w:rPr>
          <w:id w:val="-159776224"/>
          <w:citation/>
        </w:sdtPr>
        <w:sdtEndPr/>
        <w:sdtContent>
          <w:r w:rsidRPr="009720C4">
            <w:rPr>
              <w:sz w:val="22"/>
            </w:rPr>
            <w:fldChar w:fldCharType="begin"/>
          </w:r>
          <w:r w:rsidRPr="009720C4">
            <w:rPr>
              <w:sz w:val="22"/>
            </w:rPr>
            <w:instrText xml:space="preserve"> CITATION She22 \l 1033 </w:instrText>
          </w:r>
          <w:r w:rsidRPr="009720C4">
            <w:rPr>
              <w:sz w:val="22"/>
            </w:rPr>
            <w:fldChar w:fldCharType="separate"/>
          </w:r>
          <w:r w:rsidRPr="009720C4">
            <w:rPr>
              <w:sz w:val="22"/>
            </w:rPr>
            <w:t>(Sheraz, 2022)</w:t>
          </w:r>
          <w:r w:rsidRPr="009720C4">
            <w:rPr>
              <w:sz w:val="22"/>
            </w:rPr>
            <w:fldChar w:fldCharType="end"/>
          </w:r>
        </w:sdtContent>
      </w:sdt>
      <w:r w:rsidRPr="009720C4">
        <w:rPr>
          <w:sz w:val="22"/>
        </w:rPr>
        <w:t>.</w:t>
      </w:r>
    </w:p>
    <w:p w:rsidR="009720C4" w:rsidRDefault="009720C4" w:rsidP="00AB2358">
      <w:pPr>
        <w:pStyle w:val="BodyTextIndent"/>
        <w:tabs>
          <w:tab w:val="left" w:pos="24"/>
        </w:tabs>
        <w:adjustRightInd w:val="0"/>
        <w:snapToGrid w:val="0"/>
        <w:spacing w:before="120"/>
        <w:ind w:firstLine="244"/>
        <w:rPr>
          <w:spacing w:val="0"/>
        </w:rPr>
      </w:pPr>
      <w:r w:rsidRPr="002457DC">
        <w:rPr>
          <w:noProof/>
          <w:lang w:val="en-GB" w:eastAsia="en-GB"/>
        </w:rPr>
        <w:drawing>
          <wp:inline distT="0" distB="0" distL="0" distR="0" wp14:anchorId="52D57A26" wp14:editId="62BBEA9B">
            <wp:extent cx="5058410" cy="300724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8410" cy="3007249"/>
                    </a:xfrm>
                    <a:prstGeom prst="rect">
                      <a:avLst/>
                    </a:prstGeom>
                  </pic:spPr>
                </pic:pic>
              </a:graphicData>
            </a:graphic>
          </wp:inline>
        </w:drawing>
      </w:r>
    </w:p>
    <w:p w:rsidR="009720C4" w:rsidRDefault="009720C4" w:rsidP="00AB2358">
      <w:pPr>
        <w:pStyle w:val="BodyTextIndent"/>
        <w:tabs>
          <w:tab w:val="left" w:pos="24"/>
        </w:tabs>
        <w:adjustRightInd w:val="0"/>
        <w:snapToGrid w:val="0"/>
        <w:spacing w:before="120"/>
        <w:ind w:firstLine="244"/>
        <w:rPr>
          <w:spacing w:val="0"/>
        </w:rPr>
      </w:pPr>
    </w:p>
    <w:p w:rsidR="00AB7A1F" w:rsidRPr="000D3070" w:rsidRDefault="00AB7A1F" w:rsidP="00AB7A1F">
      <w:pPr>
        <w:pStyle w:val="Heading1"/>
        <w:adjustRightInd w:val="0"/>
        <w:snapToGrid w:val="0"/>
        <w:jc w:val="left"/>
        <w:rPr>
          <w:sz w:val="26"/>
          <w:szCs w:val="26"/>
          <w:lang w:eastAsia="ko-KR"/>
        </w:rPr>
      </w:pPr>
      <w:r w:rsidRPr="000D3070">
        <w:rPr>
          <w:bCs/>
          <w:sz w:val="26"/>
          <w:szCs w:val="26"/>
        </w:rPr>
        <w:t>A</w:t>
      </w:r>
      <w:r>
        <w:rPr>
          <w:rFonts w:hint="eastAsia"/>
          <w:bCs/>
          <w:sz w:val="26"/>
          <w:szCs w:val="26"/>
          <w:lang w:eastAsia="ko-KR"/>
        </w:rPr>
        <w:t>cknowledgments</w:t>
      </w:r>
    </w:p>
    <w:p w:rsidR="00AB7A1F" w:rsidRDefault="00AB7A1F" w:rsidP="00AB7A1F">
      <w:pPr>
        <w:pStyle w:val="References"/>
        <w:adjustRightInd w:val="0"/>
        <w:snapToGrid w:val="0"/>
        <w:spacing w:before="120"/>
        <w:ind w:firstLine="244"/>
        <w:rPr>
          <w:sz w:val="22"/>
          <w:szCs w:val="22"/>
        </w:rPr>
      </w:pPr>
      <w:r>
        <w:rPr>
          <w:sz w:val="22"/>
          <w:szCs w:val="22"/>
        </w:rPr>
        <w:t xml:space="preserve">I would like to thank Dr. Tiberiu Stoica </w:t>
      </w:r>
      <w:r w:rsidR="005F27AB">
        <w:rPr>
          <w:sz w:val="22"/>
          <w:szCs w:val="22"/>
        </w:rPr>
        <w:t xml:space="preserve">at WorldQuant University </w:t>
      </w:r>
      <w:r>
        <w:rPr>
          <w:sz w:val="22"/>
          <w:szCs w:val="22"/>
        </w:rPr>
        <w:t>for the guidance provided throughout the conduct of this study</w:t>
      </w:r>
      <w:r w:rsidRPr="000D4778">
        <w:rPr>
          <w:sz w:val="22"/>
          <w:szCs w:val="22"/>
        </w:rPr>
        <w:t>.</w:t>
      </w:r>
    </w:p>
    <w:p w:rsidR="00AB7A1F" w:rsidRDefault="00AB7A1F" w:rsidP="00AB7A1F">
      <w:pPr>
        <w:pStyle w:val="References"/>
        <w:adjustRightInd w:val="0"/>
        <w:snapToGrid w:val="0"/>
        <w:rPr>
          <w:sz w:val="22"/>
          <w:szCs w:val="22"/>
        </w:rPr>
      </w:pPr>
    </w:p>
    <w:p w:rsidR="000879BF" w:rsidRDefault="00AB7A1F" w:rsidP="000879BF">
      <w:pPr>
        <w:tabs>
          <w:tab w:val="left" w:pos="24"/>
        </w:tabs>
        <w:adjustRightInd w:val="0"/>
        <w:snapToGrid w:val="0"/>
        <w:jc w:val="both"/>
        <w:rPr>
          <w:b/>
          <w:sz w:val="26"/>
          <w:lang w:eastAsia="ko-KR"/>
        </w:rPr>
      </w:pPr>
      <w:r>
        <w:rPr>
          <w:b/>
          <w:sz w:val="26"/>
        </w:rPr>
        <w:t>Reference</w:t>
      </w:r>
      <w:r w:rsidR="00F13F60">
        <w:rPr>
          <w:b/>
          <w:sz w:val="26"/>
        </w:rPr>
        <w:t>s</w:t>
      </w:r>
    </w:p>
    <w:p w:rsidR="00D31B04" w:rsidRPr="0012794E" w:rsidRDefault="00C641F7" w:rsidP="0012794E">
      <w:pPr>
        <w:numPr>
          <w:ilvl w:val="0"/>
          <w:numId w:val="9"/>
        </w:numPr>
        <w:adjustRightInd w:val="0"/>
        <w:snapToGrid w:val="0"/>
        <w:spacing w:before="120"/>
        <w:ind w:left="403" w:hanging="403"/>
        <w:jc w:val="both"/>
        <w:rPr>
          <w:sz w:val="18"/>
          <w:szCs w:val="18"/>
          <w:lang w:eastAsia="ko-KR"/>
        </w:rPr>
      </w:pPr>
      <w:r>
        <w:rPr>
          <w:sz w:val="18"/>
          <w:szCs w:val="18"/>
          <w:lang w:eastAsia="ko-KR"/>
        </w:rPr>
        <w:t>D. Avino and O. Nneji,</w:t>
      </w:r>
      <w:r w:rsidR="00D31B04" w:rsidRPr="0012794E">
        <w:rPr>
          <w:sz w:val="18"/>
          <w:szCs w:val="18"/>
          <w:lang w:eastAsia="ko-KR"/>
        </w:rPr>
        <w:t xml:space="preserve"> </w:t>
      </w:r>
      <w:r>
        <w:rPr>
          <w:sz w:val="18"/>
          <w:szCs w:val="18"/>
          <w:lang w:eastAsia="ko-KR"/>
        </w:rPr>
        <w:t>“</w:t>
      </w:r>
      <w:r w:rsidR="00D31B04" w:rsidRPr="0012794E">
        <w:rPr>
          <w:sz w:val="18"/>
          <w:szCs w:val="18"/>
          <w:lang w:eastAsia="ko-KR"/>
        </w:rPr>
        <w:t>Are CDS spreads predictable? An analysis of linear and non-linear forecasting models</w:t>
      </w:r>
      <w:r>
        <w:rPr>
          <w:sz w:val="18"/>
          <w:szCs w:val="18"/>
          <w:lang w:eastAsia="ko-KR"/>
        </w:rPr>
        <w:t>”</w:t>
      </w:r>
      <w:r w:rsidR="00B20294">
        <w:rPr>
          <w:sz w:val="18"/>
          <w:szCs w:val="18"/>
          <w:lang w:eastAsia="ko-KR"/>
        </w:rPr>
        <w:t>,</w:t>
      </w:r>
      <w:r w:rsidR="00D31B04" w:rsidRPr="0012794E">
        <w:rPr>
          <w:sz w:val="18"/>
          <w:szCs w:val="18"/>
          <w:lang w:eastAsia="ko-KR"/>
        </w:rPr>
        <w:t xml:space="preserve"> International Review of Financial Analysis</w:t>
      </w:r>
      <w:r w:rsidR="001E38E4">
        <w:rPr>
          <w:sz w:val="18"/>
          <w:szCs w:val="18"/>
          <w:lang w:eastAsia="ko-KR"/>
        </w:rPr>
        <w:t>, vol.</w:t>
      </w:r>
      <w:r w:rsidR="00D31B04" w:rsidRPr="0012794E">
        <w:rPr>
          <w:sz w:val="18"/>
          <w:szCs w:val="18"/>
          <w:lang w:eastAsia="ko-KR"/>
        </w:rPr>
        <w:t xml:space="preserve"> 34, </w:t>
      </w:r>
      <w:r w:rsidRPr="00414354">
        <w:rPr>
          <w:b/>
          <w:sz w:val="18"/>
          <w:szCs w:val="18"/>
          <w:lang w:eastAsia="ko-KR"/>
        </w:rPr>
        <w:t>(2014)</w:t>
      </w:r>
      <w:r>
        <w:rPr>
          <w:sz w:val="18"/>
          <w:szCs w:val="18"/>
          <w:lang w:eastAsia="ko-KR"/>
        </w:rPr>
        <w:t xml:space="preserve">, </w:t>
      </w:r>
      <w:r w:rsidR="00B20294">
        <w:rPr>
          <w:sz w:val="18"/>
          <w:szCs w:val="18"/>
          <w:lang w:eastAsia="ko-KR"/>
        </w:rPr>
        <w:t xml:space="preserve">pp. </w:t>
      </w:r>
      <w:r w:rsidR="00D31B04" w:rsidRPr="0012794E">
        <w:rPr>
          <w:sz w:val="18"/>
          <w:szCs w:val="18"/>
          <w:lang w:eastAsia="ko-KR"/>
        </w:rPr>
        <w:t>262-274.</w:t>
      </w:r>
    </w:p>
    <w:p w:rsidR="00D31B04" w:rsidRPr="00D31B04" w:rsidRDefault="00CA4BFD" w:rsidP="00D31B04">
      <w:pPr>
        <w:numPr>
          <w:ilvl w:val="0"/>
          <w:numId w:val="9"/>
        </w:numPr>
        <w:adjustRightInd w:val="0"/>
        <w:snapToGrid w:val="0"/>
        <w:spacing w:before="120"/>
        <w:ind w:left="403" w:hanging="403"/>
        <w:jc w:val="both"/>
        <w:rPr>
          <w:sz w:val="18"/>
          <w:szCs w:val="18"/>
          <w:lang w:eastAsia="ko-KR"/>
        </w:rPr>
      </w:pPr>
      <w:r>
        <w:rPr>
          <w:sz w:val="18"/>
          <w:szCs w:val="18"/>
          <w:lang w:eastAsia="ko-KR"/>
        </w:rPr>
        <w:t>E. Balkan and U. Uyar,</w:t>
      </w:r>
      <w:r w:rsidR="00D31B04" w:rsidRPr="00D31B04">
        <w:rPr>
          <w:sz w:val="18"/>
          <w:szCs w:val="18"/>
          <w:lang w:eastAsia="ko-KR"/>
        </w:rPr>
        <w:t xml:space="preserve"> </w:t>
      </w:r>
      <w:r>
        <w:rPr>
          <w:sz w:val="18"/>
          <w:szCs w:val="18"/>
          <w:lang w:eastAsia="ko-KR"/>
        </w:rPr>
        <w:t>“</w:t>
      </w:r>
      <w:r w:rsidR="00D31B04" w:rsidRPr="00D31B04">
        <w:rPr>
          <w:sz w:val="18"/>
          <w:szCs w:val="18"/>
          <w:lang w:eastAsia="ko-KR"/>
        </w:rPr>
        <w:t>The Fractal Structure of CDS Spreads: Evidence from the OECD Countries</w:t>
      </w:r>
      <w:r>
        <w:rPr>
          <w:sz w:val="18"/>
          <w:szCs w:val="18"/>
          <w:lang w:eastAsia="ko-KR"/>
        </w:rPr>
        <w:t>”,</w:t>
      </w:r>
      <w:r w:rsidR="00D31B04" w:rsidRPr="00D31B04">
        <w:rPr>
          <w:sz w:val="18"/>
          <w:szCs w:val="18"/>
          <w:lang w:eastAsia="ko-KR"/>
        </w:rPr>
        <w:t xml:space="preserve"> Romanian Journal of Economic Forecasting</w:t>
      </w:r>
      <w:r>
        <w:rPr>
          <w:sz w:val="18"/>
          <w:szCs w:val="18"/>
          <w:lang w:eastAsia="ko-KR"/>
        </w:rPr>
        <w:t>, vol.</w:t>
      </w:r>
      <w:r w:rsidR="00D31B04" w:rsidRPr="00D31B04">
        <w:rPr>
          <w:sz w:val="18"/>
          <w:szCs w:val="18"/>
          <w:lang w:eastAsia="ko-KR"/>
        </w:rPr>
        <w:t xml:space="preserve"> 25.1, </w:t>
      </w:r>
      <w:r w:rsidRPr="00CA4BFD">
        <w:rPr>
          <w:b/>
          <w:sz w:val="18"/>
          <w:szCs w:val="18"/>
          <w:lang w:eastAsia="ko-KR"/>
        </w:rPr>
        <w:t>(2022)</w:t>
      </w:r>
      <w:r>
        <w:rPr>
          <w:sz w:val="18"/>
          <w:szCs w:val="18"/>
          <w:lang w:eastAsia="ko-KR"/>
        </w:rPr>
        <w:t xml:space="preserve">, pp. </w:t>
      </w:r>
      <w:r w:rsidR="00D31B04" w:rsidRPr="00D31B04">
        <w:rPr>
          <w:sz w:val="18"/>
          <w:szCs w:val="18"/>
          <w:lang w:eastAsia="ko-KR"/>
        </w:rPr>
        <w:t>106.</w:t>
      </w:r>
    </w:p>
    <w:p w:rsidR="00D31B04" w:rsidRPr="00D31B04" w:rsidRDefault="00D31B04" w:rsidP="00D31B04">
      <w:pPr>
        <w:numPr>
          <w:ilvl w:val="0"/>
          <w:numId w:val="9"/>
        </w:numPr>
        <w:adjustRightInd w:val="0"/>
        <w:snapToGrid w:val="0"/>
        <w:spacing w:before="120"/>
        <w:ind w:left="403" w:hanging="403"/>
        <w:jc w:val="both"/>
        <w:rPr>
          <w:sz w:val="18"/>
          <w:szCs w:val="18"/>
          <w:lang w:eastAsia="ko-KR"/>
        </w:rPr>
      </w:pPr>
      <w:r w:rsidRPr="00D31B04">
        <w:rPr>
          <w:sz w:val="18"/>
          <w:szCs w:val="18"/>
          <w:lang w:eastAsia="ko-KR"/>
        </w:rPr>
        <w:t xml:space="preserve">Bomfim, A. N. </w:t>
      </w:r>
      <w:r w:rsidRPr="00414354">
        <w:rPr>
          <w:b/>
          <w:sz w:val="18"/>
          <w:szCs w:val="18"/>
          <w:lang w:eastAsia="ko-KR"/>
        </w:rPr>
        <w:t>(2022)</w:t>
      </w:r>
      <w:r w:rsidRPr="00D31B04">
        <w:rPr>
          <w:sz w:val="18"/>
          <w:szCs w:val="18"/>
          <w:lang w:eastAsia="ko-KR"/>
        </w:rPr>
        <w:t>. Credit Default Swaps. Finance and Economics Discussion Series 2022-23. Retrieved from https://doi.org/10.17016/FEDS.2022.023</w:t>
      </w:r>
      <w:r w:rsidR="00C261C5">
        <w:rPr>
          <w:sz w:val="18"/>
          <w:szCs w:val="18"/>
          <w:lang w:eastAsia="ko-KR"/>
        </w:rPr>
        <w:t>.</w:t>
      </w:r>
    </w:p>
    <w:p w:rsidR="00D31B04" w:rsidRPr="00D31B04" w:rsidRDefault="00D31B04" w:rsidP="00D31B04">
      <w:pPr>
        <w:numPr>
          <w:ilvl w:val="0"/>
          <w:numId w:val="9"/>
        </w:numPr>
        <w:adjustRightInd w:val="0"/>
        <w:snapToGrid w:val="0"/>
        <w:spacing w:before="120"/>
        <w:ind w:left="403" w:hanging="403"/>
        <w:jc w:val="both"/>
        <w:rPr>
          <w:sz w:val="18"/>
          <w:szCs w:val="18"/>
          <w:lang w:eastAsia="ko-KR"/>
        </w:rPr>
      </w:pPr>
      <w:r w:rsidRPr="00D31B04">
        <w:rPr>
          <w:sz w:val="18"/>
          <w:szCs w:val="18"/>
          <w:lang w:eastAsia="ko-KR"/>
        </w:rPr>
        <w:t xml:space="preserve">Elliott, M. J. </w:t>
      </w:r>
      <w:r w:rsidRPr="00414354">
        <w:rPr>
          <w:b/>
          <w:sz w:val="18"/>
          <w:szCs w:val="18"/>
          <w:lang w:eastAsia="ko-KR"/>
        </w:rPr>
        <w:t>(2009)</w:t>
      </w:r>
      <w:r w:rsidRPr="00D31B04">
        <w:rPr>
          <w:sz w:val="18"/>
          <w:szCs w:val="18"/>
          <w:lang w:eastAsia="ko-KR"/>
        </w:rPr>
        <w:t>. Credit derivatives: systemic risks and policy options? International Monetary Fund.</w:t>
      </w:r>
    </w:p>
    <w:p w:rsidR="00D31B04" w:rsidRPr="00D31B04" w:rsidRDefault="00D31B04" w:rsidP="00D31B04">
      <w:pPr>
        <w:numPr>
          <w:ilvl w:val="0"/>
          <w:numId w:val="9"/>
        </w:numPr>
        <w:adjustRightInd w:val="0"/>
        <w:snapToGrid w:val="0"/>
        <w:spacing w:before="120"/>
        <w:ind w:left="403" w:hanging="403"/>
        <w:jc w:val="both"/>
        <w:rPr>
          <w:sz w:val="18"/>
          <w:szCs w:val="18"/>
          <w:lang w:eastAsia="ko-KR"/>
        </w:rPr>
      </w:pPr>
      <w:r w:rsidRPr="00D31B04">
        <w:rPr>
          <w:sz w:val="18"/>
          <w:szCs w:val="18"/>
          <w:lang w:eastAsia="ko-KR"/>
        </w:rPr>
        <w:t xml:space="preserve">Günay, S. a. </w:t>
      </w:r>
      <w:r w:rsidRPr="00414354">
        <w:rPr>
          <w:b/>
          <w:sz w:val="18"/>
          <w:szCs w:val="18"/>
          <w:lang w:eastAsia="ko-KR"/>
        </w:rPr>
        <w:t>(2016)</w:t>
      </w:r>
      <w:r w:rsidRPr="00D31B04">
        <w:rPr>
          <w:sz w:val="18"/>
          <w:szCs w:val="18"/>
          <w:lang w:eastAsia="ko-KR"/>
        </w:rPr>
        <w:t>. Long-memory in volatilities of cds spreads: evidences from the emerging markets. ournal for Economic Forecasting 1, 122-137.</w:t>
      </w:r>
    </w:p>
    <w:p w:rsidR="00D31B04" w:rsidRPr="00D31B04" w:rsidRDefault="00D31B04" w:rsidP="00D31B04">
      <w:pPr>
        <w:numPr>
          <w:ilvl w:val="0"/>
          <w:numId w:val="9"/>
        </w:numPr>
        <w:adjustRightInd w:val="0"/>
        <w:snapToGrid w:val="0"/>
        <w:spacing w:before="120"/>
        <w:ind w:left="403" w:hanging="403"/>
        <w:jc w:val="both"/>
        <w:rPr>
          <w:sz w:val="18"/>
          <w:szCs w:val="18"/>
          <w:lang w:eastAsia="ko-KR"/>
        </w:rPr>
      </w:pPr>
      <w:r w:rsidRPr="00D31B04">
        <w:rPr>
          <w:sz w:val="18"/>
          <w:szCs w:val="18"/>
          <w:lang w:eastAsia="ko-KR"/>
        </w:rPr>
        <w:t xml:space="preserve">Gündüz, Y. a.-H. </w:t>
      </w:r>
      <w:r w:rsidRPr="00414354">
        <w:rPr>
          <w:b/>
          <w:sz w:val="18"/>
          <w:szCs w:val="18"/>
          <w:lang w:eastAsia="ko-KR"/>
        </w:rPr>
        <w:t>(2011)</w:t>
      </w:r>
      <w:r w:rsidRPr="00D31B04">
        <w:rPr>
          <w:sz w:val="18"/>
          <w:szCs w:val="18"/>
          <w:lang w:eastAsia="ko-KR"/>
        </w:rPr>
        <w:t>. Predicting credit default swap prices with financial and pure data-driven approaches. Quantitative Finance 11.12, 1709-1727.</w:t>
      </w:r>
    </w:p>
    <w:p w:rsidR="00D31B04" w:rsidRPr="00D31B04" w:rsidRDefault="00D31B04" w:rsidP="00D31B04">
      <w:pPr>
        <w:numPr>
          <w:ilvl w:val="0"/>
          <w:numId w:val="9"/>
        </w:numPr>
        <w:adjustRightInd w:val="0"/>
        <w:snapToGrid w:val="0"/>
        <w:spacing w:before="120"/>
        <w:ind w:left="403" w:hanging="403"/>
        <w:jc w:val="both"/>
        <w:rPr>
          <w:sz w:val="18"/>
          <w:szCs w:val="18"/>
          <w:lang w:eastAsia="ko-KR"/>
        </w:rPr>
      </w:pPr>
      <w:r w:rsidRPr="00D31B04">
        <w:rPr>
          <w:sz w:val="18"/>
          <w:szCs w:val="18"/>
          <w:lang w:eastAsia="ko-KR"/>
        </w:rPr>
        <w:lastRenderedPageBreak/>
        <w:t xml:space="preserve">Gupta, R. G. </w:t>
      </w:r>
      <w:r w:rsidRPr="00414354">
        <w:rPr>
          <w:b/>
          <w:sz w:val="18"/>
          <w:szCs w:val="18"/>
          <w:lang w:eastAsia="ko-KR"/>
        </w:rPr>
        <w:t>(2020)</w:t>
      </w:r>
      <w:r w:rsidRPr="00D31B04">
        <w:rPr>
          <w:sz w:val="18"/>
          <w:szCs w:val="18"/>
          <w:lang w:eastAsia="ko-KR"/>
        </w:rPr>
        <w:t>. Retrieved from https://streetfins.com/analyzing-bill-ackmans-2-6-billion-cds-trade/</w:t>
      </w:r>
      <w:r w:rsidR="00C261C5">
        <w:rPr>
          <w:sz w:val="18"/>
          <w:szCs w:val="18"/>
          <w:lang w:eastAsia="ko-KR"/>
        </w:rPr>
        <w:t>.</w:t>
      </w:r>
    </w:p>
    <w:p w:rsidR="00D31B04" w:rsidRPr="00D31B04" w:rsidRDefault="00D31B04" w:rsidP="00D31B04">
      <w:pPr>
        <w:numPr>
          <w:ilvl w:val="0"/>
          <w:numId w:val="9"/>
        </w:numPr>
        <w:adjustRightInd w:val="0"/>
        <w:snapToGrid w:val="0"/>
        <w:spacing w:before="120"/>
        <w:ind w:left="403" w:hanging="403"/>
        <w:jc w:val="both"/>
        <w:rPr>
          <w:sz w:val="18"/>
          <w:szCs w:val="18"/>
          <w:lang w:eastAsia="ko-KR"/>
        </w:rPr>
      </w:pPr>
      <w:r w:rsidRPr="00D31B04">
        <w:rPr>
          <w:sz w:val="18"/>
          <w:szCs w:val="18"/>
          <w:lang w:eastAsia="ko-KR"/>
        </w:rPr>
        <w:t xml:space="preserve">He, X. a. </w:t>
      </w:r>
      <w:r w:rsidRPr="00414354">
        <w:rPr>
          <w:b/>
          <w:sz w:val="18"/>
          <w:szCs w:val="18"/>
          <w:lang w:eastAsia="ko-KR"/>
        </w:rPr>
        <w:t>(2014)</w:t>
      </w:r>
      <w:r w:rsidRPr="00D31B04">
        <w:rPr>
          <w:sz w:val="18"/>
          <w:szCs w:val="18"/>
          <w:lang w:eastAsia="ko-KR"/>
        </w:rPr>
        <w:t>. The pricing of credit default swaps under a generalized mixed fractional Brownian motion. Physica A: Statistical Mechanics and its Applications 404, 26-33.</w:t>
      </w:r>
    </w:p>
    <w:p w:rsidR="00D31B04" w:rsidRPr="00D31B04" w:rsidRDefault="00D31B04" w:rsidP="00D31B04">
      <w:pPr>
        <w:numPr>
          <w:ilvl w:val="0"/>
          <w:numId w:val="9"/>
        </w:numPr>
        <w:adjustRightInd w:val="0"/>
        <w:snapToGrid w:val="0"/>
        <w:spacing w:before="120"/>
        <w:ind w:left="403" w:hanging="403"/>
        <w:jc w:val="both"/>
        <w:rPr>
          <w:sz w:val="18"/>
          <w:szCs w:val="18"/>
          <w:lang w:eastAsia="ko-KR"/>
        </w:rPr>
      </w:pPr>
      <w:r w:rsidRPr="00D31B04">
        <w:rPr>
          <w:sz w:val="18"/>
          <w:szCs w:val="18"/>
          <w:lang w:eastAsia="ko-KR"/>
        </w:rPr>
        <w:t xml:space="preserve">Hu, N. J.-C. </w:t>
      </w:r>
      <w:r w:rsidRPr="00414354">
        <w:rPr>
          <w:b/>
          <w:sz w:val="18"/>
          <w:szCs w:val="18"/>
          <w:lang w:eastAsia="ko-KR"/>
        </w:rPr>
        <w:t>(2019)</w:t>
      </w:r>
      <w:r w:rsidRPr="00D31B04">
        <w:rPr>
          <w:sz w:val="18"/>
          <w:szCs w:val="18"/>
          <w:lang w:eastAsia="ko-KR"/>
        </w:rPr>
        <w:t>. Completing the Market: Generating Shadow CDS Spreads by Machine Learning. International Monetary Fund.</w:t>
      </w:r>
    </w:p>
    <w:p w:rsidR="00D31B04" w:rsidRPr="00D31B04" w:rsidRDefault="00D31B04" w:rsidP="00D31B04">
      <w:pPr>
        <w:numPr>
          <w:ilvl w:val="0"/>
          <w:numId w:val="9"/>
        </w:numPr>
        <w:adjustRightInd w:val="0"/>
        <w:snapToGrid w:val="0"/>
        <w:spacing w:before="120"/>
        <w:ind w:left="403" w:hanging="403"/>
        <w:jc w:val="both"/>
        <w:rPr>
          <w:sz w:val="18"/>
          <w:szCs w:val="18"/>
          <w:lang w:eastAsia="ko-KR"/>
        </w:rPr>
      </w:pPr>
      <w:r w:rsidRPr="00D31B04">
        <w:rPr>
          <w:sz w:val="18"/>
          <w:szCs w:val="18"/>
          <w:lang w:eastAsia="ko-KR"/>
        </w:rPr>
        <w:t xml:space="preserve">Markit, I. </w:t>
      </w:r>
      <w:r w:rsidRPr="00414354">
        <w:rPr>
          <w:b/>
          <w:sz w:val="18"/>
          <w:szCs w:val="18"/>
          <w:lang w:eastAsia="ko-KR"/>
        </w:rPr>
        <w:t>(2021)</w:t>
      </w:r>
      <w:r w:rsidRPr="00D31B04">
        <w:rPr>
          <w:sz w:val="18"/>
          <w:szCs w:val="18"/>
          <w:lang w:eastAsia="ko-KR"/>
        </w:rPr>
        <w:t>. Retrieved from https://cdn.ihsmarkit.com/www/pdf/1221/CDS-Indices-Primer---2021.pdf</w:t>
      </w:r>
      <w:r w:rsidR="00C261C5">
        <w:rPr>
          <w:sz w:val="18"/>
          <w:szCs w:val="18"/>
          <w:lang w:eastAsia="ko-KR"/>
        </w:rPr>
        <w:t>.</w:t>
      </w:r>
    </w:p>
    <w:p w:rsidR="00D31B04" w:rsidRPr="00D31B04" w:rsidRDefault="00D31B04" w:rsidP="00D31B04">
      <w:pPr>
        <w:numPr>
          <w:ilvl w:val="0"/>
          <w:numId w:val="9"/>
        </w:numPr>
        <w:adjustRightInd w:val="0"/>
        <w:snapToGrid w:val="0"/>
        <w:spacing w:before="120"/>
        <w:ind w:left="403" w:hanging="403"/>
        <w:jc w:val="both"/>
        <w:rPr>
          <w:sz w:val="18"/>
          <w:szCs w:val="18"/>
          <w:lang w:eastAsia="ko-KR"/>
        </w:rPr>
      </w:pPr>
      <w:r w:rsidRPr="00D31B04">
        <w:rPr>
          <w:sz w:val="18"/>
          <w:szCs w:val="18"/>
          <w:lang w:eastAsia="ko-KR"/>
        </w:rPr>
        <w:t xml:space="preserve">Sheraz, M. S. </w:t>
      </w:r>
      <w:r w:rsidRPr="00414354">
        <w:rPr>
          <w:b/>
          <w:sz w:val="18"/>
          <w:szCs w:val="18"/>
          <w:lang w:eastAsia="ko-KR"/>
        </w:rPr>
        <w:t>(2022)</w:t>
      </w:r>
      <w:r w:rsidRPr="00D31B04">
        <w:rPr>
          <w:sz w:val="18"/>
          <w:szCs w:val="18"/>
          <w:lang w:eastAsia="ko-KR"/>
        </w:rPr>
        <w:t>. Volatility Dynamics of Non-Linear Volatile Time Series and Analysis of Information Flow: Evidence from Cryptocurrency Data. Entropy 24.10, 1410.</w:t>
      </w:r>
    </w:p>
    <w:p w:rsidR="00D31B04" w:rsidRPr="00D31B04" w:rsidRDefault="00D31B04" w:rsidP="00D31B04">
      <w:pPr>
        <w:numPr>
          <w:ilvl w:val="0"/>
          <w:numId w:val="9"/>
        </w:numPr>
        <w:adjustRightInd w:val="0"/>
        <w:snapToGrid w:val="0"/>
        <w:spacing w:before="120"/>
        <w:ind w:left="403" w:hanging="403"/>
        <w:jc w:val="both"/>
        <w:rPr>
          <w:sz w:val="18"/>
          <w:szCs w:val="18"/>
          <w:lang w:eastAsia="ko-KR"/>
        </w:rPr>
      </w:pPr>
      <w:r w:rsidRPr="00D31B04">
        <w:rPr>
          <w:sz w:val="18"/>
          <w:szCs w:val="18"/>
          <w:lang w:eastAsia="ko-KR"/>
        </w:rPr>
        <w:t xml:space="preserve">Stewart, H. </w:t>
      </w:r>
      <w:r w:rsidRPr="00414354">
        <w:rPr>
          <w:b/>
          <w:sz w:val="18"/>
          <w:szCs w:val="18"/>
          <w:lang w:eastAsia="ko-KR"/>
        </w:rPr>
        <w:t>(2010, March 07)</w:t>
      </w:r>
      <w:r w:rsidRPr="00D31B04">
        <w:rPr>
          <w:sz w:val="18"/>
          <w:szCs w:val="18"/>
          <w:lang w:eastAsia="ko-KR"/>
        </w:rPr>
        <w:t>. Retrieved from https://www.theguardian.com/books/2010/mar/07/the-greatest-trade-ever-by-gregory-zuckerman-review-heather-stewart</w:t>
      </w:r>
      <w:r w:rsidR="00C261C5">
        <w:rPr>
          <w:sz w:val="18"/>
          <w:szCs w:val="18"/>
          <w:lang w:eastAsia="ko-KR"/>
        </w:rPr>
        <w:t>.</w:t>
      </w:r>
    </w:p>
    <w:p w:rsidR="00D31B04" w:rsidRPr="00D31B04" w:rsidRDefault="00D31B04" w:rsidP="00D31B04">
      <w:pPr>
        <w:numPr>
          <w:ilvl w:val="0"/>
          <w:numId w:val="9"/>
        </w:numPr>
        <w:adjustRightInd w:val="0"/>
        <w:snapToGrid w:val="0"/>
        <w:spacing w:before="120"/>
        <w:ind w:left="403" w:hanging="403"/>
        <w:jc w:val="both"/>
        <w:rPr>
          <w:sz w:val="18"/>
          <w:szCs w:val="18"/>
          <w:lang w:eastAsia="ko-KR"/>
        </w:rPr>
      </w:pPr>
      <w:r w:rsidRPr="00D31B04">
        <w:rPr>
          <w:sz w:val="18"/>
          <w:szCs w:val="18"/>
          <w:lang w:eastAsia="ko-KR"/>
        </w:rPr>
        <w:t xml:space="preserve">Vukovic, D. B. </w:t>
      </w:r>
      <w:r w:rsidRPr="00414354">
        <w:rPr>
          <w:b/>
          <w:sz w:val="18"/>
          <w:szCs w:val="18"/>
          <w:lang w:eastAsia="ko-KR"/>
        </w:rPr>
        <w:t>(2022)</w:t>
      </w:r>
      <w:r w:rsidRPr="00D31B04">
        <w:rPr>
          <w:sz w:val="18"/>
          <w:szCs w:val="18"/>
          <w:lang w:eastAsia="ko-KR"/>
        </w:rPr>
        <w:t xml:space="preserve">. Are CDS spreads predictable during the Covid-19 pandemic? Forecasting based on SVM, GMDH, LSTM and Markov switching autoregression. Expert systems with </w:t>
      </w:r>
      <w:r w:rsidR="00282900" w:rsidRPr="00D31B04">
        <w:rPr>
          <w:sz w:val="18"/>
          <w:szCs w:val="18"/>
          <w:lang w:eastAsia="ko-KR"/>
        </w:rPr>
        <w:t>applications.</w:t>
      </w:r>
    </w:p>
    <w:p w:rsidR="00AB7A1F" w:rsidRDefault="00D31B04" w:rsidP="00D31B04">
      <w:pPr>
        <w:numPr>
          <w:ilvl w:val="0"/>
          <w:numId w:val="9"/>
        </w:numPr>
        <w:adjustRightInd w:val="0"/>
        <w:snapToGrid w:val="0"/>
        <w:spacing w:before="120"/>
        <w:ind w:left="403" w:hanging="403"/>
        <w:jc w:val="both"/>
        <w:rPr>
          <w:sz w:val="18"/>
          <w:szCs w:val="18"/>
          <w:lang w:eastAsia="ko-KR"/>
        </w:rPr>
      </w:pPr>
      <w:r w:rsidRPr="00D31B04">
        <w:rPr>
          <w:sz w:val="18"/>
          <w:szCs w:val="18"/>
          <w:lang w:eastAsia="ko-KR"/>
        </w:rPr>
        <w:t xml:space="preserve">Zhang, T. Y. </w:t>
      </w:r>
      <w:r w:rsidRPr="00414354">
        <w:rPr>
          <w:b/>
          <w:sz w:val="18"/>
          <w:szCs w:val="18"/>
          <w:lang w:eastAsia="ko-KR"/>
        </w:rPr>
        <w:t>(2018)</w:t>
      </w:r>
      <w:r w:rsidRPr="00D31B04">
        <w:rPr>
          <w:sz w:val="18"/>
          <w:szCs w:val="18"/>
          <w:lang w:eastAsia="ko-KR"/>
        </w:rPr>
        <w:t>. Predicting Credit Default Swap (CDS) Returns with Machine Learning. Available at SSRN 3152143.</w:t>
      </w:r>
    </w:p>
    <w:p w:rsidR="005A2DCE" w:rsidRDefault="005A2DCE" w:rsidP="005A2DCE">
      <w:pPr>
        <w:tabs>
          <w:tab w:val="left" w:pos="24"/>
        </w:tabs>
        <w:adjustRightInd w:val="0"/>
        <w:snapToGrid w:val="0"/>
        <w:jc w:val="center"/>
        <w:rPr>
          <w:b/>
          <w:sz w:val="26"/>
          <w:lang w:eastAsia="ko-KR"/>
        </w:rPr>
      </w:pPr>
    </w:p>
    <w:p w:rsidR="005A2DCE" w:rsidRDefault="005A2DCE" w:rsidP="005A2DCE">
      <w:pPr>
        <w:tabs>
          <w:tab w:val="left" w:pos="24"/>
        </w:tabs>
        <w:adjustRightInd w:val="0"/>
        <w:snapToGrid w:val="0"/>
        <w:jc w:val="center"/>
        <w:rPr>
          <w:b/>
          <w:sz w:val="26"/>
          <w:lang w:eastAsia="ko-KR"/>
        </w:rPr>
      </w:pPr>
      <w:r>
        <w:rPr>
          <w:rFonts w:hint="eastAsia"/>
          <w:b/>
          <w:sz w:val="26"/>
          <w:lang w:eastAsia="ko-KR"/>
        </w:rPr>
        <w:t>Authors</w:t>
      </w:r>
    </w:p>
    <w:p w:rsidR="005A2DCE" w:rsidRPr="000D4778" w:rsidRDefault="007C40AF" w:rsidP="005A2DCE">
      <w:pPr>
        <w:tabs>
          <w:tab w:val="left" w:pos="24"/>
        </w:tabs>
        <w:adjustRightInd w:val="0"/>
        <w:snapToGrid w:val="0"/>
        <w:jc w:val="center"/>
        <w:rPr>
          <w:sz w:val="22"/>
          <w:szCs w:val="22"/>
        </w:rPr>
      </w:pPr>
      <w:r w:rsidRPr="00290CC2">
        <w:rPr>
          <w:noProof/>
          <w:sz w:val="22"/>
          <w:szCs w:val="22"/>
          <w:lang w:val="en-GB" w:eastAsia="en-GB"/>
        </w:rPr>
        <w:drawing>
          <wp:anchor distT="0" distB="0" distL="114300" distR="114300" simplePos="0" relativeHeight="251658240" behindDoc="0" locked="0" layoutInCell="1" allowOverlap="1">
            <wp:simplePos x="0" y="0"/>
            <wp:positionH relativeFrom="column">
              <wp:posOffset>244312</wp:posOffset>
            </wp:positionH>
            <wp:positionV relativeFrom="paragraph">
              <wp:posOffset>154672</wp:posOffset>
            </wp:positionV>
            <wp:extent cx="954000" cy="1144800"/>
            <wp:effectExtent l="0" t="0" r="0" b="0"/>
            <wp:wrapSquare wrapText="bothSides"/>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WhatsApp Image 2023-02-12 at 15.55.22.jpeg"/>
                    <pic:cNvPicPr/>
                  </pic:nvPicPr>
                  <pic:blipFill>
                    <a:blip r:embed="rId22">
                      <a:extLst>
                        <a:ext uri="{28A0092B-C50C-407E-A947-70E740481C1C}">
                          <a14:useLocalDpi xmlns:a14="http://schemas.microsoft.com/office/drawing/2010/main" val="0"/>
                        </a:ext>
                      </a:extLst>
                    </a:blip>
                    <a:stretch>
                      <a:fillRect/>
                    </a:stretch>
                  </pic:blipFill>
                  <pic:spPr>
                    <a:xfrm>
                      <a:off x="0" y="0"/>
                      <a:ext cx="954000" cy="1144800"/>
                    </a:xfrm>
                    <a:prstGeom prst="rect">
                      <a:avLst/>
                    </a:prstGeom>
                  </pic:spPr>
                </pic:pic>
              </a:graphicData>
            </a:graphic>
            <wp14:sizeRelH relativeFrom="margin">
              <wp14:pctWidth>0</wp14:pctWidth>
            </wp14:sizeRelH>
            <wp14:sizeRelV relativeFrom="margin">
              <wp14:pctHeight>0</wp14:pctHeight>
            </wp14:sizeRelV>
          </wp:anchor>
        </w:drawing>
      </w:r>
    </w:p>
    <w:p w:rsidR="005A2DCE" w:rsidRPr="00FF10CE" w:rsidRDefault="005A2DCE" w:rsidP="005A2DCE">
      <w:pPr>
        <w:pStyle w:val="BodyTextIndent"/>
        <w:tabs>
          <w:tab w:val="left" w:pos="24"/>
        </w:tabs>
        <w:adjustRightInd w:val="0"/>
        <w:snapToGrid w:val="0"/>
        <w:ind w:leftChars="900" w:left="1800" w:firstLine="244"/>
        <w:rPr>
          <w:spacing w:val="0"/>
        </w:rPr>
      </w:pPr>
      <w:r>
        <w:rPr>
          <w:b/>
          <w:spacing w:val="0"/>
          <w:lang w:eastAsia="ko-KR"/>
        </w:rPr>
        <w:t>Rajneesh Kumar Singh</w:t>
      </w:r>
      <w:r w:rsidRPr="00FF10CE">
        <w:rPr>
          <w:rFonts w:hint="eastAsia"/>
          <w:b/>
          <w:spacing w:val="0"/>
          <w:lang w:eastAsia="ko-KR"/>
        </w:rPr>
        <w:t xml:space="preserve">, </w:t>
      </w:r>
      <w:r w:rsidR="009B4966">
        <w:rPr>
          <w:spacing w:val="0"/>
          <w:lang w:eastAsia="ko-KR"/>
        </w:rPr>
        <w:t xml:space="preserve">is </w:t>
      </w:r>
      <w:r>
        <w:rPr>
          <w:spacing w:val="0"/>
          <w:lang w:eastAsia="ko-KR"/>
        </w:rPr>
        <w:t>a current student at WorldQuant University pursuing his Master of Science in Financial Engineering</w:t>
      </w:r>
      <w:r w:rsidRPr="00FF10CE">
        <w:rPr>
          <w:spacing w:val="0"/>
        </w:rPr>
        <w:t>.</w:t>
      </w:r>
      <w:r>
        <w:rPr>
          <w:spacing w:val="0"/>
        </w:rPr>
        <w:t xml:space="preserve"> He has been a financial markets professional for over 15 years and has mostly worked in the field of Credit Derivatives</w:t>
      </w:r>
      <w:r w:rsidR="00451D97">
        <w:rPr>
          <w:spacing w:val="0"/>
        </w:rPr>
        <w:t xml:space="preserve"> in various roles</w:t>
      </w:r>
      <w:r>
        <w:rPr>
          <w:spacing w:val="0"/>
        </w:rPr>
        <w:t>. Currently he works as a Credit Quantitative Research in a London based credit hedge fund.</w:t>
      </w:r>
    </w:p>
    <w:p w:rsidR="005A2DCE" w:rsidRPr="00FF10CE" w:rsidRDefault="005A2DCE" w:rsidP="005A2DCE">
      <w:pPr>
        <w:pStyle w:val="BodyTextIndent"/>
        <w:tabs>
          <w:tab w:val="left" w:pos="24"/>
        </w:tabs>
        <w:adjustRightInd w:val="0"/>
        <w:snapToGrid w:val="0"/>
        <w:ind w:leftChars="900" w:left="1800" w:firstLine="244"/>
        <w:rPr>
          <w:noProof/>
        </w:rPr>
      </w:pPr>
    </w:p>
    <w:p w:rsidR="00290CC2" w:rsidRPr="007C40AF" w:rsidRDefault="00290CC2" w:rsidP="007C40AF">
      <w:pPr>
        <w:pStyle w:val="BodyTextIndent"/>
        <w:tabs>
          <w:tab w:val="left" w:pos="24"/>
        </w:tabs>
        <w:adjustRightInd w:val="0"/>
        <w:snapToGrid w:val="0"/>
        <w:ind w:firstLine="0"/>
        <w:rPr>
          <w:color w:val="FF0000"/>
          <w:spacing w:val="0"/>
        </w:rPr>
      </w:pPr>
      <w:r>
        <w:t xml:space="preserve"> </w:t>
      </w:r>
    </w:p>
    <w:p w:rsidR="00290CC2" w:rsidRPr="00FF10CE" w:rsidRDefault="00290CC2" w:rsidP="00290CC2">
      <w:pPr>
        <w:tabs>
          <w:tab w:val="left" w:pos="24"/>
        </w:tabs>
        <w:adjustRightInd w:val="0"/>
        <w:snapToGrid w:val="0"/>
        <w:jc w:val="center"/>
      </w:pPr>
    </w:p>
    <w:p w:rsidR="005A2DCE" w:rsidRPr="00D31B04" w:rsidRDefault="005A2DCE" w:rsidP="005A2DCE">
      <w:pPr>
        <w:adjustRightInd w:val="0"/>
        <w:snapToGrid w:val="0"/>
        <w:spacing w:before="120"/>
        <w:jc w:val="both"/>
        <w:rPr>
          <w:sz w:val="18"/>
          <w:szCs w:val="18"/>
          <w:lang w:eastAsia="ko-KR"/>
        </w:rPr>
      </w:pPr>
    </w:p>
    <w:sectPr w:rsidR="005A2DCE" w:rsidRPr="00D31B04" w:rsidSect="00404FF3">
      <w:headerReference w:type="even" r:id="rId23"/>
      <w:headerReference w:type="default" r:id="rId24"/>
      <w:footerReference w:type="even" r:id="rId25"/>
      <w:footerReference w:type="default" r:id="rId26"/>
      <w:headerReference w:type="first" r:id="rId27"/>
      <w:footerReference w:type="first" r:id="rId28"/>
      <w:type w:val="continuous"/>
      <w:pgSz w:w="11907" w:h="16839" w:code="9"/>
      <w:pgMar w:top="1151" w:right="2070" w:bottom="1729" w:left="1871" w:header="720" w:footer="720" w:gutter="0"/>
      <w:cols w:space="720" w:equalWidth="0">
        <w:col w:w="7966"/>
      </w:cols>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20B9" w:rsidRDefault="00CE20B9">
      <w:r>
        <w:separator/>
      </w:r>
    </w:p>
  </w:endnote>
  <w:endnote w:type="continuationSeparator" w:id="0">
    <w:p w:rsidR="00CE20B9" w:rsidRDefault="00CE2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Malgun Gothic Semilight"/>
    <w:panose1 w:val="02030600000101010101"/>
    <w:charset w:val="81"/>
    <w:family w:val="auto"/>
    <w:pitch w:val="fixed"/>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ulim">
    <w:altName w:val="Malgun Gothic Semilight"/>
    <w:panose1 w:val="020B0600000101010101"/>
    <w:charset w:val="81"/>
    <w:family w:val="roman"/>
    <w:pitch w:val="fixed"/>
    <w:sig w:usb0="00000000"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4E6" w:rsidRDefault="00B144E6">
    <w:pPr>
      <w:pStyle w:val="Footer"/>
    </w:pPr>
    <w:r>
      <w:rPr>
        <w:rStyle w:val="PageNumber"/>
      </w:rPr>
      <w:fldChar w:fldCharType="begin"/>
    </w:r>
    <w:r>
      <w:rPr>
        <w:rStyle w:val="PageNumber"/>
      </w:rPr>
      <w:instrText xml:space="preserve"> PAGE </w:instrText>
    </w:r>
    <w:r>
      <w:rPr>
        <w:rStyle w:val="PageNumber"/>
      </w:rPr>
      <w:fldChar w:fldCharType="separate"/>
    </w:r>
    <w:r w:rsidR="00D71C09">
      <w:rPr>
        <w:rStyle w:val="PageNumber"/>
        <w:noProof/>
      </w:rPr>
      <w:t>8</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4E6" w:rsidRDefault="00B144E6" w:rsidP="00016ED5">
    <w:pPr>
      <w:pStyle w:val="Footer"/>
      <w:jc w:val="right"/>
    </w:pPr>
    <w:r>
      <w:rPr>
        <w:rStyle w:val="PageNumber"/>
      </w:rPr>
      <w:fldChar w:fldCharType="begin"/>
    </w:r>
    <w:r>
      <w:rPr>
        <w:rStyle w:val="PageNumber"/>
      </w:rPr>
      <w:instrText xml:space="preserve"> PAGE </w:instrText>
    </w:r>
    <w:r>
      <w:rPr>
        <w:rStyle w:val="PageNumber"/>
      </w:rPr>
      <w:fldChar w:fldCharType="separate"/>
    </w:r>
    <w:r w:rsidR="00D71C09">
      <w:rPr>
        <w:rStyle w:val="PageNumber"/>
        <w:noProof/>
      </w:rPr>
      <w:t>9</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C63" w:rsidRDefault="008D7C63" w:rsidP="008D7C63">
    <w:pPr>
      <w:pStyle w:val="Footer"/>
      <w:rPr>
        <w:rFonts w:ascii="Gulim" w:eastAsia="Gulim" w:cs="Gulim"/>
        <w:color w:val="000000"/>
        <w:sz w:val="16"/>
        <w:szCs w:val="16"/>
        <w:lang w:val="en-PH" w:eastAsia="en-PH"/>
      </w:rPr>
    </w:pPr>
    <w:r w:rsidRPr="009D7C58">
      <w:rPr>
        <w:rFonts w:ascii="Gulim" w:eastAsia="Gulim" w:cs="Gulim"/>
        <w:color w:val="000000"/>
        <w:sz w:val="16"/>
        <w:szCs w:val="16"/>
        <w:lang w:val="en-PH" w:eastAsia="en-PH"/>
      </w:rPr>
      <w:t>I</w:t>
    </w:r>
    <w:r>
      <w:rPr>
        <w:rFonts w:ascii="Gulim" w:eastAsia="Gulim" w:cs="Gulim"/>
        <w:color w:val="000000"/>
        <w:sz w:val="16"/>
        <w:szCs w:val="16"/>
        <w:lang w:val="en-PH" w:eastAsia="en-PH"/>
      </w:rPr>
      <w:t>SSN: XXXX</w:t>
    </w:r>
    <w:r w:rsidRPr="009D7C58">
      <w:rPr>
        <w:rFonts w:ascii="Gulim" w:eastAsia="Gulim" w:cs="Gulim"/>
        <w:color w:val="000000"/>
        <w:sz w:val="16"/>
        <w:szCs w:val="16"/>
        <w:lang w:val="en-PH" w:eastAsia="en-PH"/>
      </w:rPr>
      <w:t>-</w:t>
    </w:r>
    <w:r>
      <w:rPr>
        <w:rFonts w:ascii="Gulim" w:eastAsia="Gulim" w:cs="Gulim"/>
        <w:color w:val="000000"/>
        <w:sz w:val="16"/>
        <w:szCs w:val="16"/>
        <w:lang w:val="en-PH" w:eastAsia="en-PH"/>
      </w:rPr>
      <w:t>XXXX</w:t>
    </w:r>
    <w:r w:rsidRPr="009D7C58">
      <w:rPr>
        <w:rFonts w:ascii="Gulim" w:eastAsia="Gulim" w:cs="Gulim"/>
        <w:color w:val="000000"/>
        <w:sz w:val="16"/>
        <w:szCs w:val="16"/>
        <w:lang w:val="en-PH" w:eastAsia="en-PH"/>
      </w:rPr>
      <w:t xml:space="preserve"> IJ</w:t>
    </w:r>
    <w:r>
      <w:rPr>
        <w:rFonts w:ascii="Gulim" w:eastAsia="Gulim" w:cs="Gulim"/>
        <w:color w:val="000000"/>
        <w:sz w:val="16"/>
        <w:szCs w:val="16"/>
        <w:lang w:val="en-PH" w:eastAsia="en-PH"/>
      </w:rPr>
      <w:t>XX</w:t>
    </w:r>
    <w:r w:rsidRPr="009D7C58">
      <w:rPr>
        <w:rFonts w:ascii="Gulim" w:eastAsia="Gulim" w:cs="Gulim"/>
        <w:color w:val="000000"/>
        <w:sz w:val="16"/>
        <w:szCs w:val="16"/>
        <w:lang w:val="en-PH" w:eastAsia="en-PH"/>
      </w:rPr>
      <w:t xml:space="preserve"> </w:t>
    </w:r>
  </w:p>
  <w:p w:rsidR="008D7C63" w:rsidRDefault="008D7C63" w:rsidP="008D7C63">
    <w:pPr>
      <w:pStyle w:val="Footer"/>
    </w:pPr>
    <w:r w:rsidRPr="009D7C58">
      <w:rPr>
        <w:rFonts w:ascii="Gulim" w:eastAsia="Gulim" w:cs="Gulim"/>
        <w:color w:val="000000"/>
        <w:sz w:val="16"/>
        <w:szCs w:val="16"/>
        <w:lang w:val="en-PH" w:eastAsia="en-PH"/>
      </w:rPr>
      <w:t xml:space="preserve">Copyright </w:t>
    </w:r>
    <w:r w:rsidRPr="009D7C58">
      <w:rPr>
        <w:rFonts w:ascii="Gulim" w:eastAsia="Gulim" w:cs="Gulim" w:hint="eastAsia"/>
        <w:color w:val="000000"/>
        <w:sz w:val="16"/>
        <w:szCs w:val="16"/>
        <w:lang w:val="en-PH" w:eastAsia="en-PH"/>
      </w:rPr>
      <w:t>ⓒ</w:t>
    </w:r>
    <w:r>
      <w:rPr>
        <w:rFonts w:ascii="Gulim" w:eastAsia="Gulim" w:cs="Gulim"/>
        <w:color w:val="000000"/>
        <w:sz w:val="16"/>
        <w:szCs w:val="16"/>
        <w:lang w:val="en-PH" w:eastAsia="en-PH"/>
      </w:rPr>
      <w:t xml:space="preserve"> XXXX</w:t>
    </w:r>
    <w:r w:rsidRPr="009D7C58">
      <w:rPr>
        <w:rFonts w:ascii="Gulim" w:eastAsia="Gulim" w:cs="Gulim"/>
        <w:color w:val="000000"/>
        <w:sz w:val="16"/>
        <w:szCs w:val="16"/>
        <w:lang w:val="en-PH" w:eastAsia="en-PH"/>
      </w:rPr>
      <w:t xml:space="preserve"> SERSC</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20B9" w:rsidRDefault="00CE20B9">
      <w:r>
        <w:separator/>
      </w:r>
    </w:p>
  </w:footnote>
  <w:footnote w:type="continuationSeparator" w:id="0">
    <w:p w:rsidR="00CE20B9" w:rsidRDefault="00CE20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4E6" w:rsidRPr="0009109B" w:rsidRDefault="00B144E6" w:rsidP="008D7C63">
    <w:pPr>
      <w:pStyle w:val="Header"/>
      <w:jc w:val="both"/>
      <w:rPr>
        <w:rFonts w:ascii="Gulim" w:eastAsia="Gulim" w:hAnsi="Gulim"/>
        <w:sz w:val="16"/>
        <w:lang w:eastAsia="ko-KR"/>
      </w:rPr>
    </w:pPr>
    <w:r w:rsidRPr="0009109B">
      <w:rPr>
        <w:rFonts w:ascii="Gulim" w:eastAsia="Gulim" w:hAnsi="Gulim" w:hint="eastAsia"/>
        <w:sz w:val="16"/>
      </w:rPr>
      <w:t>International Journal</w:t>
    </w:r>
    <w:r w:rsidRPr="0009109B">
      <w:rPr>
        <w:rFonts w:ascii="Gulim" w:eastAsia="Gulim" w:hAnsi="Gulim" w:hint="eastAsia"/>
        <w:sz w:val="16"/>
        <w:lang w:eastAsia="ko-KR"/>
      </w:rPr>
      <w:t xml:space="preserve"> of xxxxxx</w:t>
    </w:r>
  </w:p>
  <w:p w:rsidR="00B144E6" w:rsidRPr="0009109B" w:rsidRDefault="008D7C63" w:rsidP="008D7C63">
    <w:pPr>
      <w:pStyle w:val="Header"/>
      <w:jc w:val="both"/>
      <w:rPr>
        <w:rFonts w:ascii="Gulim" w:eastAsia="Gulim" w:hAnsi="Gulim"/>
        <w:sz w:val="16"/>
        <w:lang w:val="it-IT" w:eastAsia="ko-KR"/>
      </w:rPr>
    </w:pPr>
    <w:r>
      <w:rPr>
        <w:rFonts w:ascii="Gulim" w:eastAsia="Gulim" w:hAnsi="Gulim" w:hint="eastAsia"/>
        <w:sz w:val="16"/>
        <w:lang w:val="it-IT"/>
      </w:rPr>
      <w:t xml:space="preserve">Vol. x, No. </w:t>
    </w:r>
    <w:r>
      <w:rPr>
        <w:rFonts w:ascii="Gulim" w:eastAsia="Gulim" w:hAnsi="Gulim"/>
        <w:sz w:val="16"/>
        <w:lang w:val="it-IT"/>
      </w:rPr>
      <w:t>x,</w:t>
    </w:r>
    <w:r w:rsidR="000D3070" w:rsidRPr="0009109B">
      <w:rPr>
        <w:rFonts w:ascii="Gulim" w:eastAsia="Gulim" w:hAnsi="Gulim" w:hint="eastAsia"/>
        <w:sz w:val="16"/>
        <w:lang w:val="it-IT"/>
      </w:rPr>
      <w:t xml:space="preserve"> </w:t>
    </w:r>
    <w:r>
      <w:rPr>
        <w:rFonts w:ascii="Gulim" w:eastAsia="Gulim" w:hAnsi="Gulim"/>
        <w:sz w:val="16"/>
        <w:lang w:val="it-IT"/>
      </w:rPr>
      <w:t>(</w:t>
    </w:r>
    <w:r w:rsidR="000D3070" w:rsidRPr="0009109B">
      <w:rPr>
        <w:rFonts w:ascii="Gulim" w:eastAsia="Gulim" w:hAnsi="Gulim" w:hint="eastAsia"/>
        <w:sz w:val="16"/>
        <w:lang w:val="it-IT"/>
      </w:rPr>
      <w:t>20</w:t>
    </w:r>
    <w:r w:rsidR="000D3070" w:rsidRPr="0009109B">
      <w:rPr>
        <w:rFonts w:ascii="Gulim" w:eastAsia="Gulim" w:hAnsi="Gulim" w:hint="eastAsia"/>
        <w:sz w:val="16"/>
        <w:lang w:val="it-IT" w:eastAsia="ko-KR"/>
      </w:rPr>
      <w:t>xx</w:t>
    </w:r>
    <w:r>
      <w:rPr>
        <w:rFonts w:ascii="Gulim" w:eastAsia="Gulim" w:hAnsi="Gulim"/>
        <w:sz w:val="16"/>
        <w:lang w:val="it-IT" w:eastAsia="ko-KR"/>
      </w:rPr>
      <w:t>)</w:t>
    </w:r>
  </w:p>
  <w:p w:rsidR="00B144E6" w:rsidRPr="0009109B" w:rsidRDefault="00B144E6" w:rsidP="008D7C63">
    <w:pPr>
      <w:pStyle w:val="Header"/>
      <w:jc w:val="both"/>
      <w:rPr>
        <w:rFonts w:ascii="Gulim" w:eastAsia="Gulim" w:hAnsi="Gulim"/>
        <w:sz w:val="16"/>
        <w:lang w:val="it-IT" w:eastAsia="ko-KR"/>
      </w:rPr>
    </w:pPr>
  </w:p>
  <w:p w:rsidR="00B144E6" w:rsidRPr="0009109B" w:rsidRDefault="00B144E6" w:rsidP="008D7C63">
    <w:pPr>
      <w:pStyle w:val="Header"/>
      <w:jc w:val="both"/>
      <w:rPr>
        <w:rFonts w:ascii="Gulim" w:eastAsia="Gulim" w:hAnsi="Gulim"/>
        <w:sz w:val="16"/>
        <w:lang w:val="it-IT" w:eastAsia="ko-K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C63" w:rsidRPr="0009109B" w:rsidRDefault="008D7C63" w:rsidP="008D7C63">
    <w:pPr>
      <w:pStyle w:val="Header"/>
      <w:jc w:val="right"/>
      <w:rPr>
        <w:rFonts w:ascii="Gulim" w:eastAsia="Gulim" w:hAnsi="Gulim"/>
        <w:sz w:val="16"/>
        <w:lang w:eastAsia="ko-KR"/>
      </w:rPr>
    </w:pPr>
    <w:r w:rsidRPr="0009109B">
      <w:rPr>
        <w:rFonts w:ascii="Gulim" w:eastAsia="Gulim" w:hAnsi="Gulim" w:hint="eastAsia"/>
        <w:sz w:val="16"/>
      </w:rPr>
      <w:t>International Journal</w:t>
    </w:r>
    <w:r w:rsidRPr="0009109B">
      <w:rPr>
        <w:rFonts w:ascii="Gulim" w:eastAsia="Gulim" w:hAnsi="Gulim" w:hint="eastAsia"/>
        <w:sz w:val="16"/>
        <w:lang w:eastAsia="ko-KR"/>
      </w:rPr>
      <w:t xml:space="preserve"> of xxxxxx</w:t>
    </w:r>
  </w:p>
  <w:p w:rsidR="008D7C63" w:rsidRPr="0009109B" w:rsidRDefault="008D7C63" w:rsidP="008D7C63">
    <w:pPr>
      <w:pStyle w:val="Header"/>
      <w:jc w:val="right"/>
      <w:rPr>
        <w:rFonts w:ascii="Gulim" w:eastAsia="Gulim" w:hAnsi="Gulim"/>
        <w:sz w:val="16"/>
        <w:lang w:val="it-IT" w:eastAsia="ko-KR"/>
      </w:rPr>
    </w:pPr>
    <w:r>
      <w:rPr>
        <w:rFonts w:ascii="Gulim" w:eastAsia="Gulim" w:hAnsi="Gulim" w:hint="eastAsia"/>
        <w:sz w:val="16"/>
        <w:lang w:val="it-IT"/>
      </w:rPr>
      <w:t xml:space="preserve">Vol. x, No. </w:t>
    </w:r>
    <w:r>
      <w:rPr>
        <w:rFonts w:ascii="Gulim" w:eastAsia="Gulim" w:hAnsi="Gulim"/>
        <w:sz w:val="16"/>
        <w:lang w:val="it-IT"/>
      </w:rPr>
      <w:t>x,</w:t>
    </w:r>
    <w:r w:rsidRPr="0009109B">
      <w:rPr>
        <w:rFonts w:ascii="Gulim" w:eastAsia="Gulim" w:hAnsi="Gulim" w:hint="eastAsia"/>
        <w:sz w:val="16"/>
        <w:lang w:val="it-IT"/>
      </w:rPr>
      <w:t xml:space="preserve"> </w:t>
    </w:r>
    <w:r>
      <w:rPr>
        <w:rFonts w:ascii="Gulim" w:eastAsia="Gulim" w:hAnsi="Gulim"/>
        <w:sz w:val="16"/>
        <w:lang w:val="it-IT"/>
      </w:rPr>
      <w:t>(</w:t>
    </w:r>
    <w:r w:rsidRPr="0009109B">
      <w:rPr>
        <w:rFonts w:ascii="Gulim" w:eastAsia="Gulim" w:hAnsi="Gulim" w:hint="eastAsia"/>
        <w:sz w:val="16"/>
        <w:lang w:val="it-IT"/>
      </w:rPr>
      <w:t>20</w:t>
    </w:r>
    <w:r w:rsidRPr="0009109B">
      <w:rPr>
        <w:rFonts w:ascii="Gulim" w:eastAsia="Gulim" w:hAnsi="Gulim" w:hint="eastAsia"/>
        <w:sz w:val="16"/>
        <w:lang w:val="it-IT" w:eastAsia="ko-KR"/>
      </w:rPr>
      <w:t>xx</w:t>
    </w:r>
    <w:r>
      <w:rPr>
        <w:rFonts w:ascii="Gulim" w:eastAsia="Gulim" w:hAnsi="Gulim"/>
        <w:sz w:val="16"/>
        <w:lang w:val="it-IT" w:eastAsia="ko-KR"/>
      </w:rPr>
      <w:t>)</w:t>
    </w:r>
  </w:p>
  <w:p w:rsidR="008D7C63" w:rsidRPr="0009109B" w:rsidRDefault="008D7C63" w:rsidP="008D7C63">
    <w:pPr>
      <w:pStyle w:val="Header"/>
      <w:jc w:val="right"/>
      <w:rPr>
        <w:rFonts w:ascii="Gulim" w:eastAsia="Gulim" w:hAnsi="Gulim"/>
        <w:sz w:val="16"/>
        <w:lang w:val="it-IT" w:eastAsia="ko-KR"/>
      </w:rPr>
    </w:pPr>
  </w:p>
  <w:p w:rsidR="008D7C63" w:rsidRPr="0009109B" w:rsidRDefault="008D7C63" w:rsidP="008D7C63">
    <w:pPr>
      <w:pStyle w:val="Header"/>
      <w:jc w:val="right"/>
      <w:rPr>
        <w:rFonts w:ascii="Gulim" w:eastAsia="Gulim" w:hAnsi="Gulim"/>
        <w:sz w:val="16"/>
        <w:lang w:val="it-IT" w:eastAsia="ko-KR"/>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C63" w:rsidRPr="0009109B" w:rsidRDefault="008D7C63" w:rsidP="008D7C63">
    <w:pPr>
      <w:pStyle w:val="Header"/>
      <w:jc w:val="right"/>
      <w:rPr>
        <w:rFonts w:ascii="Gulim" w:eastAsia="Gulim" w:hAnsi="Gulim"/>
        <w:sz w:val="16"/>
        <w:lang w:eastAsia="ko-KR"/>
      </w:rPr>
    </w:pPr>
    <w:r w:rsidRPr="0009109B">
      <w:rPr>
        <w:rFonts w:ascii="Gulim" w:eastAsia="Gulim" w:hAnsi="Gulim" w:hint="eastAsia"/>
        <w:sz w:val="16"/>
      </w:rPr>
      <w:t>International Journal</w:t>
    </w:r>
    <w:r w:rsidRPr="0009109B">
      <w:rPr>
        <w:rFonts w:ascii="Gulim" w:eastAsia="Gulim" w:hAnsi="Gulim" w:hint="eastAsia"/>
        <w:sz w:val="16"/>
        <w:lang w:eastAsia="ko-KR"/>
      </w:rPr>
      <w:t xml:space="preserve"> of xxxxxx</w:t>
    </w:r>
  </w:p>
  <w:p w:rsidR="008D7C63" w:rsidRPr="0009109B" w:rsidRDefault="008D7C63" w:rsidP="008D7C63">
    <w:pPr>
      <w:pStyle w:val="Header"/>
      <w:jc w:val="right"/>
      <w:rPr>
        <w:rFonts w:ascii="Gulim" w:eastAsia="Gulim" w:hAnsi="Gulim"/>
        <w:sz w:val="16"/>
        <w:lang w:val="it-IT" w:eastAsia="ko-KR"/>
      </w:rPr>
    </w:pPr>
    <w:r w:rsidRPr="0009109B">
      <w:rPr>
        <w:rFonts w:ascii="Gulim" w:eastAsia="Gulim" w:hAnsi="Gulim" w:hint="eastAsia"/>
        <w:sz w:val="16"/>
        <w:lang w:val="it-IT"/>
      </w:rPr>
      <w:t xml:space="preserve">Vol. x, No. x, </w:t>
    </w:r>
    <w:r>
      <w:rPr>
        <w:rFonts w:ascii="Gulim" w:eastAsia="Gulim" w:hAnsi="Gulim"/>
        <w:sz w:val="16"/>
        <w:lang w:val="it-IT"/>
      </w:rPr>
      <w:t>(20xx)</w:t>
    </w:r>
    <w:r w:rsidRPr="0009109B">
      <w:rPr>
        <w:rFonts w:ascii="Gulim" w:eastAsia="Gulim" w:hAnsi="Gulim" w:hint="eastAsia"/>
        <w:sz w:val="16"/>
        <w:lang w:val="it-IT"/>
      </w:rPr>
      <w:t xml:space="preserve">, </w:t>
    </w:r>
    <w:r>
      <w:rPr>
        <w:rFonts w:ascii="Gulim" w:eastAsia="Gulim" w:hAnsi="Gulim"/>
        <w:sz w:val="16"/>
        <w:lang w:val="it-IT"/>
      </w:rPr>
      <w:t>pp. xx-xx</w:t>
    </w:r>
  </w:p>
  <w:p w:rsidR="008D7C63" w:rsidRPr="0009109B" w:rsidRDefault="008D7C63" w:rsidP="008D7C63">
    <w:pPr>
      <w:pStyle w:val="Header"/>
      <w:jc w:val="right"/>
      <w:rPr>
        <w:rFonts w:ascii="Gulim" w:eastAsia="Gulim" w:hAnsi="Gulim"/>
        <w:sz w:val="16"/>
        <w:lang w:val="it-IT" w:eastAsia="ko-KR"/>
      </w:rPr>
    </w:pPr>
  </w:p>
  <w:p w:rsidR="008D7C63" w:rsidRPr="0009109B" w:rsidRDefault="008D7C63" w:rsidP="008D7C63">
    <w:pPr>
      <w:pStyle w:val="Header"/>
      <w:jc w:val="right"/>
      <w:rPr>
        <w:rFonts w:ascii="Gulim" w:eastAsia="Gulim" w:hAnsi="Gulim"/>
        <w:sz w:val="16"/>
        <w:lang w:val="it-IT" w:eastAsia="ko-K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A3BA4"/>
    <w:multiLevelType w:val="hybridMultilevel"/>
    <w:tmpl w:val="84F646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8710C"/>
    <w:multiLevelType w:val="hybridMultilevel"/>
    <w:tmpl w:val="4AD41742"/>
    <w:lvl w:ilvl="0" w:tplc="5F7A6A9C">
      <w:start w:val="1"/>
      <w:numFmt w:val="decimal"/>
      <w:lvlText w:val="[%1]"/>
      <w:lvlJc w:val="left"/>
      <w:pPr>
        <w:ind w:left="720" w:hanging="360"/>
      </w:pPr>
      <w:rPr>
        <w:rFonts w:ascii="Times New Roman" w:hAnsi="Times New Roman" w:cs="Times New Roman" w:hint="default"/>
        <w:b w:val="0"/>
        <w:bCs w:val="0"/>
        <w:i w:val="0"/>
        <w:iCs w:val="0"/>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861C8"/>
    <w:multiLevelType w:val="multilevel"/>
    <w:tmpl w:val="22E87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81E2C"/>
    <w:multiLevelType w:val="hybridMultilevel"/>
    <w:tmpl w:val="615A2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3743ED"/>
    <w:multiLevelType w:val="hybridMultilevel"/>
    <w:tmpl w:val="A40AA35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D31A10"/>
    <w:multiLevelType w:val="multilevel"/>
    <w:tmpl w:val="22FC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596DA5"/>
    <w:multiLevelType w:val="multilevel"/>
    <w:tmpl w:val="317C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864152"/>
    <w:multiLevelType w:val="hybridMultilevel"/>
    <w:tmpl w:val="310AB3BA"/>
    <w:lvl w:ilvl="0" w:tplc="59B4B2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755360"/>
    <w:multiLevelType w:val="hybridMultilevel"/>
    <w:tmpl w:val="8194A1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1D31F3"/>
    <w:multiLevelType w:val="hybridMultilevel"/>
    <w:tmpl w:val="756C2CF2"/>
    <w:lvl w:ilvl="0" w:tplc="7E646894">
      <w:start w:val="1"/>
      <w:numFmt w:val="decimal"/>
      <w:lvlText w:val="%1."/>
      <w:lvlJc w:val="left"/>
      <w:pPr>
        <w:ind w:left="604" w:hanging="360"/>
      </w:pPr>
      <w:rPr>
        <w:rFonts w:hint="default"/>
      </w:rPr>
    </w:lvl>
    <w:lvl w:ilvl="1" w:tplc="08090019" w:tentative="1">
      <w:start w:val="1"/>
      <w:numFmt w:val="lowerLetter"/>
      <w:lvlText w:val="%2."/>
      <w:lvlJc w:val="left"/>
      <w:pPr>
        <w:ind w:left="1324" w:hanging="360"/>
      </w:pPr>
    </w:lvl>
    <w:lvl w:ilvl="2" w:tplc="0809001B" w:tentative="1">
      <w:start w:val="1"/>
      <w:numFmt w:val="lowerRoman"/>
      <w:lvlText w:val="%3."/>
      <w:lvlJc w:val="right"/>
      <w:pPr>
        <w:ind w:left="2044" w:hanging="180"/>
      </w:pPr>
    </w:lvl>
    <w:lvl w:ilvl="3" w:tplc="0809000F" w:tentative="1">
      <w:start w:val="1"/>
      <w:numFmt w:val="decimal"/>
      <w:lvlText w:val="%4."/>
      <w:lvlJc w:val="left"/>
      <w:pPr>
        <w:ind w:left="2764" w:hanging="360"/>
      </w:pPr>
    </w:lvl>
    <w:lvl w:ilvl="4" w:tplc="08090019" w:tentative="1">
      <w:start w:val="1"/>
      <w:numFmt w:val="lowerLetter"/>
      <w:lvlText w:val="%5."/>
      <w:lvlJc w:val="left"/>
      <w:pPr>
        <w:ind w:left="3484" w:hanging="360"/>
      </w:pPr>
    </w:lvl>
    <w:lvl w:ilvl="5" w:tplc="0809001B" w:tentative="1">
      <w:start w:val="1"/>
      <w:numFmt w:val="lowerRoman"/>
      <w:lvlText w:val="%6."/>
      <w:lvlJc w:val="right"/>
      <w:pPr>
        <w:ind w:left="4204" w:hanging="180"/>
      </w:pPr>
    </w:lvl>
    <w:lvl w:ilvl="6" w:tplc="0809000F" w:tentative="1">
      <w:start w:val="1"/>
      <w:numFmt w:val="decimal"/>
      <w:lvlText w:val="%7."/>
      <w:lvlJc w:val="left"/>
      <w:pPr>
        <w:ind w:left="4924" w:hanging="360"/>
      </w:pPr>
    </w:lvl>
    <w:lvl w:ilvl="7" w:tplc="08090019" w:tentative="1">
      <w:start w:val="1"/>
      <w:numFmt w:val="lowerLetter"/>
      <w:lvlText w:val="%8."/>
      <w:lvlJc w:val="left"/>
      <w:pPr>
        <w:ind w:left="5644" w:hanging="360"/>
      </w:pPr>
    </w:lvl>
    <w:lvl w:ilvl="8" w:tplc="0809001B" w:tentative="1">
      <w:start w:val="1"/>
      <w:numFmt w:val="lowerRoman"/>
      <w:lvlText w:val="%9."/>
      <w:lvlJc w:val="right"/>
      <w:pPr>
        <w:ind w:left="6364" w:hanging="180"/>
      </w:pPr>
    </w:lvl>
  </w:abstractNum>
  <w:abstractNum w:abstractNumId="10" w15:restartNumberingAfterBreak="0">
    <w:nsid w:val="5D2A6443"/>
    <w:multiLevelType w:val="multilevel"/>
    <w:tmpl w:val="4B04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813519"/>
    <w:multiLevelType w:val="hybridMultilevel"/>
    <w:tmpl w:val="9E582A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491F6C"/>
    <w:multiLevelType w:val="hybridMultilevel"/>
    <w:tmpl w:val="100E5C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EAB439B"/>
    <w:multiLevelType w:val="hybridMultilevel"/>
    <w:tmpl w:val="D93A1056"/>
    <w:lvl w:ilvl="0" w:tplc="08090001">
      <w:start w:val="1"/>
      <w:numFmt w:val="bullet"/>
      <w:lvlText w:val=""/>
      <w:lvlJc w:val="left"/>
      <w:pPr>
        <w:ind w:left="964" w:hanging="360"/>
      </w:pPr>
      <w:rPr>
        <w:rFonts w:ascii="Symbol" w:hAnsi="Symbol" w:hint="default"/>
      </w:rPr>
    </w:lvl>
    <w:lvl w:ilvl="1" w:tplc="08090003" w:tentative="1">
      <w:start w:val="1"/>
      <w:numFmt w:val="bullet"/>
      <w:lvlText w:val="o"/>
      <w:lvlJc w:val="left"/>
      <w:pPr>
        <w:ind w:left="1684" w:hanging="360"/>
      </w:pPr>
      <w:rPr>
        <w:rFonts w:ascii="Courier New" w:hAnsi="Courier New" w:cs="Courier New" w:hint="default"/>
      </w:rPr>
    </w:lvl>
    <w:lvl w:ilvl="2" w:tplc="08090005" w:tentative="1">
      <w:start w:val="1"/>
      <w:numFmt w:val="bullet"/>
      <w:lvlText w:val=""/>
      <w:lvlJc w:val="left"/>
      <w:pPr>
        <w:ind w:left="2404" w:hanging="360"/>
      </w:pPr>
      <w:rPr>
        <w:rFonts w:ascii="Wingdings" w:hAnsi="Wingdings" w:hint="default"/>
      </w:rPr>
    </w:lvl>
    <w:lvl w:ilvl="3" w:tplc="08090001" w:tentative="1">
      <w:start w:val="1"/>
      <w:numFmt w:val="bullet"/>
      <w:lvlText w:val=""/>
      <w:lvlJc w:val="left"/>
      <w:pPr>
        <w:ind w:left="3124" w:hanging="360"/>
      </w:pPr>
      <w:rPr>
        <w:rFonts w:ascii="Symbol" w:hAnsi="Symbol" w:hint="default"/>
      </w:rPr>
    </w:lvl>
    <w:lvl w:ilvl="4" w:tplc="08090003" w:tentative="1">
      <w:start w:val="1"/>
      <w:numFmt w:val="bullet"/>
      <w:lvlText w:val="o"/>
      <w:lvlJc w:val="left"/>
      <w:pPr>
        <w:ind w:left="3844" w:hanging="360"/>
      </w:pPr>
      <w:rPr>
        <w:rFonts w:ascii="Courier New" w:hAnsi="Courier New" w:cs="Courier New" w:hint="default"/>
      </w:rPr>
    </w:lvl>
    <w:lvl w:ilvl="5" w:tplc="08090005" w:tentative="1">
      <w:start w:val="1"/>
      <w:numFmt w:val="bullet"/>
      <w:lvlText w:val=""/>
      <w:lvlJc w:val="left"/>
      <w:pPr>
        <w:ind w:left="4564" w:hanging="360"/>
      </w:pPr>
      <w:rPr>
        <w:rFonts w:ascii="Wingdings" w:hAnsi="Wingdings" w:hint="default"/>
      </w:rPr>
    </w:lvl>
    <w:lvl w:ilvl="6" w:tplc="08090001" w:tentative="1">
      <w:start w:val="1"/>
      <w:numFmt w:val="bullet"/>
      <w:lvlText w:val=""/>
      <w:lvlJc w:val="left"/>
      <w:pPr>
        <w:ind w:left="5284" w:hanging="360"/>
      </w:pPr>
      <w:rPr>
        <w:rFonts w:ascii="Symbol" w:hAnsi="Symbol" w:hint="default"/>
      </w:rPr>
    </w:lvl>
    <w:lvl w:ilvl="7" w:tplc="08090003" w:tentative="1">
      <w:start w:val="1"/>
      <w:numFmt w:val="bullet"/>
      <w:lvlText w:val="o"/>
      <w:lvlJc w:val="left"/>
      <w:pPr>
        <w:ind w:left="6004" w:hanging="360"/>
      </w:pPr>
      <w:rPr>
        <w:rFonts w:ascii="Courier New" w:hAnsi="Courier New" w:cs="Courier New" w:hint="default"/>
      </w:rPr>
    </w:lvl>
    <w:lvl w:ilvl="8" w:tplc="08090005" w:tentative="1">
      <w:start w:val="1"/>
      <w:numFmt w:val="bullet"/>
      <w:lvlText w:val=""/>
      <w:lvlJc w:val="left"/>
      <w:pPr>
        <w:ind w:left="6724" w:hanging="360"/>
      </w:pPr>
      <w:rPr>
        <w:rFonts w:ascii="Wingdings" w:hAnsi="Wingdings" w:hint="default"/>
      </w:rPr>
    </w:lvl>
  </w:abstractNum>
  <w:num w:numId="1">
    <w:abstractNumId w:val="10"/>
  </w:num>
  <w:num w:numId="2">
    <w:abstractNumId w:val="6"/>
  </w:num>
  <w:num w:numId="3">
    <w:abstractNumId w:val="2"/>
  </w:num>
  <w:num w:numId="4">
    <w:abstractNumId w:val="8"/>
  </w:num>
  <w:num w:numId="5">
    <w:abstractNumId w:val="3"/>
  </w:num>
  <w:num w:numId="6">
    <w:abstractNumId w:val="11"/>
  </w:num>
  <w:num w:numId="7">
    <w:abstractNumId w:val="0"/>
  </w:num>
  <w:num w:numId="8">
    <w:abstractNumId w:val="7"/>
  </w:num>
  <w:num w:numId="9">
    <w:abstractNumId w:val="1"/>
  </w:num>
  <w:num w:numId="10">
    <w:abstractNumId w:val="4"/>
  </w:num>
  <w:num w:numId="11">
    <w:abstractNumId w:val="12"/>
  </w:num>
  <w:num w:numId="12">
    <w:abstractNumId w:val="5"/>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250"/>
    <w:rsid w:val="0000663A"/>
    <w:rsid w:val="00016ED5"/>
    <w:rsid w:val="0002443C"/>
    <w:rsid w:val="00035591"/>
    <w:rsid w:val="00035D0E"/>
    <w:rsid w:val="000502F1"/>
    <w:rsid w:val="00066021"/>
    <w:rsid w:val="000704FA"/>
    <w:rsid w:val="00070C81"/>
    <w:rsid w:val="00071710"/>
    <w:rsid w:val="00072DD1"/>
    <w:rsid w:val="0008678C"/>
    <w:rsid w:val="000879BF"/>
    <w:rsid w:val="0009109B"/>
    <w:rsid w:val="0009323C"/>
    <w:rsid w:val="00093650"/>
    <w:rsid w:val="000A2998"/>
    <w:rsid w:val="000A6020"/>
    <w:rsid w:val="000B1DFB"/>
    <w:rsid w:val="000D3070"/>
    <w:rsid w:val="000D41DD"/>
    <w:rsid w:val="000D4778"/>
    <w:rsid w:val="000E52AE"/>
    <w:rsid w:val="000F6744"/>
    <w:rsid w:val="00101FD5"/>
    <w:rsid w:val="00103674"/>
    <w:rsid w:val="00106346"/>
    <w:rsid w:val="00123893"/>
    <w:rsid w:val="0012794E"/>
    <w:rsid w:val="001324B3"/>
    <w:rsid w:val="00134C6A"/>
    <w:rsid w:val="00152DB7"/>
    <w:rsid w:val="001611FD"/>
    <w:rsid w:val="001638C5"/>
    <w:rsid w:val="00167FB8"/>
    <w:rsid w:val="00171C89"/>
    <w:rsid w:val="00173351"/>
    <w:rsid w:val="00183A26"/>
    <w:rsid w:val="00192CD0"/>
    <w:rsid w:val="001A0250"/>
    <w:rsid w:val="001B2B00"/>
    <w:rsid w:val="001B3382"/>
    <w:rsid w:val="001C052C"/>
    <w:rsid w:val="001D795F"/>
    <w:rsid w:val="001D7B4D"/>
    <w:rsid w:val="001E1A0E"/>
    <w:rsid w:val="001E38E4"/>
    <w:rsid w:val="001F52F3"/>
    <w:rsid w:val="001F6819"/>
    <w:rsid w:val="002058AB"/>
    <w:rsid w:val="0021368D"/>
    <w:rsid w:val="00214156"/>
    <w:rsid w:val="002159EE"/>
    <w:rsid w:val="00216F9E"/>
    <w:rsid w:val="002636E0"/>
    <w:rsid w:val="00267D9D"/>
    <w:rsid w:val="002751FD"/>
    <w:rsid w:val="00282900"/>
    <w:rsid w:val="00282E0F"/>
    <w:rsid w:val="00283946"/>
    <w:rsid w:val="00283CAC"/>
    <w:rsid w:val="00290930"/>
    <w:rsid w:val="00290CC2"/>
    <w:rsid w:val="00295EAD"/>
    <w:rsid w:val="002C02EE"/>
    <w:rsid w:val="002C184B"/>
    <w:rsid w:val="002D022F"/>
    <w:rsid w:val="002D1A50"/>
    <w:rsid w:val="002E2AA9"/>
    <w:rsid w:val="002E6C77"/>
    <w:rsid w:val="002F16B1"/>
    <w:rsid w:val="002F4BD3"/>
    <w:rsid w:val="002F7515"/>
    <w:rsid w:val="0030470E"/>
    <w:rsid w:val="00305A4D"/>
    <w:rsid w:val="00305D04"/>
    <w:rsid w:val="00314256"/>
    <w:rsid w:val="00325781"/>
    <w:rsid w:val="003324E7"/>
    <w:rsid w:val="0033569F"/>
    <w:rsid w:val="00346776"/>
    <w:rsid w:val="003614B8"/>
    <w:rsid w:val="003620E3"/>
    <w:rsid w:val="00364412"/>
    <w:rsid w:val="00366969"/>
    <w:rsid w:val="0037447E"/>
    <w:rsid w:val="003747BF"/>
    <w:rsid w:val="00383F6A"/>
    <w:rsid w:val="00384D2A"/>
    <w:rsid w:val="003937B7"/>
    <w:rsid w:val="003A35B3"/>
    <w:rsid w:val="003A4D7E"/>
    <w:rsid w:val="003A78F3"/>
    <w:rsid w:val="003B161A"/>
    <w:rsid w:val="003B4C19"/>
    <w:rsid w:val="003C3DB0"/>
    <w:rsid w:val="003C497A"/>
    <w:rsid w:val="003C76DE"/>
    <w:rsid w:val="003D6FE2"/>
    <w:rsid w:val="003D7279"/>
    <w:rsid w:val="003D74D1"/>
    <w:rsid w:val="003E7A75"/>
    <w:rsid w:val="003F53D5"/>
    <w:rsid w:val="00400385"/>
    <w:rsid w:val="00402745"/>
    <w:rsid w:val="00404F29"/>
    <w:rsid w:val="00404FF3"/>
    <w:rsid w:val="00414354"/>
    <w:rsid w:val="004155BC"/>
    <w:rsid w:val="00436FF1"/>
    <w:rsid w:val="00451D97"/>
    <w:rsid w:val="00454591"/>
    <w:rsid w:val="00461556"/>
    <w:rsid w:val="00462B21"/>
    <w:rsid w:val="00472385"/>
    <w:rsid w:val="00481B43"/>
    <w:rsid w:val="004E0B64"/>
    <w:rsid w:val="004E26C3"/>
    <w:rsid w:val="004E764C"/>
    <w:rsid w:val="004F19CE"/>
    <w:rsid w:val="004F612B"/>
    <w:rsid w:val="0050535E"/>
    <w:rsid w:val="00505651"/>
    <w:rsid w:val="005103B8"/>
    <w:rsid w:val="005446A8"/>
    <w:rsid w:val="00546B0D"/>
    <w:rsid w:val="005634C9"/>
    <w:rsid w:val="00567F36"/>
    <w:rsid w:val="0057145A"/>
    <w:rsid w:val="0057210C"/>
    <w:rsid w:val="005747FF"/>
    <w:rsid w:val="00586282"/>
    <w:rsid w:val="005A1351"/>
    <w:rsid w:val="005A2DCE"/>
    <w:rsid w:val="005B0DC2"/>
    <w:rsid w:val="005B1091"/>
    <w:rsid w:val="005B47E1"/>
    <w:rsid w:val="005B59F4"/>
    <w:rsid w:val="005C64D5"/>
    <w:rsid w:val="005C7BD4"/>
    <w:rsid w:val="005D3F94"/>
    <w:rsid w:val="005E199F"/>
    <w:rsid w:val="005F27AB"/>
    <w:rsid w:val="00602F43"/>
    <w:rsid w:val="00610C7B"/>
    <w:rsid w:val="00621787"/>
    <w:rsid w:val="00630BF3"/>
    <w:rsid w:val="00637106"/>
    <w:rsid w:val="00644694"/>
    <w:rsid w:val="00660E5A"/>
    <w:rsid w:val="00664BB9"/>
    <w:rsid w:val="00671F1F"/>
    <w:rsid w:val="00674135"/>
    <w:rsid w:val="00692F48"/>
    <w:rsid w:val="00694CEE"/>
    <w:rsid w:val="006A40D2"/>
    <w:rsid w:val="006A4DD3"/>
    <w:rsid w:val="006A500B"/>
    <w:rsid w:val="006A53E6"/>
    <w:rsid w:val="006A6F8E"/>
    <w:rsid w:val="006B18F5"/>
    <w:rsid w:val="006D0EBA"/>
    <w:rsid w:val="006D6E42"/>
    <w:rsid w:val="006E0B28"/>
    <w:rsid w:val="006E75CD"/>
    <w:rsid w:val="006F71A9"/>
    <w:rsid w:val="00703D8B"/>
    <w:rsid w:val="00704C8F"/>
    <w:rsid w:val="00724D79"/>
    <w:rsid w:val="007309C1"/>
    <w:rsid w:val="00731898"/>
    <w:rsid w:val="0074080E"/>
    <w:rsid w:val="0075497D"/>
    <w:rsid w:val="00785581"/>
    <w:rsid w:val="0078612D"/>
    <w:rsid w:val="00795FAC"/>
    <w:rsid w:val="007A32C7"/>
    <w:rsid w:val="007A66B4"/>
    <w:rsid w:val="007C1CC2"/>
    <w:rsid w:val="007C40AF"/>
    <w:rsid w:val="007D0AD8"/>
    <w:rsid w:val="007E173B"/>
    <w:rsid w:val="007E3288"/>
    <w:rsid w:val="007F6B5E"/>
    <w:rsid w:val="00813227"/>
    <w:rsid w:val="00820F94"/>
    <w:rsid w:val="008232BF"/>
    <w:rsid w:val="00862FC7"/>
    <w:rsid w:val="008638AA"/>
    <w:rsid w:val="00867CD0"/>
    <w:rsid w:val="00870422"/>
    <w:rsid w:val="00877C3C"/>
    <w:rsid w:val="00882843"/>
    <w:rsid w:val="008A2330"/>
    <w:rsid w:val="008B71E2"/>
    <w:rsid w:val="008C1C4F"/>
    <w:rsid w:val="008D4754"/>
    <w:rsid w:val="008D7C63"/>
    <w:rsid w:val="008E57CB"/>
    <w:rsid w:val="008F07A3"/>
    <w:rsid w:val="008F5E0F"/>
    <w:rsid w:val="009007BD"/>
    <w:rsid w:val="009120E8"/>
    <w:rsid w:val="00917132"/>
    <w:rsid w:val="009444DC"/>
    <w:rsid w:val="009525DC"/>
    <w:rsid w:val="00964399"/>
    <w:rsid w:val="009720C4"/>
    <w:rsid w:val="009734C5"/>
    <w:rsid w:val="00985F48"/>
    <w:rsid w:val="00985FCA"/>
    <w:rsid w:val="009926C7"/>
    <w:rsid w:val="009B398D"/>
    <w:rsid w:val="009B4966"/>
    <w:rsid w:val="009C0DD8"/>
    <w:rsid w:val="009D0FBE"/>
    <w:rsid w:val="009D3D58"/>
    <w:rsid w:val="009E2BAE"/>
    <w:rsid w:val="00A06A1E"/>
    <w:rsid w:val="00A15EB4"/>
    <w:rsid w:val="00A31904"/>
    <w:rsid w:val="00A37B2E"/>
    <w:rsid w:val="00A37C2E"/>
    <w:rsid w:val="00A44D66"/>
    <w:rsid w:val="00A60749"/>
    <w:rsid w:val="00A60790"/>
    <w:rsid w:val="00A721C9"/>
    <w:rsid w:val="00A73008"/>
    <w:rsid w:val="00A85358"/>
    <w:rsid w:val="00A86DE9"/>
    <w:rsid w:val="00AB1C58"/>
    <w:rsid w:val="00AB2352"/>
    <w:rsid w:val="00AB2358"/>
    <w:rsid w:val="00AB7A1F"/>
    <w:rsid w:val="00AC48B3"/>
    <w:rsid w:val="00AD1CEE"/>
    <w:rsid w:val="00AD28B5"/>
    <w:rsid w:val="00AD395B"/>
    <w:rsid w:val="00AD3AB7"/>
    <w:rsid w:val="00AF367A"/>
    <w:rsid w:val="00B06D7A"/>
    <w:rsid w:val="00B144E6"/>
    <w:rsid w:val="00B20294"/>
    <w:rsid w:val="00B24C52"/>
    <w:rsid w:val="00B307A0"/>
    <w:rsid w:val="00B33295"/>
    <w:rsid w:val="00B45B3A"/>
    <w:rsid w:val="00B45E25"/>
    <w:rsid w:val="00B62C07"/>
    <w:rsid w:val="00B731CD"/>
    <w:rsid w:val="00B82C19"/>
    <w:rsid w:val="00B83AEA"/>
    <w:rsid w:val="00B94624"/>
    <w:rsid w:val="00BA1499"/>
    <w:rsid w:val="00BA3666"/>
    <w:rsid w:val="00BC6BC4"/>
    <w:rsid w:val="00BD69E7"/>
    <w:rsid w:val="00BE13F2"/>
    <w:rsid w:val="00BF18DB"/>
    <w:rsid w:val="00BF44D5"/>
    <w:rsid w:val="00BF5651"/>
    <w:rsid w:val="00C16E9C"/>
    <w:rsid w:val="00C261C5"/>
    <w:rsid w:val="00C35900"/>
    <w:rsid w:val="00C426BC"/>
    <w:rsid w:val="00C4584E"/>
    <w:rsid w:val="00C641F7"/>
    <w:rsid w:val="00C66FBE"/>
    <w:rsid w:val="00C76551"/>
    <w:rsid w:val="00C829A9"/>
    <w:rsid w:val="00C879C7"/>
    <w:rsid w:val="00C94E5D"/>
    <w:rsid w:val="00C97F4E"/>
    <w:rsid w:val="00CA0007"/>
    <w:rsid w:val="00CA4BFD"/>
    <w:rsid w:val="00CA5BAA"/>
    <w:rsid w:val="00CB1710"/>
    <w:rsid w:val="00CB7CE3"/>
    <w:rsid w:val="00CC6448"/>
    <w:rsid w:val="00CD37D2"/>
    <w:rsid w:val="00CE20B9"/>
    <w:rsid w:val="00CE710F"/>
    <w:rsid w:val="00CF4D7B"/>
    <w:rsid w:val="00CF73FA"/>
    <w:rsid w:val="00D01A29"/>
    <w:rsid w:val="00D0713E"/>
    <w:rsid w:val="00D10437"/>
    <w:rsid w:val="00D146D9"/>
    <w:rsid w:val="00D16561"/>
    <w:rsid w:val="00D16DD7"/>
    <w:rsid w:val="00D178E1"/>
    <w:rsid w:val="00D23AA8"/>
    <w:rsid w:val="00D2793C"/>
    <w:rsid w:val="00D31B04"/>
    <w:rsid w:val="00D32C9F"/>
    <w:rsid w:val="00D33D74"/>
    <w:rsid w:val="00D40783"/>
    <w:rsid w:val="00D4233D"/>
    <w:rsid w:val="00D6065B"/>
    <w:rsid w:val="00D71C09"/>
    <w:rsid w:val="00D745BD"/>
    <w:rsid w:val="00D83E7B"/>
    <w:rsid w:val="00DA4F45"/>
    <w:rsid w:val="00DC49E5"/>
    <w:rsid w:val="00DC6EAA"/>
    <w:rsid w:val="00DE5B27"/>
    <w:rsid w:val="00DF5C7A"/>
    <w:rsid w:val="00E04F6F"/>
    <w:rsid w:val="00E100AE"/>
    <w:rsid w:val="00E22B0B"/>
    <w:rsid w:val="00E2513E"/>
    <w:rsid w:val="00E30BF8"/>
    <w:rsid w:val="00E4048B"/>
    <w:rsid w:val="00E536A6"/>
    <w:rsid w:val="00E558BF"/>
    <w:rsid w:val="00E626FF"/>
    <w:rsid w:val="00E74567"/>
    <w:rsid w:val="00E85347"/>
    <w:rsid w:val="00E9032C"/>
    <w:rsid w:val="00E9761A"/>
    <w:rsid w:val="00EA4620"/>
    <w:rsid w:val="00ED3016"/>
    <w:rsid w:val="00EE6052"/>
    <w:rsid w:val="00EF42B4"/>
    <w:rsid w:val="00EF4F86"/>
    <w:rsid w:val="00F054BA"/>
    <w:rsid w:val="00F13F60"/>
    <w:rsid w:val="00F14974"/>
    <w:rsid w:val="00F239D6"/>
    <w:rsid w:val="00F252C1"/>
    <w:rsid w:val="00F32629"/>
    <w:rsid w:val="00F3411A"/>
    <w:rsid w:val="00F34C2A"/>
    <w:rsid w:val="00F41800"/>
    <w:rsid w:val="00F4422C"/>
    <w:rsid w:val="00F71884"/>
    <w:rsid w:val="00F80184"/>
    <w:rsid w:val="00F8073F"/>
    <w:rsid w:val="00F8584C"/>
    <w:rsid w:val="00F85A4C"/>
    <w:rsid w:val="00F909B9"/>
    <w:rsid w:val="00F90A30"/>
    <w:rsid w:val="00F96B0F"/>
    <w:rsid w:val="00F978FC"/>
    <w:rsid w:val="00FA7A33"/>
    <w:rsid w:val="00FB2C04"/>
    <w:rsid w:val="00FB2E89"/>
    <w:rsid w:val="00FB66A3"/>
    <w:rsid w:val="00FB7389"/>
    <w:rsid w:val="00FE0436"/>
    <w:rsid w:val="00FE36CD"/>
    <w:rsid w:val="00FE7904"/>
    <w:rsid w:val="00FF014A"/>
    <w:rsid w:val="00FF1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EDB502"/>
  <w15:chartTrackingRefBased/>
  <w15:docId w15:val="{A6DDA48A-3ABD-40E1-A68D-0F879DC1C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893"/>
  </w:style>
  <w:style w:type="paragraph" w:styleId="Heading1">
    <w:name w:val="heading 1"/>
    <w:basedOn w:val="Normal"/>
    <w:next w:val="Normal"/>
    <w:link w:val="Heading1Char"/>
    <w:uiPriority w:val="9"/>
    <w:qFormat/>
    <w:pPr>
      <w:keepNext/>
      <w:jc w:val="center"/>
      <w:outlineLvl w:val="0"/>
    </w:pPr>
    <w:rPr>
      <w:b/>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link w:val="Heading3Char"/>
    <w:uiPriority w:val="9"/>
    <w:semiHidden/>
    <w:unhideWhenUsed/>
    <w:qFormat/>
    <w:rsid w:val="00637106"/>
    <w:pPr>
      <w:keepNext/>
      <w:spacing w:before="240" w:after="60"/>
      <w:outlineLvl w:val="2"/>
    </w:pPr>
    <w:rPr>
      <w:rFonts w:ascii="Cambria" w:eastAsia="Malgun Gothic"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firstLine="245"/>
      <w:jc w:val="both"/>
    </w:pPr>
    <w:rPr>
      <w:spacing w:val="6"/>
      <w:sz w:val="22"/>
    </w:rPr>
  </w:style>
  <w:style w:type="paragraph" w:styleId="BodyText">
    <w:name w:val="Body Text"/>
    <w:basedOn w:val="Normal"/>
    <w:pPr>
      <w:jc w:val="both"/>
    </w:pPr>
    <w:rPr>
      <w:i/>
      <w:sz w:val="22"/>
    </w:rPr>
  </w:style>
  <w:style w:type="paragraph" w:styleId="BodyTextIndent2">
    <w:name w:val="Body Text Indent 2"/>
    <w:basedOn w:val="Normal"/>
    <w:pPr>
      <w:spacing w:before="120" w:line="260" w:lineRule="exact"/>
      <w:ind w:firstLine="245"/>
    </w:pPr>
    <w:rPr>
      <w:spacing w:val="6"/>
      <w:sz w:val="22"/>
    </w:rPr>
  </w:style>
  <w:style w:type="paragraph" w:styleId="List">
    <w:name w:val="List"/>
    <w:basedOn w:val="Normal"/>
    <w:pPr>
      <w:ind w:left="360" w:hanging="360"/>
    </w:pPr>
  </w:style>
  <w:style w:type="paragraph" w:styleId="BodyTextIndent3">
    <w:name w:val="Body Text Indent 3"/>
    <w:basedOn w:val="Normal"/>
    <w:pPr>
      <w:spacing w:before="120" w:line="260" w:lineRule="exact"/>
      <w:ind w:firstLine="270"/>
      <w:jc w:val="both"/>
    </w:pPr>
    <w:rPr>
      <w:sz w:val="22"/>
    </w:rPr>
  </w:style>
  <w:style w:type="paragraph" w:styleId="BodyText2">
    <w:name w:val="Body Text 2"/>
    <w:basedOn w:val="Normal"/>
    <w:pPr>
      <w:spacing w:line="260" w:lineRule="exact"/>
    </w:pPr>
    <w:rPr>
      <w:spacing w:val="6"/>
      <w:sz w:val="22"/>
    </w:rPr>
  </w:style>
  <w:style w:type="paragraph" w:styleId="Header">
    <w:name w:val="header"/>
    <w:basedOn w:val="Normal"/>
    <w:rsid w:val="00016ED5"/>
    <w:pPr>
      <w:tabs>
        <w:tab w:val="center" w:pos="4252"/>
        <w:tab w:val="right" w:pos="8504"/>
      </w:tabs>
      <w:snapToGrid w:val="0"/>
    </w:pPr>
  </w:style>
  <w:style w:type="paragraph" w:styleId="Footer">
    <w:name w:val="footer"/>
    <w:basedOn w:val="Normal"/>
    <w:link w:val="FooterChar"/>
    <w:uiPriority w:val="99"/>
    <w:rsid w:val="00016ED5"/>
    <w:pPr>
      <w:tabs>
        <w:tab w:val="center" w:pos="4252"/>
        <w:tab w:val="right" w:pos="8504"/>
      </w:tabs>
      <w:snapToGrid w:val="0"/>
    </w:pPr>
  </w:style>
  <w:style w:type="character" w:styleId="PageNumber">
    <w:name w:val="page number"/>
    <w:basedOn w:val="DefaultParagraphFont"/>
    <w:rsid w:val="00016ED5"/>
  </w:style>
  <w:style w:type="paragraph" w:customStyle="1" w:styleId="References">
    <w:name w:val="References"/>
    <w:basedOn w:val="Normal"/>
    <w:rsid w:val="000D3070"/>
    <w:pPr>
      <w:jc w:val="both"/>
    </w:pPr>
    <w:rPr>
      <w:rFonts w:eastAsia="Malgun Gothic"/>
      <w:sz w:val="18"/>
    </w:rPr>
  </w:style>
  <w:style w:type="character" w:customStyle="1" w:styleId="Heading3Char">
    <w:name w:val="Heading 3 Char"/>
    <w:link w:val="Heading3"/>
    <w:uiPriority w:val="9"/>
    <w:semiHidden/>
    <w:rsid w:val="00637106"/>
    <w:rPr>
      <w:rFonts w:ascii="Cambria" w:eastAsia="Malgun Gothic" w:hAnsi="Cambria" w:cs="Times New Roman"/>
      <w:b/>
      <w:bCs/>
      <w:sz w:val="26"/>
      <w:szCs w:val="26"/>
      <w:lang w:eastAsia="en-US"/>
    </w:rPr>
  </w:style>
  <w:style w:type="paragraph" w:styleId="NormalWeb">
    <w:name w:val="Normal (Web)"/>
    <w:basedOn w:val="Normal"/>
    <w:uiPriority w:val="99"/>
    <w:semiHidden/>
    <w:unhideWhenUsed/>
    <w:rsid w:val="00637106"/>
    <w:pPr>
      <w:spacing w:before="100" w:beforeAutospacing="1" w:after="100" w:afterAutospacing="1"/>
    </w:pPr>
    <w:rPr>
      <w:rFonts w:eastAsia="Times New Roman"/>
      <w:sz w:val="24"/>
      <w:szCs w:val="24"/>
      <w:lang w:eastAsia="ko-KR"/>
    </w:rPr>
  </w:style>
  <w:style w:type="character" w:customStyle="1" w:styleId="apple-converted-space">
    <w:name w:val="apple-converted-space"/>
    <w:rsid w:val="00637106"/>
  </w:style>
  <w:style w:type="character" w:customStyle="1" w:styleId="journal-title">
    <w:name w:val="journal-title"/>
    <w:rsid w:val="00637106"/>
  </w:style>
  <w:style w:type="character" w:styleId="Hyperlink">
    <w:name w:val="Hyperlink"/>
    <w:uiPriority w:val="99"/>
    <w:unhideWhenUsed/>
    <w:rsid w:val="00637106"/>
    <w:rPr>
      <w:color w:val="0000FF"/>
      <w:u w:val="single"/>
    </w:rPr>
  </w:style>
  <w:style w:type="character" w:styleId="Strong">
    <w:name w:val="Strong"/>
    <w:uiPriority w:val="22"/>
    <w:qFormat/>
    <w:rsid w:val="00AB1C58"/>
    <w:rPr>
      <w:b/>
      <w:bCs/>
    </w:rPr>
  </w:style>
  <w:style w:type="paragraph" w:styleId="FootnoteText">
    <w:name w:val="footnote text"/>
    <w:basedOn w:val="Normal"/>
    <w:link w:val="FootnoteTextChar"/>
    <w:uiPriority w:val="99"/>
    <w:semiHidden/>
    <w:unhideWhenUsed/>
    <w:rsid w:val="00364412"/>
    <w:pPr>
      <w:snapToGrid w:val="0"/>
    </w:pPr>
    <w:rPr>
      <w:sz w:val="18"/>
      <w:szCs w:val="18"/>
    </w:rPr>
  </w:style>
  <w:style w:type="character" w:customStyle="1" w:styleId="FootnoteTextChar">
    <w:name w:val="Footnote Text Char"/>
    <w:link w:val="FootnoteText"/>
    <w:uiPriority w:val="99"/>
    <w:semiHidden/>
    <w:rsid w:val="00364412"/>
    <w:rPr>
      <w:sz w:val="18"/>
      <w:szCs w:val="18"/>
      <w:lang w:eastAsia="en-US"/>
    </w:rPr>
  </w:style>
  <w:style w:type="character" w:styleId="FootnoteReference">
    <w:name w:val="footnote reference"/>
    <w:uiPriority w:val="99"/>
    <w:semiHidden/>
    <w:unhideWhenUsed/>
    <w:rsid w:val="00364412"/>
    <w:rPr>
      <w:vertAlign w:val="superscript"/>
    </w:rPr>
  </w:style>
  <w:style w:type="table" w:styleId="TableGrid">
    <w:name w:val="Table Grid"/>
    <w:basedOn w:val="TableNormal"/>
    <w:uiPriority w:val="59"/>
    <w:rsid w:val="00B45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6">
    <w:name w:val="Medium Shading 2 Accent 6"/>
    <w:basedOn w:val="TableNormal"/>
    <w:uiPriority w:val="64"/>
    <w:rsid w:val="006D6E4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6D6E4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FooterChar">
    <w:name w:val="Footer Char"/>
    <w:link w:val="Footer"/>
    <w:uiPriority w:val="99"/>
    <w:locked/>
    <w:rsid w:val="008D7C63"/>
  </w:style>
  <w:style w:type="paragraph" w:styleId="Title">
    <w:name w:val="Title"/>
    <w:basedOn w:val="Normal"/>
    <w:next w:val="Normal"/>
    <w:link w:val="TitleChar"/>
    <w:uiPriority w:val="10"/>
    <w:qFormat/>
    <w:rsid w:val="006A500B"/>
    <w:pPr>
      <w:contextualSpacing/>
    </w:pPr>
    <w:rPr>
      <w:rFonts w:asciiTheme="majorHAnsi" w:eastAsiaTheme="majorEastAsia" w:hAnsiTheme="majorHAnsi" w:cstheme="majorBidi"/>
      <w:spacing w:val="-10"/>
      <w:kern w:val="28"/>
      <w:sz w:val="56"/>
      <w:szCs w:val="56"/>
      <w:lang w:val="en-ZA"/>
    </w:rPr>
  </w:style>
  <w:style w:type="character" w:customStyle="1" w:styleId="TitleChar">
    <w:name w:val="Title Char"/>
    <w:basedOn w:val="DefaultParagraphFont"/>
    <w:link w:val="Title"/>
    <w:uiPriority w:val="10"/>
    <w:rsid w:val="006A500B"/>
    <w:rPr>
      <w:rFonts w:asciiTheme="majorHAnsi" w:eastAsiaTheme="majorEastAsia" w:hAnsiTheme="majorHAnsi" w:cstheme="majorBidi"/>
      <w:spacing w:val="-10"/>
      <w:kern w:val="28"/>
      <w:sz w:val="56"/>
      <w:szCs w:val="56"/>
      <w:lang w:val="en-ZA"/>
    </w:rPr>
  </w:style>
  <w:style w:type="paragraph" w:styleId="Bibliography">
    <w:name w:val="Bibliography"/>
    <w:basedOn w:val="Normal"/>
    <w:next w:val="Normal"/>
    <w:uiPriority w:val="37"/>
    <w:unhideWhenUsed/>
    <w:rsid w:val="00D31B04"/>
    <w:pPr>
      <w:spacing w:after="160" w:line="259" w:lineRule="auto"/>
    </w:pPr>
    <w:rPr>
      <w:rFonts w:asciiTheme="minorHAnsi" w:eastAsiaTheme="minorHAnsi" w:hAnsiTheme="minorHAnsi" w:cstheme="minorBidi"/>
      <w:sz w:val="22"/>
      <w:szCs w:val="22"/>
      <w:lang w:val="en-ZA"/>
    </w:rPr>
  </w:style>
  <w:style w:type="character" w:customStyle="1" w:styleId="Heading1Char">
    <w:name w:val="Heading 1 Char"/>
    <w:basedOn w:val="DefaultParagraphFont"/>
    <w:link w:val="Heading1"/>
    <w:uiPriority w:val="9"/>
    <w:rsid w:val="009720C4"/>
    <w:rPr>
      <w:b/>
      <w:sz w:val="28"/>
    </w:rPr>
  </w:style>
  <w:style w:type="paragraph" w:styleId="ListParagraph">
    <w:name w:val="List Paragraph"/>
    <w:basedOn w:val="Normal"/>
    <w:uiPriority w:val="34"/>
    <w:qFormat/>
    <w:rsid w:val="009720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24526">
      <w:bodyDiv w:val="1"/>
      <w:marLeft w:val="0"/>
      <w:marRight w:val="0"/>
      <w:marTop w:val="0"/>
      <w:marBottom w:val="0"/>
      <w:divBdr>
        <w:top w:val="none" w:sz="0" w:space="0" w:color="auto"/>
        <w:left w:val="none" w:sz="0" w:space="0" w:color="auto"/>
        <w:bottom w:val="none" w:sz="0" w:space="0" w:color="auto"/>
        <w:right w:val="none" w:sz="0" w:space="0" w:color="auto"/>
      </w:divBdr>
    </w:div>
    <w:div w:id="290867537">
      <w:bodyDiv w:val="1"/>
      <w:marLeft w:val="0"/>
      <w:marRight w:val="0"/>
      <w:marTop w:val="0"/>
      <w:marBottom w:val="0"/>
      <w:divBdr>
        <w:top w:val="none" w:sz="0" w:space="0" w:color="auto"/>
        <w:left w:val="none" w:sz="0" w:space="0" w:color="auto"/>
        <w:bottom w:val="none" w:sz="0" w:space="0" w:color="auto"/>
        <w:right w:val="none" w:sz="0" w:space="0" w:color="auto"/>
      </w:divBdr>
    </w:div>
    <w:div w:id="445123063">
      <w:bodyDiv w:val="1"/>
      <w:marLeft w:val="0"/>
      <w:marRight w:val="0"/>
      <w:marTop w:val="0"/>
      <w:marBottom w:val="0"/>
      <w:divBdr>
        <w:top w:val="none" w:sz="0" w:space="0" w:color="auto"/>
        <w:left w:val="none" w:sz="0" w:space="0" w:color="auto"/>
        <w:bottom w:val="none" w:sz="0" w:space="0" w:color="auto"/>
        <w:right w:val="none" w:sz="0" w:space="0" w:color="auto"/>
      </w:divBdr>
    </w:div>
    <w:div w:id="977565954">
      <w:bodyDiv w:val="1"/>
      <w:marLeft w:val="0"/>
      <w:marRight w:val="0"/>
      <w:marTop w:val="0"/>
      <w:marBottom w:val="0"/>
      <w:divBdr>
        <w:top w:val="none" w:sz="0" w:space="0" w:color="auto"/>
        <w:left w:val="none" w:sz="0" w:space="0" w:color="auto"/>
        <w:bottom w:val="none" w:sz="0" w:space="0" w:color="auto"/>
        <w:right w:val="none" w:sz="0" w:space="0" w:color="auto"/>
      </w:divBdr>
      <w:divsChild>
        <w:div w:id="2002198989">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 w:id="1033269490">
      <w:bodyDiv w:val="1"/>
      <w:marLeft w:val="0"/>
      <w:marRight w:val="0"/>
      <w:marTop w:val="0"/>
      <w:marBottom w:val="0"/>
      <w:divBdr>
        <w:top w:val="none" w:sz="0" w:space="0" w:color="auto"/>
        <w:left w:val="none" w:sz="0" w:space="0" w:color="auto"/>
        <w:bottom w:val="none" w:sz="0" w:space="0" w:color="auto"/>
        <w:right w:val="none" w:sz="0" w:space="0" w:color="auto"/>
      </w:divBdr>
    </w:div>
    <w:div w:id="1535921921">
      <w:bodyDiv w:val="1"/>
      <w:marLeft w:val="0"/>
      <w:marRight w:val="0"/>
      <w:marTop w:val="0"/>
      <w:marBottom w:val="0"/>
      <w:divBdr>
        <w:top w:val="none" w:sz="0" w:space="0" w:color="auto"/>
        <w:left w:val="none" w:sz="0" w:space="0" w:color="auto"/>
        <w:bottom w:val="none" w:sz="0" w:space="0" w:color="auto"/>
        <w:right w:val="none" w:sz="0" w:space="0" w:color="auto"/>
      </w:divBdr>
    </w:div>
    <w:div w:id="1768576671">
      <w:bodyDiv w:val="1"/>
      <w:marLeft w:val="0"/>
      <w:marRight w:val="0"/>
      <w:marTop w:val="0"/>
      <w:marBottom w:val="0"/>
      <w:divBdr>
        <w:top w:val="none" w:sz="0" w:space="0" w:color="auto"/>
        <w:left w:val="none" w:sz="0" w:space="0" w:color="auto"/>
        <w:bottom w:val="none" w:sz="0" w:space="0" w:color="auto"/>
        <w:right w:val="none" w:sz="0" w:space="0" w:color="auto"/>
      </w:divBdr>
    </w:div>
    <w:div w:id="1808234049">
      <w:bodyDiv w:val="1"/>
      <w:marLeft w:val="0"/>
      <w:marRight w:val="0"/>
      <w:marTop w:val="0"/>
      <w:marBottom w:val="0"/>
      <w:divBdr>
        <w:top w:val="none" w:sz="0" w:space="0" w:color="auto"/>
        <w:left w:val="none" w:sz="0" w:space="0" w:color="auto"/>
        <w:bottom w:val="none" w:sz="0" w:space="0" w:color="auto"/>
        <w:right w:val="none" w:sz="0" w:space="0" w:color="auto"/>
      </w:divBdr>
      <w:divsChild>
        <w:div w:id="253173328">
          <w:marLeft w:val="0"/>
          <w:marRight w:val="0"/>
          <w:marTop w:val="0"/>
          <w:marBottom w:val="0"/>
          <w:divBdr>
            <w:top w:val="none" w:sz="0" w:space="0" w:color="auto"/>
            <w:left w:val="none" w:sz="0" w:space="0" w:color="auto"/>
            <w:bottom w:val="none" w:sz="0" w:space="0" w:color="auto"/>
            <w:right w:val="none" w:sz="0" w:space="0" w:color="auto"/>
          </w:divBdr>
        </w:div>
      </w:divsChild>
    </w:div>
  </w:divs>
  <w:encoding w:val="ks_c_5601-1987"/>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s://github.com/rks972633/MScFE_Capston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jpe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Hea</b:Tag>
    <b:SourceType>InternetSite</b:SourceType>
    <b:Guid>{05396347-87B3-44C8-81ED-9DB8380787C2}</b:Guid>
    <b:URL>https://www.theguardian.com/books/2010/mar/07/the-greatest-trade-ever-by-gregory-zuckerman-review-heather-stewart</b:URL>
    <b:Author>
      <b:Author>
        <b:NameList>
          <b:Person>
            <b:Last>Stewart</b:Last>
            <b:First>Heather</b:First>
          </b:Person>
        </b:NameList>
      </b:Author>
    </b:Author>
    <b:Year>2010</b:Year>
    <b:Month>March</b:Month>
    <b:Day>07</b:Day>
    <b:RefOrder>1</b:RefOrder>
  </b:Source>
  <b:Source>
    <b:Tag>ihs21</b:Tag>
    <b:SourceType>DocumentFromInternetSite</b:SourceType>
    <b:Guid>{40350034-CD3F-4D13-8621-3DC3C597B696}</b:Guid>
    <b:Year>2021</b:Year>
    <b:URL>https://cdn.ihsmarkit.com/www/pdf/1221/CDS-Indices-Primer---2021.pdf</b:URL>
    <b:Author>
      <b:Author>
        <b:NameList>
          <b:Person>
            <b:Last>Markit</b:Last>
            <b:First>IHS</b:First>
          </b:Person>
        </b:NameList>
      </b:Author>
    </b:Author>
    <b:RefOrder>2</b:RefOrder>
  </b:Source>
  <b:Source>
    <b:Tag>Bom</b:Tag>
    <b:SourceType>JournalArticle</b:SourceType>
    <b:Guid>{7AB7C28F-D947-4D90-9907-67BBEACE3683}</b:Guid>
    <b:Author>
      <b:Author>
        <b:NameList>
          <b:Person>
            <b:Last>Bomfim</b:Last>
            <b:First>Antulio</b:First>
            <b:Middle>N.</b:Middle>
          </b:Person>
        </b:NameList>
      </b:Author>
    </b:Author>
    <b:Title>Credit Default Swaps</b:Title>
    <b:JournalName>Finance and Economics Discussion Series 2022-23</b:JournalName>
    <b:Publisher>Washington: Board of Governors of the Federal Reserve System</b:Publisher>
    <b:URL>https://doi.org/10.17016/FEDS.2022.023</b:URL>
    <b:Year>2022</b:Year>
    <b:RefOrder>3</b:RefOrder>
  </b:Source>
  <b:Source>
    <b:Tag>Ell09</b:Tag>
    <b:SourceType>Report</b:SourceType>
    <b:Guid>{C40DD69C-C7AE-495D-B4B6-05B4D2EE5981}</b:Guid>
    <b:Author>
      <b:Author>
        <b:NameList>
          <b:Person>
            <b:Last>Elliott</b:Last>
            <b:First>Ms</b:First>
            <b:Middle>Jennifer A., et al</b:Middle>
          </b:Person>
        </b:NameList>
      </b:Author>
    </b:Author>
    <b:Title>Credit derivatives: systemic risks and policy options?</b:Title>
    <b:Year>2009</b:Year>
    <b:Publisher>International Monetary Fund</b:Publisher>
    <b:RefOrder>4</b:RefOrder>
  </b:Source>
  <b:Source>
    <b:Tag>Avi14</b:Tag>
    <b:SourceType>JournalArticle</b:SourceType>
    <b:Guid>{AC9CEE1C-52B6-46E1-AB47-77B05664F0A0}</b:Guid>
    <b:Title>Are CDS spreads predictable? An analysis of linear and non-linear forecasting models.</b:Title>
    <b:Year>2014</b:Year>
    <b:Author>
      <b:Author>
        <b:NameList>
          <b:Person>
            <b:Last>Avino</b:Last>
            <b:First>Davide,</b:First>
            <b:Middle>and Ogonna Nneji.</b:Middle>
          </b:Person>
        </b:NameList>
      </b:Author>
    </b:Author>
    <b:JournalName>International Review of Financial Analysis 34</b:JournalName>
    <b:Pages>262-274</b:Pages>
    <b:RefOrder>5</b:RefOrder>
  </b:Source>
  <b:Source>
    <b:Tag>Gün11</b:Tag>
    <b:SourceType>JournalArticle</b:SourceType>
    <b:Guid>{05979672-E4B8-4D26-913D-09D9F9D16C7D}</b:Guid>
    <b:Author>
      <b:Author>
        <b:NameList>
          <b:Person>
            <b:Last>Gündüz</b:Last>
            <b:First>Yalin,</b:First>
            <b:Middle>and Marliese Uhrig-Homburg.</b:Middle>
          </b:Person>
        </b:NameList>
      </b:Author>
    </b:Author>
    <b:Title>Predicting credit default swap prices with financial and pure data-driven approaches.</b:Title>
    <b:JournalName>Quantitative Finance 11.12</b:JournalName>
    <b:Year>2011</b:Year>
    <b:Pages>1709-1727</b:Pages>
    <b:RefOrder>6</b:RefOrder>
  </b:Source>
  <b:Source>
    <b:Tag>Zha18</b:Tag>
    <b:SourceType>JournalArticle</b:SourceType>
    <b:Guid>{36B9A7AA-B08F-4D59-8942-65283FE0C4DB}</b:Guid>
    <b:Author>
      <b:Author>
        <b:NameList>
          <b:Person>
            <b:Last>Zhang</b:Last>
            <b:First>Terrence</b:First>
            <b:Middle>Y.</b:Middle>
          </b:Person>
        </b:NameList>
      </b:Author>
    </b:Author>
    <b:Title>Predicting Credit Default Swap (CDS) Returns with Machine Learning.</b:Title>
    <b:JournalName>Available at SSRN 3152143</b:JournalName>
    <b:Year>2018</b:Year>
    <b:RefOrder>7</b:RefOrder>
  </b:Source>
  <b:Source>
    <b:Tag>HuN19</b:Tag>
    <b:SourceType>Report</b:SourceType>
    <b:Guid>{9D21BF7D-D145-4601-9769-6EEC3E6A1E0E}</b:Guid>
    <b:Author>
      <b:Author>
        <b:NameList>
          <b:Person>
            <b:Last>Hu</b:Last>
            <b:First>Nan,</b:First>
            <b:Middle>Jian Li, and Alexis Meyer-Cirkel.</b:Middle>
          </b:Person>
        </b:NameList>
      </b:Author>
    </b:Author>
    <b:Title>Completing the Market: Generating Shadow CDS Spreads by Machine Learning.</b:Title>
    <b:JournalName>International Monetary Fund</b:JournalName>
    <b:Year>2019</b:Year>
    <b:Pages>2019</b:Pages>
    <b:Publisher>International Monetary Fund</b:Publisher>
    <b:RefOrder>8</b:RefOrder>
  </b:Source>
  <b:Source>
    <b:Tag>Vuk22</b:Tag>
    <b:SourceType>JournalArticle</b:SourceType>
    <b:Guid>{467C5865-51F7-4CFB-A54A-F6689DF396FA}</b:Guid>
    <b:Author>
      <b:Author>
        <b:NameList>
          <b:Person>
            <b:Last>Vukovic</b:Last>
            <b:First>Darko</b:First>
            <b:Middle>B., et al.</b:Middle>
          </b:Person>
        </b:NameList>
      </b:Author>
    </b:Author>
    <b:Title>Are CDS spreads predictable during the Covid-19 pandemic? Forecasting based on SVM, GMDH, LSTM and Markov switching autoregression.</b:Title>
    <b:JournalName>Expert systems with applications </b:JournalName>
    <b:Year>2022</b:Year>
    <b:RefOrder>9</b:RefOrder>
  </b:Source>
  <b:Source>
    <b:Tag>Gün16</b:Tag>
    <b:SourceType>JournalArticle</b:SourceType>
    <b:Guid>{A8A326CD-887B-4D80-BBFB-BD85CD6137DB}</b:Guid>
    <b:Title>Long-memory in volatilities of cds spreads: evidences from the emerging markets.</b:Title>
    <b:Year>2016</b:Year>
    <b:Author>
      <b:Author>
        <b:NameList>
          <b:Person>
            <b:Last>Günay</b:Last>
            <b:First>Samet,</b:First>
            <b:Middle>and Yanlin Shi.</b:Middle>
          </b:Person>
        </b:NameList>
      </b:Author>
    </b:Author>
    <b:JournalName>ournal for Economic Forecasting 1</b:JournalName>
    <b:Pages>122-137</b:Pages>
    <b:RefOrder>10</b:RefOrder>
  </b:Source>
  <b:Source>
    <b:Tag>Bal22</b:Tag>
    <b:SourceType>JournalArticle</b:SourceType>
    <b:Guid>{930CFF2C-91DB-4BEC-9C12-DF0317A3068E}</b:Guid>
    <b:Author>
      <b:Author>
        <b:NameList>
          <b:Person>
            <b:Last>Balkan</b:Last>
            <b:First>Emrah,</b:First>
            <b:Middle>and Umut Uyar.</b:Middle>
          </b:Person>
        </b:NameList>
      </b:Author>
    </b:Author>
    <b:Title>The Fractal Structure of CDS Spreads: Evidence from the OECD Countries.</b:Title>
    <b:JournalName>Romanian Journal of Economic Forecasting 25.1</b:JournalName>
    <b:Year>2022</b:Year>
    <b:Pages>106</b:Pages>
    <b:RefOrder>11</b:RefOrder>
  </b:Source>
  <b:Source>
    <b:Tag>HeX14</b:Tag>
    <b:SourceType>JournalArticle</b:SourceType>
    <b:Guid>{78AF5DC6-2FFE-45AD-A04D-B2D711F22CB4}</b:Guid>
    <b:Author>
      <b:Author>
        <b:NameList>
          <b:Person>
            <b:Last>He</b:Last>
            <b:First>Xinjiang,</b:First>
            <b:Middle>and Wenting Chen.</b:Middle>
          </b:Person>
        </b:NameList>
      </b:Author>
    </b:Author>
    <b:Title>The pricing of credit default swaps under a generalized mixed fractional Brownian motion.</b:Title>
    <b:JournalName>Physica A: Statistical Mechanics and its Applications 404</b:JournalName>
    <b:Year>2014</b:Year>
    <b:Pages>26-33</b:Pages>
    <b:RefOrder>12</b:RefOrder>
  </b:Source>
  <b:Source>
    <b:Tag>She22</b:Tag>
    <b:SourceType>JournalArticle</b:SourceType>
    <b:Guid>{DFEB582D-2033-4BE9-9D93-48867BAAE3DE}</b:Guid>
    <b:Author>
      <b:Author>
        <b:NameList>
          <b:Person>
            <b:Last>Sheraz</b:Last>
            <b:First>Muhammad,</b:First>
            <b:Middle>Silvia Dedu, and Vasile Preda.</b:Middle>
          </b:Person>
        </b:NameList>
      </b:Author>
    </b:Author>
    <b:Title>Volatility Dynamics of Non-Linear Volatile Time Series and Analysis of Information Flow: Evidence from Cryptocurrency Data.</b:Title>
    <b:JournalName>Entropy 24.10</b:JournalName>
    <b:Year>2022</b:Year>
    <b:Pages>1410</b:Pages>
    <b:RefOrder>13</b:RefOrder>
  </b:Source>
  <b:Source>
    <b:Tag>Sau22</b:Tag>
    <b:SourceType>InternetSite</b:SourceType>
    <b:Guid>{7E891040-A30D-4568-A3D3-817F12715BFB}</b:Guid>
    <b:Year>2022</b:Year>
    <b:Author>
      <b:Author>
        <b:NameList>
          <b:Person>
            <b:Last>Dobilas</b:Last>
            <b:First>Saul</b:First>
          </b:Person>
        </b:NameList>
      </b:Author>
    </b:Author>
    <b:Month>February</b:Month>
    <b:Day>6</b:Day>
    <b:URL>https://towardsdatascience.com/lstm-recurrent-neural-networks-how-to-teach-a-network-to-remember-the-past-55e54c2ff22e</b:URL>
    <b:RefOrder>14</b:RefOrder>
  </b:Source>
</b:Sources>
</file>

<file path=customXml/itemProps1.xml><?xml version="1.0" encoding="utf-8"?>
<ds:datastoreItem xmlns:ds="http://schemas.openxmlformats.org/officeDocument/2006/customXml" ds:itemID="{60E438D0-B549-40BC-8051-14580C3A9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2027</TotalTime>
  <Pages>13</Pages>
  <Words>2636</Words>
  <Characters>15027</Characters>
  <Application>Microsoft Office Word</Application>
  <DocSecurity>0</DocSecurity>
  <Lines>125</Lines>
  <Paragraphs>35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Journal Paper Format</vt:lpstr>
      <vt:lpstr>Journal Paper Format</vt:lpstr>
    </vt:vector>
  </TitlesOfParts>
  <Company>IEEE Computer Society</Company>
  <LinksUpToDate>false</LinksUpToDate>
  <CharactersWithSpaces>17628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Paper Format</dc:title>
  <dc:subject/>
  <dc:creator>SERSC</dc:creator>
  <cp:keywords/>
  <cp:lastModifiedBy>Rajneesh Singh</cp:lastModifiedBy>
  <cp:revision>10</cp:revision>
  <cp:lastPrinted>2023-02-13T18:42:00Z</cp:lastPrinted>
  <dcterms:created xsi:type="dcterms:W3CDTF">2023-02-21T09:06:00Z</dcterms:created>
  <dcterms:modified xsi:type="dcterms:W3CDTF">2023-03-11T15:50:00Z</dcterms:modified>
</cp:coreProperties>
</file>